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xml" ContentType="application/vnd.openxmlformats-officedocument.wordprocessingml.header+xml"/>
  <Override PartName="/word/footer29.xml" ContentType="application/vnd.openxmlformats-officedocument.wordprocessingml.footer+xml"/>
  <Override PartName="/word/header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xml" ContentType="application/vnd.openxmlformats-officedocument.wordprocessingml.header+xml"/>
  <Override PartName="/word/footer3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0.xml" ContentType="application/vnd.openxmlformats-officedocument.wordprocessingml.footer+xml"/>
  <Override PartName="/word/header12.xml" ContentType="application/vnd.openxmlformats-officedocument.wordprocessingml.header+xml"/>
  <Override PartName="/word/footer41.xml" ContentType="application/vnd.openxmlformats-officedocument.wordprocessingml.footer+xml"/>
  <Override PartName="/word/header13.xml" ContentType="application/vnd.openxmlformats-officedocument.wordprocessingml.header+xml"/>
  <Override PartName="/word/footer42.xml" ContentType="application/vnd.openxmlformats-officedocument.wordprocessingml.footer+xml"/>
  <Override PartName="/word/header14.xml" ContentType="application/vnd.openxmlformats-officedocument.wordprocessingml.header+xml"/>
  <Override PartName="/word/footer43.xml" ContentType="application/vnd.openxmlformats-officedocument.wordprocessingml.footer+xml"/>
  <Override PartName="/word/header15.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16.xml" ContentType="application/vnd.openxmlformats-officedocument.wordprocessingml.header+xml"/>
  <Override PartName="/word/footer46.xml" ContentType="application/vnd.openxmlformats-officedocument.wordprocessingml.footer+xml"/>
  <Override PartName="/word/header17.xml" ContentType="application/vnd.openxmlformats-officedocument.wordprocessingml.header+xml"/>
  <Override PartName="/word/footer47.xml" ContentType="application/vnd.openxmlformats-officedocument.wordprocessingml.footer+xml"/>
  <Override PartName="/word/header18.xml" ContentType="application/vnd.openxmlformats-officedocument.wordprocessingml.header+xml"/>
  <Override PartName="/word/footer48.xml" ContentType="application/vnd.openxmlformats-officedocument.wordprocessingml.footer+xml"/>
  <Override PartName="/word/header19.xml" ContentType="application/vnd.openxmlformats-officedocument.wordprocessingml.header+xml"/>
  <Override PartName="/word/footer49.xml" ContentType="application/vnd.openxmlformats-officedocument.wordprocessingml.footer+xml"/>
  <Override PartName="/word/header20.xml" ContentType="application/vnd.openxmlformats-officedocument.wordprocessingml.head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header22.xml" ContentType="application/vnd.openxmlformats-officedocument.wordprocessingml.header+xml"/>
  <Override PartName="/word/footer52.xml" ContentType="application/vnd.openxmlformats-officedocument.wordprocessingml.footer+xml"/>
  <Override PartName="/word/header23.xml" ContentType="application/vnd.openxmlformats-officedocument.wordprocessingml.header+xml"/>
  <Override PartName="/word/footer5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5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spacing w:line="621" w:lineRule="exact" w:before="0"/>
        <w:ind w:left="2310" w:right="1314" w:firstLine="0"/>
        <w:jc w:val="left"/>
        <w:rPr>
          <w:rFonts w:ascii="宋体" w:hAnsi="宋体" w:cs="宋体" w:eastAsia="宋体" w:hint="default"/>
          <w:sz w:val="52"/>
          <w:szCs w:val="52"/>
        </w:rPr>
      </w:pPr>
      <w:r>
        <w:rPr>
          <w:rFonts w:ascii="宋体" w:hAnsi="宋体" w:cs="宋体" w:eastAsia="宋体" w:hint="default"/>
          <w:b/>
          <w:bCs/>
          <w:sz w:val="52"/>
          <w:szCs w:val="52"/>
        </w:rPr>
        <w:t>苏宁电器股份有限公司</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line="1239" w:lineRule="exact"/>
        <w:ind w:left="3083"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2227510" cy="78695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227510" cy="786955"/>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621" w:lineRule="exact" w:before="0"/>
        <w:ind w:left="0" w:right="1298" w:firstLine="0"/>
        <w:jc w:val="center"/>
        <w:rPr>
          <w:rFonts w:ascii="宋体" w:hAnsi="宋体" w:cs="宋体" w:eastAsia="宋体" w:hint="default"/>
          <w:sz w:val="52"/>
          <w:szCs w:val="52"/>
        </w:rPr>
      </w:pPr>
      <w:r>
        <w:rPr>
          <w:rFonts w:ascii="宋体" w:hAnsi="宋体" w:cs="宋体" w:eastAsia="宋体" w:hint="default"/>
          <w:b/>
          <w:bCs/>
          <w:sz w:val="52"/>
          <w:szCs w:val="52"/>
        </w:rPr>
        <w:t>二○一一年年度报告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2"/>
        <w:rPr>
          <w:rFonts w:ascii="宋体" w:hAnsi="宋体" w:cs="宋体" w:eastAsia="宋体" w:hint="default"/>
          <w:b/>
          <w:bCs/>
          <w:sz w:val="62"/>
          <w:szCs w:val="62"/>
        </w:rPr>
      </w:pPr>
    </w:p>
    <w:p>
      <w:pPr>
        <w:spacing w:before="0"/>
        <w:ind w:left="0" w:right="1299" w:firstLine="0"/>
        <w:jc w:val="center"/>
        <w:rPr>
          <w:rFonts w:ascii="宋体" w:hAnsi="宋体" w:cs="宋体" w:eastAsia="宋体" w:hint="default"/>
          <w:sz w:val="52"/>
          <w:szCs w:val="52"/>
        </w:rPr>
      </w:pPr>
      <w:r>
        <w:rPr>
          <w:rFonts w:ascii="宋体" w:hAnsi="宋体" w:cs="宋体" w:eastAsia="宋体" w:hint="default"/>
          <w:b/>
          <w:bCs/>
          <w:sz w:val="52"/>
          <w:szCs w:val="52"/>
        </w:rPr>
        <w:t>二○一二年三月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748" w:footer="907" w:top="980" w:bottom="1100" w:left="1300" w:right="0"/>
          <w:pgNumType w:start="1"/>
        </w:sectPr>
      </w:pPr>
    </w:p>
    <w:p>
      <w:pPr>
        <w:spacing w:line="240" w:lineRule="auto" w:before="0"/>
        <w:rPr>
          <w:rFonts w:ascii="宋体" w:hAnsi="宋体" w:cs="宋体" w:eastAsia="宋体" w:hint="default"/>
          <w:b/>
          <w:bCs/>
          <w:sz w:val="20"/>
          <w:szCs w:val="20"/>
        </w:rPr>
      </w:pPr>
    </w:p>
    <w:p>
      <w:pPr>
        <w:spacing w:before="137"/>
        <w:ind w:left="4014" w:right="1314" w:firstLine="0"/>
        <w:jc w:val="left"/>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5"/>
        <w:rPr>
          <w:rFonts w:ascii="宋体" w:hAnsi="宋体" w:cs="宋体" w:eastAsia="宋体" w:hint="default"/>
          <w:b/>
          <w:bCs/>
          <w:sz w:val="42"/>
          <w:szCs w:val="42"/>
        </w:rPr>
      </w:pPr>
    </w:p>
    <w:p>
      <w:pPr>
        <w:spacing w:line="357" w:lineRule="auto" w:before="0"/>
        <w:ind w:left="140" w:right="1435" w:firstLine="561"/>
        <w:jc w:val="both"/>
        <w:rPr>
          <w:rFonts w:ascii="宋体" w:hAnsi="宋体" w:cs="宋体" w:eastAsia="宋体" w:hint="default"/>
          <w:sz w:val="28"/>
          <w:szCs w:val="28"/>
        </w:rPr>
      </w:pPr>
      <w:r>
        <w:rPr>
          <w:rFonts w:ascii="宋体" w:hAnsi="宋体" w:cs="宋体" w:eastAsia="宋体" w:hint="default"/>
          <w:b/>
          <w:bCs/>
          <w:sz w:val="28"/>
          <w:szCs w:val="28"/>
        </w:rPr>
        <w:t>本公司董事会、监事会及董事、监事、高级管理人员保证本报告所载</w:t>
      </w:r>
      <w:r>
        <w:rPr>
          <w:rFonts w:ascii="宋体" w:hAnsi="宋体" w:cs="宋体" w:eastAsia="宋体" w:hint="default"/>
          <w:b/>
          <w:bCs/>
          <w:w w:val="99"/>
          <w:sz w:val="28"/>
          <w:szCs w:val="28"/>
        </w:rPr>
        <w:t> </w:t>
      </w:r>
      <w:r>
        <w:rPr>
          <w:rFonts w:ascii="宋体" w:hAnsi="宋体" w:cs="宋体" w:eastAsia="宋体" w:hint="default"/>
          <w:b/>
          <w:bCs/>
          <w:sz w:val="28"/>
          <w:szCs w:val="28"/>
        </w:rPr>
        <w:t>资料不存在任何虚假记载、误导性陈述或者重大遗漏，并对其内容的真实</w:t>
      </w:r>
      <w:r>
        <w:rPr>
          <w:rFonts w:ascii="宋体" w:hAnsi="宋体" w:cs="宋体" w:eastAsia="宋体" w:hint="default"/>
          <w:b/>
          <w:bCs/>
          <w:spacing w:val="-111"/>
          <w:sz w:val="28"/>
          <w:szCs w:val="28"/>
        </w:rPr>
        <w:t> </w:t>
      </w:r>
      <w:r>
        <w:rPr>
          <w:rFonts w:ascii="宋体" w:hAnsi="宋体" w:cs="宋体" w:eastAsia="宋体" w:hint="default"/>
          <w:b/>
          <w:bCs/>
          <w:spacing w:val="-111"/>
          <w:sz w:val="28"/>
          <w:szCs w:val="28"/>
        </w:rPr>
      </w:r>
      <w:r>
        <w:rPr>
          <w:rFonts w:ascii="宋体" w:hAnsi="宋体" w:cs="宋体" w:eastAsia="宋体" w:hint="default"/>
          <w:b/>
          <w:bCs/>
          <w:sz w:val="28"/>
          <w:szCs w:val="28"/>
        </w:rPr>
        <w:t>性、准确性和完整性承担个别及连带责任。</w:t>
      </w:r>
      <w:r>
        <w:rPr>
          <w:rFonts w:ascii="宋体" w:hAnsi="宋体" w:cs="宋体" w:eastAsia="宋体" w:hint="default"/>
          <w:sz w:val="28"/>
          <w:szCs w:val="28"/>
        </w:rPr>
      </w:r>
    </w:p>
    <w:p>
      <w:pPr>
        <w:spacing w:line="357" w:lineRule="auto" w:before="43"/>
        <w:ind w:left="140" w:right="1438" w:firstLine="561"/>
        <w:jc w:val="both"/>
        <w:rPr>
          <w:rFonts w:ascii="宋体" w:hAnsi="宋体" w:cs="宋体" w:eastAsia="宋体" w:hint="default"/>
          <w:sz w:val="28"/>
          <w:szCs w:val="28"/>
        </w:rPr>
      </w:pPr>
      <w:r>
        <w:rPr>
          <w:rFonts w:ascii="宋体" w:hAnsi="宋体" w:cs="宋体" w:eastAsia="宋体" w:hint="default"/>
          <w:b/>
          <w:bCs/>
          <w:sz w:val="28"/>
          <w:szCs w:val="28"/>
        </w:rPr>
        <w:t>没有董事、监事、高级管理人员对本报告内容的真实性、准确性、完</w:t>
      </w:r>
      <w:r>
        <w:rPr>
          <w:rFonts w:ascii="宋体" w:hAnsi="宋体" w:cs="宋体" w:eastAsia="宋体" w:hint="default"/>
          <w:b/>
          <w:bCs/>
          <w:w w:val="99"/>
          <w:sz w:val="28"/>
          <w:szCs w:val="28"/>
        </w:rPr>
        <w:t> </w:t>
      </w:r>
      <w:r>
        <w:rPr>
          <w:rFonts w:ascii="宋体" w:hAnsi="宋体" w:cs="宋体" w:eastAsia="宋体" w:hint="default"/>
          <w:b/>
          <w:bCs/>
          <w:sz w:val="28"/>
          <w:szCs w:val="28"/>
        </w:rPr>
        <w:t>整性无法保证或存在异议。</w:t>
      </w:r>
      <w:r>
        <w:rPr>
          <w:rFonts w:ascii="宋体" w:hAnsi="宋体" w:cs="宋体" w:eastAsia="宋体" w:hint="default"/>
          <w:sz w:val="28"/>
          <w:szCs w:val="28"/>
        </w:rPr>
      </w:r>
    </w:p>
    <w:p>
      <w:pPr>
        <w:spacing w:line="357" w:lineRule="auto" w:before="43"/>
        <w:ind w:left="140" w:right="1438" w:firstLine="561"/>
        <w:jc w:val="both"/>
        <w:rPr>
          <w:rFonts w:ascii="宋体" w:hAnsi="宋体" w:cs="宋体" w:eastAsia="宋体" w:hint="default"/>
          <w:sz w:val="28"/>
          <w:szCs w:val="28"/>
        </w:rPr>
      </w:pPr>
      <w:r>
        <w:rPr>
          <w:rFonts w:ascii="宋体" w:hAnsi="宋体" w:cs="宋体" w:eastAsia="宋体" w:hint="default"/>
          <w:b/>
          <w:bCs/>
          <w:sz w:val="28"/>
          <w:szCs w:val="28"/>
        </w:rPr>
        <w:t>普华永道中天会计师事务所有限公司为本公司出具了标准无保留意见</w:t>
      </w:r>
      <w:r>
        <w:rPr>
          <w:rFonts w:ascii="宋体" w:hAnsi="宋体" w:cs="宋体" w:eastAsia="宋体" w:hint="default"/>
          <w:b/>
          <w:bCs/>
          <w:w w:val="99"/>
          <w:sz w:val="28"/>
          <w:szCs w:val="28"/>
        </w:rPr>
        <w:t> </w:t>
      </w:r>
      <w:r>
        <w:rPr>
          <w:rFonts w:ascii="宋体" w:hAnsi="宋体" w:cs="宋体" w:eastAsia="宋体" w:hint="default"/>
          <w:b/>
          <w:bCs/>
          <w:sz w:val="28"/>
          <w:szCs w:val="28"/>
        </w:rPr>
        <w:t>的审计报告。</w:t>
      </w:r>
      <w:r>
        <w:rPr>
          <w:rFonts w:ascii="宋体" w:hAnsi="宋体" w:cs="宋体" w:eastAsia="宋体" w:hint="default"/>
          <w:sz w:val="28"/>
          <w:szCs w:val="28"/>
        </w:rPr>
      </w:r>
    </w:p>
    <w:p>
      <w:pPr>
        <w:spacing w:line="357" w:lineRule="auto" w:before="43"/>
        <w:ind w:left="140" w:right="1437" w:firstLine="561"/>
        <w:jc w:val="both"/>
        <w:rPr>
          <w:rFonts w:ascii="宋体" w:hAnsi="宋体" w:cs="宋体" w:eastAsia="宋体" w:hint="default"/>
          <w:sz w:val="28"/>
          <w:szCs w:val="28"/>
        </w:rPr>
      </w:pPr>
      <w:r>
        <w:rPr>
          <w:rFonts w:ascii="宋体" w:hAnsi="宋体" w:cs="宋体" w:eastAsia="宋体" w:hint="default"/>
          <w:b/>
          <w:bCs/>
          <w:sz w:val="28"/>
          <w:szCs w:val="28"/>
        </w:rPr>
        <w:t>公司董事长张近东先生、财务负责人朱华女士及会计机构负责人肖忠</w:t>
      </w:r>
      <w:r>
        <w:rPr>
          <w:rFonts w:ascii="宋体" w:hAnsi="宋体" w:cs="宋体" w:eastAsia="宋体" w:hint="default"/>
          <w:b/>
          <w:bCs/>
          <w:w w:val="99"/>
          <w:sz w:val="28"/>
          <w:szCs w:val="28"/>
        </w:rPr>
        <w:t> </w:t>
      </w:r>
      <w:r>
        <w:rPr>
          <w:rFonts w:ascii="宋体" w:hAnsi="宋体" w:cs="宋体" w:eastAsia="宋体" w:hint="default"/>
          <w:b/>
          <w:bCs/>
          <w:sz w:val="28"/>
          <w:szCs w:val="28"/>
        </w:rPr>
        <w:t>祥先生声明：保证本年度报告中财务报告的真实、准确、完整。</w:t>
      </w:r>
      <w:r>
        <w:rPr>
          <w:rFonts w:ascii="宋体" w:hAnsi="宋体" w:cs="宋体" w:eastAsia="宋体" w:hint="default"/>
          <w:sz w:val="28"/>
          <w:szCs w:val="28"/>
        </w:rPr>
      </w:r>
    </w:p>
    <w:p>
      <w:pPr>
        <w:spacing w:after="0" w:line="357" w:lineRule="auto"/>
        <w:jc w:val="both"/>
        <w:rPr>
          <w:rFonts w:ascii="宋体" w:hAnsi="宋体" w:cs="宋体" w:eastAsia="宋体" w:hint="default"/>
          <w:sz w:val="28"/>
          <w:szCs w:val="28"/>
        </w:rPr>
        <w:sectPr>
          <w:pgSz w:w="11910" w:h="16840"/>
          <w:pgMar w:header="748" w:footer="907" w:top="980" w:bottom="1140" w:left="1300" w:right="0"/>
        </w:sectPr>
      </w:pPr>
    </w:p>
    <w:p>
      <w:pPr>
        <w:spacing w:line="240" w:lineRule="auto" w:before="0"/>
        <w:rPr>
          <w:rFonts w:ascii="宋体" w:hAnsi="宋体" w:cs="宋体" w:eastAsia="宋体" w:hint="default"/>
          <w:b/>
          <w:bCs/>
          <w:sz w:val="20"/>
          <w:szCs w:val="20"/>
        </w:rPr>
      </w:pPr>
    </w:p>
    <w:p>
      <w:pPr>
        <w:tabs>
          <w:tab w:pos="799" w:val="left" w:leader="none"/>
        </w:tabs>
        <w:spacing w:before="137"/>
        <w:ind w:left="0" w:right="116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9" w:val="left" w:leader="none"/>
              <w:tab w:pos="9281" w:val="right" w:leader="dot"/>
            </w:tabs>
            <w:spacing w:line="240" w:lineRule="auto" w:before="404"/>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宋体" w:hAnsi="宋体" w:cs="宋体" w:eastAsia="宋体" w:hint="default"/>
              </w:rPr>
              <w:tab/>
              <w:t>4</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9">
            <w:r>
              <w:rPr>
                <w:w w:val="95"/>
              </w:rPr>
              <w:t>第二节</w:t>
              <w:tab/>
            </w:r>
            <w:r>
              <w:rPr/>
              <w:t>会计数据和业务数据摘要</w:t>
            </w:r>
            <w:r>
              <w:rPr>
                <w:rFonts w:ascii="宋体" w:hAnsi="宋体" w:cs="宋体" w:eastAsia="宋体" w:hint="default"/>
              </w:rPr>
              <w:tab/>
              <w:t>7</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8">
            <w:r>
              <w:rPr>
                <w:w w:val="95"/>
              </w:rPr>
              <w:t>第三节</w:t>
              <w:tab/>
            </w:r>
            <w:r>
              <w:rPr/>
              <w:t>股本变动及股东情况</w:t>
            </w:r>
            <w:r>
              <w:rPr>
                <w:rFonts w:ascii="宋体" w:hAnsi="宋体" w:cs="宋体" w:eastAsia="宋体" w:hint="default"/>
              </w:rPr>
              <w:tab/>
              <w:t>9</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7">
            <w:r>
              <w:rPr>
                <w:w w:val="95"/>
              </w:rPr>
              <w:t>第四节</w:t>
              <w:tab/>
            </w:r>
            <w:r>
              <w:rPr/>
              <w:t>董事、监事、高级管理人员和员工的情况</w:t>
            </w:r>
            <w:r>
              <w:rPr>
                <w:rFonts w:ascii="宋体" w:hAnsi="宋体" w:cs="宋体" w:eastAsia="宋体" w:hint="default"/>
              </w:rPr>
              <w:tab/>
              <w:t>14</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6">
            <w:r>
              <w:rPr>
                <w:w w:val="95"/>
              </w:rPr>
              <w:t>第五节</w:t>
              <w:tab/>
            </w:r>
            <w:r>
              <w:rPr/>
              <w:t>公司治理结构</w:t>
            </w:r>
            <w:r>
              <w:rPr>
                <w:rFonts w:ascii="宋体" w:hAnsi="宋体" w:cs="宋体" w:eastAsia="宋体" w:hint="default"/>
              </w:rPr>
              <w:tab/>
              <w:t>19</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5">
            <w:r>
              <w:rPr>
                <w:w w:val="95"/>
              </w:rPr>
              <w:t>第六节</w:t>
              <w:tab/>
            </w:r>
            <w:r>
              <w:rPr/>
              <w:t>股东大会情况简介</w:t>
            </w:r>
            <w:r>
              <w:rPr>
                <w:rFonts w:ascii="宋体" w:hAnsi="宋体" w:cs="宋体" w:eastAsia="宋体" w:hint="default"/>
              </w:rPr>
              <w:tab/>
              <w:t>29</w:t>
            </w:r>
            <w:r>
              <w:rPr>
                <w:rFonts w:ascii="宋体" w:hAnsi="宋体" w:cs="宋体" w:eastAsia="宋体" w:hint="default"/>
                <w:b w:val="0"/>
                <w:bCs w:val="0"/>
              </w:rPr>
            </w:r>
          </w:hyperlink>
        </w:p>
        <w:p>
          <w:pPr>
            <w:pStyle w:val="TOC1"/>
            <w:tabs>
              <w:tab w:pos="9281" w:val="right" w:leader="dot"/>
            </w:tabs>
            <w:spacing w:line="240" w:lineRule="auto"/>
            <w:ind w:right="0"/>
            <w:jc w:val="left"/>
            <w:rPr>
              <w:rFonts w:ascii="宋体" w:hAnsi="宋体" w:cs="宋体" w:eastAsia="宋体" w:hint="default"/>
              <w:b w:val="0"/>
              <w:bCs w:val="0"/>
            </w:rPr>
          </w:pPr>
          <w:hyperlink w:history="true" w:anchor="_TOC_250004">
            <w:r>
              <w:rPr/>
              <w:t>第七节</w:t>
            </w:r>
            <w:r>
              <w:rPr>
                <w:spacing w:val="-2"/>
              </w:rPr>
              <w:t> </w:t>
            </w:r>
            <w:r>
              <w:rPr/>
              <w:t>董事会报告</w:t>
            </w:r>
            <w:r>
              <w:rPr>
                <w:rFonts w:ascii="宋体" w:hAnsi="宋体" w:cs="宋体" w:eastAsia="宋体" w:hint="default"/>
              </w:rPr>
              <w:tab/>
              <w:t>31</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3">
            <w:r>
              <w:rPr>
                <w:w w:val="95"/>
              </w:rPr>
              <w:t>第八节</w:t>
              <w:tab/>
            </w:r>
            <w:r>
              <w:rPr/>
              <w:t>监事会报告</w:t>
            </w:r>
            <w:r>
              <w:rPr>
                <w:rFonts w:ascii="宋体" w:hAnsi="宋体" w:cs="宋体" w:eastAsia="宋体" w:hint="default"/>
              </w:rPr>
              <w:tab/>
              <w:t>79</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2">
            <w:r>
              <w:rPr>
                <w:w w:val="95"/>
              </w:rPr>
              <w:t>第九节</w:t>
              <w:tab/>
            </w:r>
            <w:r>
              <w:rPr/>
              <w:t>重要事项</w:t>
            </w:r>
            <w:r>
              <w:rPr>
                <w:rFonts w:ascii="宋体" w:hAnsi="宋体" w:cs="宋体" w:eastAsia="宋体" w:hint="default"/>
              </w:rPr>
              <w:tab/>
              <w:t>81</w:t>
            </w:r>
            <w:r>
              <w:rPr>
                <w:rFonts w:ascii="宋体" w:hAnsi="宋体" w:cs="宋体" w:eastAsia="宋体" w:hint="default"/>
                <w:b w:val="0"/>
                <w:bCs w:val="0"/>
              </w:rPr>
            </w:r>
          </w:hyperlink>
        </w:p>
        <w:p>
          <w:pPr>
            <w:pStyle w:val="TOC1"/>
            <w:tabs>
              <w:tab w:pos="1079" w:val="left" w:leader="none"/>
              <w:tab w:pos="9281" w:val="right" w:leader="dot"/>
            </w:tabs>
            <w:spacing w:line="240" w:lineRule="auto"/>
            <w:ind w:right="0"/>
            <w:jc w:val="left"/>
            <w:rPr>
              <w:rFonts w:ascii="宋体" w:hAnsi="宋体" w:cs="宋体" w:eastAsia="宋体" w:hint="default"/>
              <w:b w:val="0"/>
              <w:bCs w:val="0"/>
            </w:rPr>
          </w:pPr>
          <w:hyperlink w:history="true" w:anchor="_TOC_250001">
            <w:r>
              <w:rPr>
                <w:w w:val="95"/>
              </w:rPr>
              <w:t>第十节</w:t>
              <w:tab/>
            </w:r>
            <w:r>
              <w:rPr/>
              <w:t>财务报告</w:t>
            </w:r>
            <w:r>
              <w:rPr>
                <w:rFonts w:ascii="宋体" w:hAnsi="宋体" w:cs="宋体" w:eastAsia="宋体" w:hint="default"/>
              </w:rPr>
              <w:tab/>
              <w:t>98</w:t>
            </w:r>
            <w:r>
              <w:rPr>
                <w:rFonts w:ascii="宋体" w:hAnsi="宋体" w:cs="宋体" w:eastAsia="宋体" w:hint="default"/>
                <w:b w:val="0"/>
                <w:bCs w:val="0"/>
              </w:rPr>
            </w:r>
          </w:hyperlink>
        </w:p>
        <w:p>
          <w:pPr>
            <w:pStyle w:val="TOC1"/>
            <w:tabs>
              <w:tab w:pos="1319" w:val="left" w:leader="none"/>
              <w:tab w:pos="9281" w:val="right" w:leader="dot"/>
            </w:tabs>
            <w:spacing w:line="240" w:lineRule="auto"/>
            <w:ind w:right="0"/>
            <w:jc w:val="left"/>
            <w:rPr>
              <w:rFonts w:ascii="宋体" w:hAnsi="宋体" w:cs="宋体" w:eastAsia="宋体" w:hint="default"/>
              <w:b w:val="0"/>
              <w:bCs w:val="0"/>
            </w:rPr>
          </w:pPr>
          <w:hyperlink w:history="true" w:anchor="_TOC_250000">
            <w:r>
              <w:rPr>
                <w:w w:val="95"/>
              </w:rPr>
              <w:t>第十一节</w:t>
              <w:tab/>
            </w:r>
            <w:r>
              <w:rPr/>
              <w:t>备查文件目录</w:t>
            </w:r>
            <w:r>
              <w:rPr>
                <w:rFonts w:ascii="宋体" w:hAnsi="宋体" w:cs="宋体" w:eastAsia="宋体" w:hint="default"/>
              </w:rPr>
              <w:tab/>
              <w:t>230</w:t>
            </w:r>
            <w:r>
              <w:rPr>
                <w:rFonts w:ascii="宋体" w:hAnsi="宋体" w:cs="宋体" w:eastAsia="宋体" w:hint="default"/>
                <w:b w:val="0"/>
                <w:bCs w:val="0"/>
              </w:rPr>
            </w:r>
          </w:hyperlink>
        </w:p>
        <w:p>
          <w:pPr/>
          <w:r>
            <w:fldChar w:fldCharType="end"/>
          </w:r>
        </w:p>
      </w:sdtContent>
    </w:sdt>
    <w:p>
      <w:pPr>
        <w:spacing w:after="0"/>
        <w:sectPr>
          <w:pgSz w:w="11910" w:h="16840"/>
          <w:pgMar w:header="748" w:footer="907" w:top="980" w:bottom="1140" w:left="1160" w:right="0"/>
        </w:sectPr>
      </w:pPr>
    </w:p>
    <w:p>
      <w:pPr>
        <w:spacing w:line="240" w:lineRule="auto" w:before="7"/>
        <w:rPr>
          <w:rFonts w:ascii="宋体" w:hAnsi="宋体" w:cs="宋体" w:eastAsia="宋体" w:hint="default"/>
          <w:b/>
          <w:bCs/>
          <w:sz w:val="30"/>
          <w:szCs w:val="30"/>
        </w:rPr>
      </w:pPr>
    </w:p>
    <w:p>
      <w:pPr>
        <w:pStyle w:val="Heading1"/>
        <w:tabs>
          <w:tab w:pos="4112" w:val="left" w:leader="none"/>
        </w:tabs>
        <w:spacing w:line="240" w:lineRule="auto" w:before="0"/>
        <w:ind w:left="2833" w:right="3386"/>
        <w:jc w:val="left"/>
        <w:rPr>
          <w:b w:val="0"/>
          <w:bCs w:val="0"/>
        </w:rPr>
      </w:pPr>
      <w:bookmarkStart w:name="_TOC_250010" w:id="1"/>
      <w:r>
        <w:rPr>
          <w:w w:val="95"/>
        </w:rPr>
        <w:t>第一节</w:t>
        <w:tab/>
      </w:r>
      <w:r>
        <w:rPr/>
        <w:t>公司基本情况简介</w:t>
      </w:r>
      <w:bookmarkEnd w:id="1"/>
      <w:r>
        <w:rPr>
          <w:b w:val="0"/>
          <w:bCs w:val="0"/>
        </w:rPr>
      </w:r>
    </w:p>
    <w:p>
      <w:pPr>
        <w:pStyle w:val="BodyText"/>
        <w:spacing w:line="314" w:lineRule="auto" w:before="217"/>
        <w:ind w:left="1080" w:right="4166" w:hanging="36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、公司法定中文名称：苏宁电器股份有限公司 公司法定英文名称：</w:t>
      </w:r>
      <w:r>
        <w:rPr>
          <w:rFonts w:ascii="Times New Roman" w:hAnsi="Times New Roman" w:cs="Times New Roman" w:eastAsia="Times New Roman" w:hint="default"/>
        </w:rPr>
        <w:t>SUNING APPLIANCE</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3"/>
        </w:rPr>
        <w:t>CO.,LTD.</w:t>
      </w:r>
    </w:p>
    <w:p>
      <w:pPr>
        <w:pStyle w:val="BodyText"/>
        <w:spacing w:line="333" w:lineRule="auto" w:before="22"/>
        <w:ind w:left="1080" w:right="5662"/>
        <w:jc w:val="left"/>
        <w:rPr>
          <w:rFonts w:ascii="Times New Roman" w:hAnsi="Times New Roman" w:cs="Times New Roman" w:eastAsia="Times New Roman" w:hint="default"/>
        </w:rPr>
      </w:pPr>
      <w:r>
        <w:rPr/>
        <w:t>中文名称缩写：苏宁电器 英文名称缩写：</w:t>
      </w:r>
      <w:r>
        <w:rPr>
          <w:rFonts w:ascii="Times New Roman" w:hAnsi="Times New Roman" w:cs="Times New Roman" w:eastAsia="Times New Roman" w:hint="default"/>
        </w:rPr>
        <w:t>SUNING</w:t>
      </w:r>
      <w:r>
        <w:rPr>
          <w:rFonts w:ascii="Times New Roman" w:hAnsi="Times New Roman" w:cs="Times New Roman" w:eastAsia="Times New Roman" w:hint="default"/>
          <w:spacing w:val="-20"/>
        </w:rPr>
        <w:t> </w:t>
      </w:r>
      <w:r>
        <w:rPr>
          <w:rFonts w:ascii="Times New Roman" w:hAnsi="Times New Roman" w:cs="Times New Roman" w:eastAsia="Times New Roman" w:hint="default"/>
        </w:rPr>
        <w:t>APPLIANCE</w:t>
      </w:r>
    </w:p>
    <w:p>
      <w:pPr>
        <w:pStyle w:val="BodyText"/>
        <w:spacing w:line="240" w:lineRule="auto" w:before="1"/>
        <w:ind w:left="720" w:right="3386"/>
        <w:jc w:val="left"/>
      </w:pPr>
      <w:r>
        <w:rPr>
          <w:rFonts w:ascii="Times New Roman" w:hAnsi="Times New Roman" w:cs="Times New Roman" w:eastAsia="Times New Roman" w:hint="default"/>
        </w:rPr>
        <w:t>2</w:t>
      </w:r>
      <w:r>
        <w:rPr/>
        <w:t>、公司法定代表人：张近东</w:t>
      </w:r>
    </w:p>
    <w:p>
      <w:pPr>
        <w:pStyle w:val="BodyText"/>
        <w:spacing w:line="240" w:lineRule="auto" w:before="104"/>
        <w:ind w:left="720" w:right="3386"/>
        <w:jc w:val="left"/>
      </w:pPr>
      <w:r>
        <w:rPr>
          <w:rFonts w:ascii="Times New Roman" w:hAnsi="Times New Roman" w:cs="Times New Roman" w:eastAsia="Times New Roman" w:hint="default"/>
        </w:rPr>
        <w:t>3</w:t>
      </w:r>
      <w:r>
        <w:rPr/>
        <w:t>、公司联系人和联系方式</w:t>
      </w:r>
    </w:p>
    <w:p>
      <w:pPr>
        <w:spacing w:line="240" w:lineRule="auto" w:before="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315"/>
        <w:gridCol w:w="2523"/>
        <w:gridCol w:w="2523"/>
        <w:gridCol w:w="2885"/>
      </w:tblGrid>
      <w:tr>
        <w:trPr>
          <w:trHeight w:val="332" w:hRule="exact"/>
        </w:trPr>
        <w:tc>
          <w:tcPr>
            <w:tcW w:w="1315" w:type="dxa"/>
            <w:tcBorders>
              <w:top w:val="single" w:sz="12" w:space="0" w:color="000000"/>
              <w:left w:val="single" w:sz="12" w:space="0" w:color="000000"/>
              <w:bottom w:val="single" w:sz="4" w:space="0" w:color="000000"/>
              <w:right w:val="single" w:sz="4" w:space="0" w:color="000000"/>
            </w:tcBorders>
          </w:tcPr>
          <w:p>
            <w:pPr/>
          </w:p>
        </w:tc>
        <w:tc>
          <w:tcPr>
            <w:tcW w:w="2523"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523"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c>
          <w:tcPr>
            <w:tcW w:w="2885" w:type="dxa"/>
            <w:tcBorders>
              <w:top w:val="single" w:sz="12" w:space="0" w:color="000000"/>
              <w:left w:val="single" w:sz="4" w:space="0" w:color="000000"/>
              <w:bottom w:val="single" w:sz="4" w:space="0" w:color="000000"/>
              <w:right w:val="single" w:sz="12" w:space="0" w:color="000000"/>
            </w:tcBorders>
          </w:tcPr>
          <w:p>
            <w:pPr>
              <w:pStyle w:val="TableParagraph"/>
              <w:spacing w:line="261" w:lineRule="exact"/>
              <w:ind w:left="14" w:right="0"/>
              <w:jc w:val="center"/>
              <w:rPr>
                <w:rFonts w:ascii="宋体" w:hAnsi="宋体" w:cs="宋体" w:eastAsia="宋体" w:hint="default"/>
                <w:sz w:val="21"/>
                <w:szCs w:val="21"/>
              </w:rPr>
            </w:pPr>
            <w:r>
              <w:rPr>
                <w:rFonts w:ascii="宋体" w:hAnsi="宋体" w:cs="宋体" w:eastAsia="宋体" w:hint="default"/>
                <w:sz w:val="21"/>
                <w:szCs w:val="21"/>
              </w:rPr>
              <w:t>投资者关系管理负责人</w:t>
            </w:r>
          </w:p>
        </w:tc>
      </w:tr>
      <w:tr>
        <w:trPr>
          <w:trHeight w:val="338" w:hRule="exact"/>
        </w:trPr>
        <w:tc>
          <w:tcPr>
            <w:tcW w:w="1315" w:type="dxa"/>
            <w:tcBorders>
              <w:top w:val="single" w:sz="4" w:space="0" w:color="000000"/>
              <w:left w:val="single" w:sz="12" w:space="0" w:color="000000"/>
              <w:bottom w:val="single" w:sz="4"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姓</w:t>
              <w:tab/>
              <w:t>名</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韩</w:t>
              <w:tab/>
              <w:t>枫</w:t>
            </w:r>
          </w:p>
        </w:tc>
        <w:tc>
          <w:tcPr>
            <w:tcW w:w="2885" w:type="dxa"/>
            <w:tcBorders>
              <w:top w:val="single" w:sz="4" w:space="0" w:color="000000"/>
              <w:left w:val="single" w:sz="4" w:space="0" w:color="000000"/>
              <w:bottom w:val="single" w:sz="4" w:space="0" w:color="000000"/>
              <w:right w:val="single" w:sz="12" w:space="0" w:color="000000"/>
            </w:tcBorders>
          </w:tcPr>
          <w:p>
            <w:pPr>
              <w:pStyle w:val="TableParagraph"/>
              <w:tabs>
                <w:tab w:pos="437" w:val="left" w:leader="none"/>
              </w:tabs>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任</w:t>
              <w:tab/>
              <w:t>峻</w:t>
            </w:r>
          </w:p>
        </w:tc>
      </w:tr>
      <w:tr>
        <w:trPr>
          <w:trHeight w:val="341" w:hRule="exact"/>
        </w:trPr>
        <w:tc>
          <w:tcPr>
            <w:tcW w:w="1315"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电子邮箱</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r>
            <w:hyperlink r:id="rId8">
              <w:r>
                <w:rPr>
                  <w:rFonts w:ascii="Times New Roman"/>
                  <w:sz w:val="21"/>
                  <w:u w:val="single" w:color="000000"/>
                </w:rPr>
                <w:t>stock@cnsuning.com</w:t>
              </w:r>
              <w:r>
                <w:rPr>
                  <w:rFonts w:ascii="Times New Roman"/>
                  <w:sz w:val="21"/>
                </w:rPr>
              </w:r>
            </w:hyperlink>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r>
            <w:hyperlink r:id="rId8">
              <w:r>
                <w:rPr>
                  <w:rFonts w:ascii="Times New Roman"/>
                  <w:sz w:val="21"/>
                  <w:u w:val="single" w:color="000000"/>
                </w:rPr>
                <w:t>stock@cnsuning.com</w:t>
              </w:r>
              <w:r>
                <w:rPr>
                  <w:rFonts w:ascii="Times New Roman"/>
                  <w:sz w:val="21"/>
                </w:rPr>
              </w:r>
            </w:hyperlink>
          </w:p>
        </w:tc>
        <w:tc>
          <w:tcPr>
            <w:tcW w:w="28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left="12" w:right="0"/>
              <w:jc w:val="center"/>
              <w:rPr>
                <w:rFonts w:ascii="Times New Roman" w:hAnsi="Times New Roman" w:cs="Times New Roman" w:eastAsia="Times New Roman" w:hint="default"/>
                <w:sz w:val="21"/>
                <w:szCs w:val="21"/>
              </w:rPr>
            </w:pPr>
            <w:r>
              <w:rPr>
                <w:rFonts w:ascii="Times New Roman"/>
                <w:w w:val="100"/>
                <w:sz w:val="21"/>
              </w:rPr>
            </w:r>
            <w:hyperlink r:id="rId8">
              <w:r>
                <w:rPr>
                  <w:rFonts w:ascii="Times New Roman"/>
                  <w:sz w:val="21"/>
                  <w:u w:val="single" w:color="000000"/>
                </w:rPr>
                <w:t>stock@cnsuning.com</w:t>
              </w:r>
              <w:r>
                <w:rPr>
                  <w:rFonts w:ascii="Times New Roman"/>
                  <w:sz w:val="21"/>
                </w:rPr>
              </w:r>
            </w:hyperlink>
          </w:p>
        </w:tc>
      </w:tr>
      <w:tr>
        <w:trPr>
          <w:trHeight w:val="406" w:hRule="exact"/>
        </w:trPr>
        <w:tc>
          <w:tcPr>
            <w:tcW w:w="131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793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2383" w:right="0"/>
              <w:jc w:val="left"/>
              <w:rPr>
                <w:rFonts w:ascii="宋体" w:hAnsi="宋体" w:cs="宋体" w:eastAsia="宋体" w:hint="default"/>
                <w:sz w:val="21"/>
                <w:szCs w:val="21"/>
              </w:rPr>
            </w:pPr>
            <w:r>
              <w:rPr>
                <w:rFonts w:ascii="宋体" w:hAnsi="宋体" w:cs="宋体" w:eastAsia="宋体" w:hint="default"/>
                <w:sz w:val="21"/>
                <w:szCs w:val="21"/>
              </w:rPr>
              <w:t>江苏省南京市玄武区苏宁大道</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38" w:hRule="exact"/>
        </w:trPr>
        <w:tc>
          <w:tcPr>
            <w:tcW w:w="1315" w:type="dxa"/>
            <w:tcBorders>
              <w:top w:val="single" w:sz="4" w:space="0" w:color="000000"/>
              <w:left w:val="single" w:sz="12" w:space="0" w:color="000000"/>
              <w:bottom w:val="single" w:sz="4"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电</w:t>
              <w:tab/>
              <w:t>话</w:t>
            </w:r>
          </w:p>
        </w:tc>
        <w:tc>
          <w:tcPr>
            <w:tcW w:w="793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025-84418888-888122/888480</w:t>
            </w:r>
          </w:p>
        </w:tc>
      </w:tr>
      <w:tr>
        <w:trPr>
          <w:trHeight w:val="353" w:hRule="exact"/>
        </w:trPr>
        <w:tc>
          <w:tcPr>
            <w:tcW w:w="1315" w:type="dxa"/>
            <w:tcBorders>
              <w:top w:val="single" w:sz="4" w:space="0" w:color="000000"/>
              <w:left w:val="single" w:sz="12" w:space="0" w:color="000000"/>
              <w:bottom w:val="single" w:sz="12" w:space="0" w:color="000000"/>
              <w:right w:val="single" w:sz="4" w:space="0" w:color="000000"/>
            </w:tcBorders>
          </w:tcPr>
          <w:p>
            <w:pPr>
              <w:pStyle w:val="TableParagraph"/>
              <w:tabs>
                <w:tab w:pos="724" w:val="left" w:leader="none"/>
              </w:tabs>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传</w:t>
              <w:tab/>
              <w:t>真</w:t>
            </w:r>
          </w:p>
        </w:tc>
        <w:tc>
          <w:tcPr>
            <w:tcW w:w="7931"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025-8441888-888000-888480</w:t>
            </w:r>
          </w:p>
        </w:tc>
      </w:tr>
    </w:tbl>
    <w:p>
      <w:pPr>
        <w:pStyle w:val="BodyText"/>
        <w:spacing w:line="240" w:lineRule="auto" w:before="79"/>
        <w:ind w:left="722" w:right="3386"/>
        <w:jc w:val="left"/>
      </w:pPr>
      <w:r>
        <w:rPr>
          <w:rFonts w:ascii="Times New Roman" w:hAnsi="Times New Roman" w:cs="Times New Roman" w:eastAsia="Times New Roman" w:hint="default"/>
        </w:rPr>
        <w:t>4</w:t>
      </w:r>
      <w:r>
        <w:rPr/>
        <w:t>、公司注册地址：江苏省南京市山西路</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号金山大厦</w:t>
      </w:r>
      <w:r>
        <w:rPr>
          <w:spacing w:val="-61"/>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层</w:t>
      </w:r>
    </w:p>
    <w:p>
      <w:pPr>
        <w:spacing w:line="316" w:lineRule="auto" w:before="104"/>
        <w:ind w:left="1080" w:right="4328" w:firstLine="0"/>
        <w:jc w:val="left"/>
        <w:rPr>
          <w:rFonts w:ascii="Times New Roman" w:hAnsi="Times New Roman" w:cs="Times New Roman" w:eastAsia="Times New Roman" w:hint="default"/>
          <w:sz w:val="21"/>
          <w:szCs w:val="21"/>
        </w:rPr>
      </w:pPr>
      <w:r>
        <w:rPr>
          <w:rFonts w:ascii="宋体" w:hAnsi="宋体" w:cs="宋体" w:eastAsia="宋体" w:hint="default"/>
          <w:sz w:val="24"/>
          <w:szCs w:val="24"/>
        </w:rPr>
        <w:t>公司办公地址：江苏省南京市玄武区苏宁大道</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号 邮政编码：</w:t>
      </w:r>
      <w:r>
        <w:rPr>
          <w:rFonts w:ascii="Times New Roman" w:hAnsi="Times New Roman" w:cs="Times New Roman" w:eastAsia="Times New Roman" w:hint="default"/>
          <w:sz w:val="24"/>
          <w:szCs w:val="24"/>
        </w:rPr>
        <w:t>210042 </w:t>
      </w:r>
      <w:r>
        <w:rPr>
          <w:rFonts w:ascii="宋体" w:hAnsi="宋体" w:cs="宋体" w:eastAsia="宋体" w:hint="default"/>
          <w:sz w:val="24"/>
          <w:szCs w:val="24"/>
        </w:rPr>
        <w:t>互联网网址：</w:t>
      </w:r>
      <w:hyperlink r:id="rId9">
        <w:r>
          <w:rPr>
            <w:rFonts w:ascii="Times New Roman" w:hAnsi="Times New Roman" w:cs="Times New Roman" w:eastAsia="Times New Roman" w:hint="default"/>
            <w:sz w:val="21"/>
            <w:szCs w:val="21"/>
          </w:rPr>
          <w:t>http://www.cnsuning.com</w:t>
        </w:r>
      </w:hyperlink>
      <w:r>
        <w:rPr>
          <w:rFonts w:ascii="Times New Roman" w:hAnsi="Times New Roman" w:cs="Times New Roman" w:eastAsia="Times New Roman" w:hint="default"/>
          <w:w w:val="100"/>
          <w:sz w:val="21"/>
          <w:szCs w:val="21"/>
        </w:rPr>
        <w:t> </w:t>
      </w:r>
      <w:r>
        <w:rPr>
          <w:rFonts w:ascii="宋体" w:hAnsi="宋体" w:cs="宋体" w:eastAsia="宋体" w:hint="default"/>
          <w:sz w:val="24"/>
          <w:szCs w:val="24"/>
        </w:rPr>
        <w:t>电子信箱：</w:t>
      </w:r>
      <w:hyperlink r:id="rId8">
        <w:r>
          <w:rPr>
            <w:rFonts w:ascii="Times New Roman" w:hAnsi="Times New Roman" w:cs="Times New Roman" w:eastAsia="Times New Roman" w:hint="default"/>
            <w:sz w:val="21"/>
            <w:szCs w:val="21"/>
          </w:rPr>
          <w:t>stock@cnsuning.com</w:t>
        </w:r>
      </w:hyperlink>
    </w:p>
    <w:p>
      <w:pPr>
        <w:pStyle w:val="BodyText"/>
        <w:spacing w:line="240" w:lineRule="auto" w:before="30"/>
        <w:ind w:left="720" w:right="3386"/>
        <w:jc w:val="left"/>
      </w:pPr>
      <w:r>
        <w:rPr>
          <w:rFonts w:ascii="Times New Roman" w:hAnsi="Times New Roman" w:cs="Times New Roman" w:eastAsia="Times New Roman" w:hint="default"/>
          <w:spacing w:val="-1"/>
        </w:rPr>
        <w:t>5</w:t>
      </w:r>
      <w:r>
        <w:rPr/>
        <w:t>、公司选定的信息披露报纸</w:t>
      </w:r>
      <w:r>
        <w:rPr>
          <w:spacing w:val="-120"/>
        </w:rPr>
        <w:t>：</w:t>
      </w:r>
      <w:r>
        <w:rPr/>
        <w:t>《证券时报</w:t>
      </w:r>
      <w:r>
        <w:rPr>
          <w:spacing w:val="-120"/>
        </w:rPr>
        <w:t>》、</w:t>
      </w:r>
      <w:r>
        <w:rPr/>
        <w:t>《中国证券报》</w:t>
      </w:r>
    </w:p>
    <w:p>
      <w:pPr>
        <w:spacing w:line="328" w:lineRule="auto" w:before="104"/>
        <w:ind w:left="1080" w:right="3749" w:firstLine="2751"/>
        <w:jc w:val="left"/>
        <w:rPr>
          <w:rFonts w:ascii="宋体" w:hAnsi="宋体" w:cs="宋体" w:eastAsia="宋体" w:hint="default"/>
          <w:sz w:val="24"/>
          <w:szCs w:val="24"/>
        </w:rPr>
      </w:pPr>
      <w:r>
        <w:rPr>
          <w:rFonts w:ascii="宋体" w:hAnsi="宋体" w:cs="宋体" w:eastAsia="宋体" w:hint="default"/>
          <w:spacing w:val="-18"/>
          <w:sz w:val="24"/>
          <w:szCs w:val="24"/>
        </w:rPr>
        <w:t>《上海证券报》、《证券日报》</w:t>
      </w:r>
      <w:r>
        <w:rPr>
          <w:rFonts w:ascii="宋体" w:hAnsi="宋体" w:cs="宋体" w:eastAsia="宋体" w:hint="default"/>
          <w:sz w:val="24"/>
          <w:szCs w:val="24"/>
        </w:rPr>
        <w:t> 指定信息披露网址：</w:t>
      </w: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w w:val="100"/>
          <w:sz w:val="21"/>
          <w:szCs w:val="21"/>
        </w:rPr>
        <w:t> </w:t>
      </w:r>
      <w:r>
        <w:rPr>
          <w:rFonts w:ascii="宋体" w:hAnsi="宋体" w:cs="宋体" w:eastAsia="宋体" w:hint="default"/>
          <w:sz w:val="24"/>
          <w:szCs w:val="24"/>
        </w:rPr>
        <w:t>公司年度报告备置地点：公司董事会秘书办公室</w:t>
      </w:r>
    </w:p>
    <w:p>
      <w:pPr>
        <w:pStyle w:val="BodyText"/>
        <w:spacing w:line="324" w:lineRule="auto" w:before="34"/>
        <w:ind w:left="1080" w:right="6008" w:hanging="36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、股票上市交易所：深圳证券交易所 股票简称：苏宁电器 股票代码：</w:t>
      </w:r>
      <w:r>
        <w:rPr>
          <w:rFonts w:ascii="Times New Roman" w:hAnsi="Times New Roman" w:cs="Times New Roman" w:eastAsia="Times New Roman" w:hint="default"/>
        </w:rPr>
        <w:t>002024</w:t>
      </w:r>
    </w:p>
    <w:p>
      <w:pPr>
        <w:pStyle w:val="BodyText"/>
        <w:spacing w:line="240" w:lineRule="auto" w:before="11"/>
        <w:ind w:left="720" w:right="3386"/>
        <w:jc w:val="left"/>
      </w:pPr>
      <w:r>
        <w:rPr>
          <w:rFonts w:ascii="Times New Roman" w:hAnsi="Times New Roman" w:cs="Times New Roman" w:eastAsia="Times New Roman" w:hint="default"/>
        </w:rPr>
        <w:t>7</w:t>
      </w:r>
      <w:r>
        <w:rPr/>
        <w:t>、公司首次注册登记日期：</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pStyle w:val="BodyText"/>
        <w:spacing w:line="314" w:lineRule="auto" w:before="104"/>
        <w:ind w:left="1080" w:right="5108"/>
        <w:jc w:val="left"/>
      </w:pPr>
      <w:r>
        <w:rPr/>
        <w:t>公司最新注册登记日期：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 注册登记地点：江苏省工商行政管理局</w:t>
      </w:r>
    </w:p>
    <w:p>
      <w:pPr>
        <w:pStyle w:val="BodyText"/>
        <w:spacing w:line="319" w:lineRule="auto" w:before="48"/>
        <w:ind w:left="1080" w:right="3386" w:hanging="360"/>
        <w:jc w:val="left"/>
      </w:pPr>
      <w:r>
        <w:rPr>
          <w:rFonts w:ascii="Times New Roman" w:hAnsi="Times New Roman" w:cs="Times New Roman" w:eastAsia="Times New Roman" w:hint="default"/>
        </w:rPr>
        <w:t>8</w:t>
      </w:r>
      <w:r>
        <w:rPr/>
        <w:t>、企业法人营业执照注册号：</w:t>
      </w:r>
      <w:r>
        <w:rPr>
          <w:rFonts w:ascii="Times New Roman" w:hAnsi="Times New Roman" w:cs="Times New Roman" w:eastAsia="Times New Roman" w:hint="default"/>
        </w:rPr>
        <w:t>320000000035248 </w:t>
      </w:r>
      <w:r>
        <w:rPr/>
        <w:t>税务登记号码：苏宁税苏字</w:t>
      </w:r>
      <w:r>
        <w:rPr>
          <w:spacing w:val="-60"/>
        </w:rPr>
        <w:t> </w:t>
      </w:r>
      <w:r>
        <w:rPr>
          <w:rFonts w:ascii="Times New Roman" w:hAnsi="Times New Roman" w:cs="Times New Roman" w:eastAsia="Times New Roman" w:hint="default"/>
        </w:rPr>
        <w:t>320106608950987 </w:t>
      </w:r>
      <w:r>
        <w:rPr/>
        <w:t>组织机构代码证号码：</w:t>
      </w:r>
      <w:r>
        <w:rPr>
          <w:rFonts w:ascii="Times New Roman" w:hAnsi="Times New Roman" w:cs="Times New Roman" w:eastAsia="Times New Roman" w:hint="default"/>
        </w:rPr>
        <w:t>60895098-7 </w:t>
      </w:r>
      <w:r>
        <w:rPr/>
        <w:t>聘请的会计师事务所：普华永道中天会计师事务所有限公司 会计师事务所地址：中国上海市湖滨路</w:t>
      </w:r>
      <w:r>
        <w:rPr>
          <w:spacing w:val="-59"/>
        </w:rPr>
        <w:t> </w:t>
      </w:r>
      <w:r>
        <w:rPr>
          <w:rFonts w:ascii="Times New Roman" w:hAnsi="Times New Roman" w:cs="Times New Roman" w:eastAsia="Times New Roman" w:hint="default"/>
        </w:rPr>
        <w:t>202 </w:t>
      </w:r>
      <w:r>
        <w:rPr/>
        <w:t>号</w:t>
      </w:r>
    </w:p>
    <w:p>
      <w:pPr>
        <w:spacing w:after="0" w:line="319" w:lineRule="auto"/>
        <w:jc w:val="left"/>
        <w:sectPr>
          <w:pgSz w:w="11910" w:h="16840"/>
          <w:pgMar w:header="748" w:footer="907" w:top="980" w:bottom="1140" w:left="1200" w:right="0"/>
        </w:sectPr>
      </w:pPr>
    </w:p>
    <w:p>
      <w:pPr>
        <w:spacing w:line="240" w:lineRule="auto" w:before="6"/>
        <w:rPr>
          <w:rFonts w:ascii="宋体" w:hAnsi="宋体" w:cs="宋体" w:eastAsia="宋体" w:hint="default"/>
          <w:sz w:val="29"/>
          <w:szCs w:val="29"/>
        </w:rPr>
      </w:pPr>
    </w:p>
    <w:p>
      <w:pPr>
        <w:pStyle w:val="BodyText"/>
        <w:tabs>
          <w:tab w:pos="3860" w:val="left" w:leader="none"/>
        </w:tabs>
        <w:spacing w:line="333" w:lineRule="auto" w:before="26"/>
        <w:ind w:left="980" w:right="5306"/>
        <w:jc w:val="left"/>
      </w:pPr>
      <w:r>
        <w:rPr/>
        <w:t>签字会计师姓名：柯镇洪</w:t>
        <w:tab/>
        <w:t>曹婕 聘请的保荐机构：中信证券股份有限公司</w:t>
      </w:r>
    </w:p>
    <w:p>
      <w:pPr>
        <w:pStyle w:val="BodyText"/>
        <w:tabs>
          <w:tab w:pos="4100" w:val="left" w:leader="none"/>
        </w:tabs>
        <w:spacing w:line="314" w:lineRule="auto" w:before="29"/>
        <w:ind w:left="980" w:right="1532"/>
        <w:jc w:val="left"/>
      </w:pPr>
      <w:r>
        <w:rPr/>
        <w:t>保荐机构办公地址：广东省深圳市福田区深南大道</w:t>
      </w:r>
      <w:r>
        <w:rPr>
          <w:spacing w:val="-59"/>
        </w:rPr>
        <w:t> </w:t>
      </w:r>
      <w:r>
        <w:rPr>
          <w:rFonts w:ascii="Times New Roman" w:hAnsi="Times New Roman" w:cs="Times New Roman" w:eastAsia="Times New Roman" w:hint="default"/>
        </w:rPr>
        <w:t>7088 </w:t>
      </w:r>
      <w:r>
        <w:rPr/>
        <w:t>号招商银行大厦</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座 签字的保荐代表人：陈淑绵</w:t>
        <w:tab/>
        <w:t>宋家俊</w:t>
      </w:r>
    </w:p>
    <w:p>
      <w:pPr>
        <w:pStyle w:val="BodyText"/>
        <w:spacing w:line="240" w:lineRule="auto" w:before="48"/>
        <w:ind w:left="620" w:right="1314"/>
        <w:jc w:val="left"/>
      </w:pPr>
      <w:r>
        <w:rPr>
          <w:rFonts w:ascii="Times New Roman" w:hAnsi="Times New Roman" w:cs="Times New Roman" w:eastAsia="Times New Roman" w:hint="default"/>
        </w:rPr>
        <w:t>9</w:t>
      </w:r>
      <w:r>
        <w:rPr/>
        <w:t>、上市以来公司历史沿革</w:t>
      </w:r>
    </w:p>
    <w:p>
      <w:pPr>
        <w:pStyle w:val="BodyText"/>
        <w:spacing w:line="240" w:lineRule="auto" w:before="104"/>
        <w:ind w:left="560" w:right="1314"/>
        <w:jc w:val="left"/>
      </w:pPr>
      <w:r>
        <w:rPr/>
        <w:t>（</w:t>
      </w:r>
      <w:r>
        <w:rPr>
          <w:rFonts w:ascii="Times New Roman" w:hAnsi="Times New Roman" w:cs="Times New Roman" w:eastAsia="Times New Roman" w:hint="default"/>
        </w:rPr>
        <w:t>1</w:t>
      </w:r>
      <w:r>
        <w:rPr/>
        <w:t>）注册变更登记日期：</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注册资本由原</w:t>
      </w:r>
      <w:r>
        <w:rPr>
          <w:spacing w:val="-61"/>
        </w:rPr>
        <w:t> </w:t>
      </w:r>
      <w:r>
        <w:rPr>
          <w:rFonts w:ascii="Times New Roman" w:hAnsi="Times New Roman" w:cs="Times New Roman" w:eastAsia="Times New Roman" w:hint="default"/>
        </w:rPr>
        <w:t>6,816 </w:t>
      </w:r>
      <w:r>
        <w:rPr/>
        <w:t>万元增加至</w:t>
      </w:r>
      <w:r>
        <w:rPr>
          <w:spacing w:val="-60"/>
        </w:rPr>
        <w:t> </w:t>
      </w:r>
      <w:r>
        <w:rPr>
          <w:rFonts w:ascii="Times New Roman" w:hAnsi="Times New Roman" w:cs="Times New Roman" w:eastAsia="Times New Roman" w:hint="default"/>
        </w:rPr>
        <w:t>9,316 </w:t>
      </w:r>
      <w:r>
        <w:rPr/>
        <w:t>万元；</w:t>
      </w:r>
    </w:p>
    <w:p>
      <w:pPr>
        <w:pStyle w:val="BodyText"/>
        <w:spacing w:line="240" w:lineRule="auto" w:before="105"/>
        <w:ind w:left="560" w:right="1314"/>
        <w:jc w:val="left"/>
      </w:pPr>
      <w:r>
        <w:rPr/>
        <w:t>（</w:t>
      </w:r>
      <w:r>
        <w:rPr>
          <w:rFonts w:ascii="Times New Roman" w:hAnsi="Times New Roman" w:cs="Times New Roman" w:eastAsia="Times New Roman" w:hint="default"/>
        </w:rPr>
        <w:t>2</w:t>
      </w:r>
      <w:r>
        <w:rPr/>
        <w:t>）注册变更登记日期：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p>
    <w:p>
      <w:pPr>
        <w:pStyle w:val="BodyText"/>
        <w:spacing w:line="333" w:lineRule="auto" w:before="104"/>
        <w:ind w:left="560" w:right="1314"/>
        <w:jc w:val="left"/>
      </w:pPr>
      <w:r>
        <w:rPr>
          <w:spacing w:val="-5"/>
        </w:rPr>
        <w:t>公司名称由原“苏宁电器连锁集团有限公司”变更为“苏宁电器股份有限公司”、</w:t>
      </w:r>
      <w:r>
        <w:rPr>
          <w:spacing w:val="-117"/>
        </w:rPr>
        <w:t> </w:t>
      </w:r>
      <w:r>
        <w:rPr>
          <w:spacing w:val="-117"/>
        </w:rPr>
      </w:r>
      <w:r>
        <w:rPr/>
        <w:t>注册资本由原</w:t>
      </w:r>
      <w:r>
        <w:rPr>
          <w:spacing w:val="-61"/>
        </w:rPr>
        <w:t> </w:t>
      </w:r>
      <w:r>
        <w:rPr>
          <w:rFonts w:ascii="Times New Roman" w:hAnsi="Times New Roman" w:cs="Times New Roman" w:eastAsia="Times New Roman" w:hint="default"/>
        </w:rPr>
        <w:t>9,316 </w:t>
      </w:r>
      <w:r>
        <w:rPr/>
        <w:t>万元增加至</w:t>
      </w:r>
      <w:r>
        <w:rPr>
          <w:spacing w:val="-60"/>
        </w:rPr>
        <w:t> </w:t>
      </w:r>
      <w:r>
        <w:rPr>
          <w:rFonts w:ascii="Times New Roman" w:hAnsi="Times New Roman" w:cs="Times New Roman" w:eastAsia="Times New Roman" w:hint="default"/>
        </w:rPr>
        <w:t>33,537.6 </w:t>
      </w:r>
      <w:r>
        <w:rPr/>
        <w:t>万元；</w:t>
      </w:r>
    </w:p>
    <w:p>
      <w:pPr>
        <w:pStyle w:val="BodyText"/>
        <w:spacing w:line="324" w:lineRule="auto" w:before="1"/>
        <w:ind w:left="560" w:right="1314"/>
        <w:jc w:val="left"/>
      </w:pPr>
      <w:r>
        <w:rPr/>
        <w:t>（</w:t>
      </w:r>
      <w:r>
        <w:rPr>
          <w:rFonts w:ascii="Times New Roman" w:hAnsi="Times New Roman" w:cs="Times New Roman" w:eastAsia="Times New Roman" w:hint="default"/>
        </w:rPr>
        <w:t>3</w:t>
      </w:r>
      <w:r>
        <w:rPr/>
        <w:t>）注册变更登记日期：</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 </w:t>
      </w:r>
      <w:r>
        <w:rPr/>
        <w:t>日； </w:t>
      </w:r>
      <w:r>
        <w:rPr>
          <w:spacing w:val="-5"/>
        </w:rPr>
        <w:t>公司经营范围增加“以下经营范围限指定的分支机构经营：电子出版物、音像制品、</w:t>
      </w:r>
      <w:r>
        <w:rPr>
          <w:spacing w:val="-86"/>
        </w:rPr>
        <w:t> </w:t>
      </w:r>
      <w:r>
        <w:rPr>
          <w:spacing w:val="-86"/>
        </w:rPr>
      </w:r>
      <w:r>
        <w:rPr>
          <w:spacing w:val="-11"/>
        </w:rPr>
        <w:t>国内版图书、报刊零售”；</w:t>
      </w:r>
    </w:p>
    <w:p>
      <w:pPr>
        <w:pStyle w:val="BodyText"/>
        <w:spacing w:line="240" w:lineRule="auto" w:before="38"/>
        <w:ind w:left="560" w:right="1314"/>
        <w:jc w:val="left"/>
      </w:pPr>
      <w:r>
        <w:rPr/>
        <w:t>（</w:t>
      </w:r>
      <w:r>
        <w:rPr>
          <w:rFonts w:ascii="Times New Roman" w:hAnsi="Times New Roman" w:cs="Times New Roman" w:eastAsia="Times New Roman" w:hint="default"/>
        </w:rPr>
        <w:t>4</w:t>
      </w:r>
      <w:r>
        <w:rPr/>
        <w:t>）注册变更登记日期：</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注册资本由原</w:t>
      </w:r>
      <w:r>
        <w:rPr>
          <w:spacing w:val="-61"/>
        </w:rPr>
        <w:t> </w:t>
      </w:r>
      <w:r>
        <w:rPr>
          <w:rFonts w:ascii="Times New Roman" w:hAnsi="Times New Roman" w:cs="Times New Roman" w:eastAsia="Times New Roman" w:hint="default"/>
        </w:rPr>
        <w:t>33,537.6 </w:t>
      </w:r>
      <w:r>
        <w:rPr/>
        <w:t>万元增加至</w:t>
      </w:r>
      <w:r>
        <w:rPr>
          <w:spacing w:val="-60"/>
        </w:rPr>
        <w:t> </w:t>
      </w:r>
      <w:r>
        <w:rPr>
          <w:rFonts w:ascii="Times New Roman" w:hAnsi="Times New Roman" w:cs="Times New Roman" w:eastAsia="Times New Roman" w:hint="default"/>
        </w:rPr>
        <w:t>36,037.6 </w:t>
      </w:r>
      <w:r>
        <w:rPr/>
        <w:t>万元；</w:t>
      </w:r>
    </w:p>
    <w:p>
      <w:pPr>
        <w:pStyle w:val="BodyText"/>
        <w:spacing w:line="240" w:lineRule="auto" w:before="105"/>
        <w:ind w:left="560" w:right="1314"/>
        <w:jc w:val="left"/>
      </w:pPr>
      <w:r>
        <w:rPr/>
        <w:t>（</w:t>
      </w:r>
      <w:r>
        <w:rPr>
          <w:rFonts w:ascii="Times New Roman" w:hAnsi="Times New Roman" w:cs="Times New Roman" w:eastAsia="Times New Roman" w:hint="default"/>
        </w:rPr>
        <w:t>5</w:t>
      </w:r>
      <w:r>
        <w:rPr/>
        <w:t>）注册变更登记日期：</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注册资本由原</w:t>
      </w:r>
      <w:r>
        <w:rPr>
          <w:spacing w:val="-61"/>
        </w:rPr>
        <w:t> </w:t>
      </w:r>
      <w:r>
        <w:rPr>
          <w:rFonts w:ascii="Times New Roman" w:hAnsi="Times New Roman" w:cs="Times New Roman" w:eastAsia="Times New Roman" w:hint="default"/>
        </w:rPr>
        <w:t>36,037.6 </w:t>
      </w:r>
      <w:r>
        <w:rPr/>
        <w:t>万元增加至</w:t>
      </w:r>
      <w:r>
        <w:rPr>
          <w:spacing w:val="-60"/>
        </w:rPr>
        <w:t> </w:t>
      </w:r>
      <w:r>
        <w:rPr>
          <w:rFonts w:ascii="Times New Roman" w:hAnsi="Times New Roman" w:cs="Times New Roman" w:eastAsia="Times New Roman" w:hint="default"/>
        </w:rPr>
        <w:t>72,075.2 </w:t>
      </w:r>
      <w:r>
        <w:rPr/>
        <w:t>万元；</w:t>
      </w:r>
    </w:p>
    <w:p>
      <w:pPr>
        <w:pStyle w:val="BodyText"/>
        <w:spacing w:line="240" w:lineRule="auto" w:before="104"/>
        <w:ind w:left="560" w:right="1314"/>
        <w:jc w:val="left"/>
      </w:pPr>
      <w:r>
        <w:rPr/>
        <w:t>（</w:t>
      </w:r>
      <w:r>
        <w:rPr>
          <w:rFonts w:ascii="Times New Roman" w:hAnsi="Times New Roman" w:cs="Times New Roman" w:eastAsia="Times New Roman" w:hint="default"/>
        </w:rPr>
        <w:t>6</w:t>
      </w:r>
      <w:r>
        <w:rPr/>
        <w:t>）注册变更登记日期：</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注册资本由原</w:t>
      </w:r>
      <w:r>
        <w:rPr>
          <w:spacing w:val="-61"/>
        </w:rPr>
        <w:t> </w:t>
      </w:r>
      <w:r>
        <w:rPr>
          <w:rFonts w:ascii="Times New Roman" w:hAnsi="Times New Roman" w:cs="Times New Roman" w:eastAsia="Times New Roman" w:hint="default"/>
        </w:rPr>
        <w:t>72,075.2 </w:t>
      </w:r>
      <w:r>
        <w:rPr/>
        <w:t>万元增加至</w:t>
      </w:r>
      <w:r>
        <w:rPr>
          <w:spacing w:val="-60"/>
        </w:rPr>
        <w:t> </w:t>
      </w:r>
      <w:r>
        <w:rPr>
          <w:rFonts w:ascii="Times New Roman" w:hAnsi="Times New Roman" w:cs="Times New Roman" w:eastAsia="Times New Roman" w:hint="default"/>
        </w:rPr>
        <w:t>144,150.4 </w:t>
      </w:r>
      <w:r>
        <w:rPr/>
        <w:t>万元；</w:t>
      </w:r>
    </w:p>
    <w:p>
      <w:pPr>
        <w:pStyle w:val="BodyText"/>
        <w:spacing w:line="321" w:lineRule="auto" w:before="104"/>
        <w:ind w:left="560" w:right="1424"/>
        <w:jc w:val="left"/>
      </w:pPr>
      <w:r>
        <w:rPr/>
        <w:t>（</w:t>
      </w:r>
      <w:r>
        <w:rPr>
          <w:rFonts w:ascii="Times New Roman" w:hAnsi="Times New Roman" w:cs="Times New Roman" w:eastAsia="Times New Roman" w:hint="default"/>
        </w:rPr>
        <w:t>7</w:t>
      </w:r>
      <w:r>
        <w:rPr/>
        <w:t>）注册变更登记日期：</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27 </w:t>
      </w:r>
      <w:r>
        <w:rPr/>
        <w:t>日； </w:t>
      </w:r>
      <w:r>
        <w:rPr>
          <w:spacing w:val="-1"/>
        </w:rPr>
        <w:t>经营范围中原“以下经营范围限指定的分支机构经营：电子出版物、音像制品、国</w:t>
      </w:r>
      <w:r>
        <w:rPr>
          <w:spacing w:val="-116"/>
        </w:rPr>
        <w:t> </w:t>
      </w:r>
      <w:r>
        <w:rPr>
          <w:spacing w:val="-116"/>
        </w:rPr>
      </w:r>
      <w:r>
        <w:rPr>
          <w:spacing w:val="-3"/>
        </w:rPr>
        <w:t>内版图书、报刊零售”变更为“音像制品直营连锁销售</w:t>
      </w:r>
      <w:r>
        <w:rPr>
          <w:rFonts w:ascii="Times New Roman" w:hAnsi="Times New Roman" w:cs="Times New Roman" w:eastAsia="Times New Roman" w:hint="default"/>
          <w:spacing w:val="-3"/>
        </w:rPr>
        <w:t>,</w:t>
      </w:r>
      <w:r>
        <w:rPr>
          <w:spacing w:val="-3"/>
        </w:rPr>
        <w:t>以下经营范围限指定的分支</w:t>
      </w:r>
      <w:r>
        <w:rPr>
          <w:spacing w:val="-102"/>
        </w:rPr>
        <w:t> </w:t>
      </w:r>
      <w:r>
        <w:rPr>
          <w:spacing w:val="-6"/>
        </w:rPr>
        <w:t>机构经营：电子出版物、国内版图书、报刊零售”；</w:t>
      </w:r>
    </w:p>
    <w:p>
      <w:pPr>
        <w:pStyle w:val="BodyText"/>
        <w:spacing w:line="314" w:lineRule="auto" w:before="41"/>
        <w:ind w:left="560" w:right="4778"/>
        <w:jc w:val="left"/>
      </w:pPr>
      <w:r>
        <w:rPr/>
        <w:t>（</w:t>
      </w:r>
      <w:r>
        <w:rPr>
          <w:rFonts w:ascii="Times New Roman" w:hAnsi="Times New Roman" w:cs="Times New Roman" w:eastAsia="Times New Roman" w:hint="default"/>
        </w:rPr>
        <w:t>8</w:t>
      </w:r>
      <w:r>
        <w:rPr/>
        <w:t>）注册变更登记日期：</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 </w:t>
      </w:r>
      <w:r>
        <w:rPr>
          <w:spacing w:val="-10"/>
        </w:rPr>
        <w:t>公司经营范围增加“普通货运</w:t>
      </w:r>
      <w:r>
        <w:rPr>
          <w:rFonts w:ascii="Times New Roman" w:hAnsi="Times New Roman" w:cs="Times New Roman" w:eastAsia="Times New Roman" w:hint="default"/>
          <w:spacing w:val="-10"/>
        </w:rPr>
        <w:t>,</w:t>
      </w:r>
      <w:r>
        <w:rPr>
          <w:spacing w:val="-10"/>
        </w:rPr>
        <w:t>仓储</w:t>
      </w:r>
      <w:r>
        <w:rPr>
          <w:rFonts w:ascii="Times New Roman" w:hAnsi="Times New Roman" w:cs="Times New Roman" w:eastAsia="Times New Roman" w:hint="default"/>
          <w:spacing w:val="-10"/>
        </w:rPr>
        <w:t>(</w:t>
      </w:r>
      <w:r>
        <w:rPr>
          <w:spacing w:val="-10"/>
        </w:rPr>
        <w:t>危险品除外</w:t>
      </w:r>
      <w:r>
        <w:rPr>
          <w:rFonts w:ascii="Times New Roman" w:hAnsi="Times New Roman" w:cs="Times New Roman" w:eastAsia="Times New Roman" w:hint="default"/>
          <w:spacing w:val="-10"/>
        </w:rPr>
        <w:t>)</w:t>
      </w:r>
      <w:r>
        <w:rPr>
          <w:spacing w:val="-10"/>
        </w:rPr>
        <w:t>”；</w:t>
      </w:r>
      <w:r>
        <w:rPr/>
      </w:r>
    </w:p>
    <w:p>
      <w:pPr>
        <w:pStyle w:val="BodyText"/>
        <w:spacing w:line="314" w:lineRule="auto" w:before="22"/>
        <w:ind w:left="560" w:right="5053"/>
        <w:jc w:val="left"/>
      </w:pPr>
      <w:r>
        <w:rPr/>
        <w:t>（</w:t>
      </w:r>
      <w:r>
        <w:rPr>
          <w:rFonts w:ascii="Times New Roman" w:hAnsi="Times New Roman" w:cs="Times New Roman" w:eastAsia="Times New Roman" w:hint="default"/>
        </w:rPr>
        <w:t>9</w:t>
      </w:r>
      <w:r>
        <w:rPr/>
        <w:t>）变更注册登记日期：</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 公司注册号码变更为</w:t>
      </w:r>
      <w:r>
        <w:rPr>
          <w:spacing w:val="-61"/>
        </w:rPr>
        <w:t> </w:t>
      </w:r>
      <w:r>
        <w:rPr>
          <w:rFonts w:ascii="Times New Roman" w:hAnsi="Times New Roman" w:cs="Times New Roman" w:eastAsia="Times New Roman" w:hint="default"/>
        </w:rPr>
        <w:t>320000000035248</w:t>
      </w:r>
      <w:r>
        <w:rPr/>
        <w:t>；</w:t>
      </w:r>
    </w:p>
    <w:p>
      <w:pPr>
        <w:pStyle w:val="BodyText"/>
        <w:spacing w:line="324" w:lineRule="auto" w:before="22"/>
        <w:ind w:left="560" w:right="1314"/>
        <w:jc w:val="left"/>
      </w:pPr>
      <w:r>
        <w:rPr/>
        <w:t>（</w:t>
      </w:r>
      <w:r>
        <w:rPr>
          <w:rFonts w:ascii="Times New Roman" w:hAnsi="Times New Roman" w:cs="Times New Roman" w:eastAsia="Times New Roman" w:hint="default"/>
        </w:rPr>
        <w:t>10</w:t>
      </w:r>
      <w:r>
        <w:rPr/>
        <w:t>）注册变更登记日期：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8 </w:t>
      </w:r>
      <w:r>
        <w:rPr/>
        <w:t>日； </w:t>
      </w:r>
      <w:r>
        <w:rPr>
          <w:spacing w:val="-8"/>
        </w:rPr>
        <w:t>经营范围中原“仓储（危险品除外）”变更为“仓储”，同时公司经营范围增加“一</w:t>
      </w:r>
      <w:r>
        <w:rPr>
          <w:spacing w:val="-94"/>
        </w:rPr>
        <w:t> </w:t>
      </w:r>
      <w:r>
        <w:rPr>
          <w:spacing w:val="-94"/>
        </w:rPr>
      </w:r>
      <w:r>
        <w:rPr>
          <w:spacing w:val="-4"/>
        </w:rPr>
        <w:t>般经营项目：微型计算机配件、软件的销售，微型计算机的安装及维修”；</w:t>
      </w:r>
    </w:p>
    <w:p>
      <w:pPr>
        <w:pStyle w:val="BodyText"/>
        <w:spacing w:line="240" w:lineRule="auto" w:before="38"/>
        <w:ind w:left="560" w:right="1314"/>
        <w:jc w:val="left"/>
      </w:pPr>
      <w:r>
        <w:rPr/>
        <w:t>（</w:t>
      </w:r>
      <w:r>
        <w:rPr>
          <w:rFonts w:ascii="Times New Roman" w:hAnsi="Times New Roman" w:cs="Times New Roman" w:eastAsia="Times New Roman" w:hint="default"/>
        </w:rPr>
        <w:t>11</w:t>
      </w:r>
      <w:r>
        <w:rPr/>
        <w:t>）注册变更登记日期：</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日；</w:t>
      </w:r>
    </w:p>
    <w:p>
      <w:pPr>
        <w:pStyle w:val="BodyText"/>
        <w:spacing w:line="240" w:lineRule="auto" w:before="104"/>
        <w:ind w:left="560" w:right="1314"/>
        <w:jc w:val="left"/>
      </w:pPr>
      <w:r>
        <w:rPr/>
        <w:t>公司注册资本由原</w:t>
      </w:r>
      <w:r>
        <w:rPr>
          <w:spacing w:val="-60"/>
        </w:rPr>
        <w:t> </w:t>
      </w:r>
      <w:r>
        <w:rPr>
          <w:rFonts w:ascii="Times New Roman" w:hAnsi="Times New Roman" w:cs="Times New Roman" w:eastAsia="Times New Roman" w:hint="default"/>
        </w:rPr>
        <w:t>144,150.4 </w:t>
      </w:r>
      <w:r>
        <w:rPr/>
        <w:t>万元增加至</w:t>
      </w:r>
      <w:r>
        <w:rPr>
          <w:spacing w:val="-60"/>
        </w:rPr>
        <w:t> </w:t>
      </w:r>
      <w:r>
        <w:rPr>
          <w:rFonts w:ascii="Times New Roman" w:hAnsi="Times New Roman" w:cs="Times New Roman" w:eastAsia="Times New Roman" w:hint="default"/>
        </w:rPr>
        <w:t>149,550.4 </w:t>
      </w:r>
      <w:r>
        <w:rPr/>
        <w:t>万元；</w:t>
      </w:r>
    </w:p>
    <w:p>
      <w:pPr>
        <w:pStyle w:val="BodyText"/>
        <w:spacing w:line="240" w:lineRule="auto" w:before="104"/>
        <w:ind w:left="560" w:right="1314"/>
        <w:jc w:val="left"/>
      </w:pPr>
      <w:r>
        <w:rPr/>
        <w:t>（</w:t>
      </w:r>
      <w:r>
        <w:rPr>
          <w:rFonts w:ascii="Times New Roman" w:hAnsi="Times New Roman" w:cs="Times New Roman" w:eastAsia="Times New Roman" w:hint="default"/>
        </w:rPr>
        <w:t>12</w:t>
      </w:r>
      <w:r>
        <w:rPr/>
        <w:t>）注册变更登记日期：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w:t>
      </w:r>
    </w:p>
    <w:p>
      <w:pPr>
        <w:spacing w:after="0" w:line="240" w:lineRule="auto"/>
        <w:jc w:val="left"/>
        <w:sectPr>
          <w:pgSz w:w="11910" w:h="16840"/>
          <w:pgMar w:header="748" w:footer="907" w:top="980" w:bottom="110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1040" w:right="1314"/>
        <w:jc w:val="left"/>
      </w:pPr>
      <w:r>
        <w:rPr/>
        <w:t>公司注册资本由原</w:t>
      </w:r>
      <w:r>
        <w:rPr>
          <w:spacing w:val="-60"/>
        </w:rPr>
        <w:t> </w:t>
      </w:r>
      <w:r>
        <w:rPr>
          <w:rFonts w:ascii="Times New Roman" w:hAnsi="Times New Roman" w:cs="Times New Roman" w:eastAsia="Times New Roman" w:hint="default"/>
        </w:rPr>
        <w:t>149,550.4 </w:t>
      </w:r>
      <w:r>
        <w:rPr/>
        <w:t>万元增加至</w:t>
      </w:r>
      <w:r>
        <w:rPr>
          <w:spacing w:val="-60"/>
        </w:rPr>
        <w:t> </w:t>
      </w:r>
      <w:r>
        <w:rPr>
          <w:rFonts w:ascii="Times New Roman" w:hAnsi="Times New Roman" w:cs="Times New Roman" w:eastAsia="Times New Roman" w:hint="default"/>
        </w:rPr>
        <w:t>299,100.8 </w:t>
      </w:r>
      <w:r>
        <w:rPr/>
        <w:t>万元；</w:t>
      </w:r>
    </w:p>
    <w:p>
      <w:pPr>
        <w:pStyle w:val="BodyText"/>
        <w:spacing w:line="240" w:lineRule="auto" w:before="104"/>
        <w:ind w:left="560" w:right="1314"/>
        <w:jc w:val="left"/>
      </w:pPr>
      <w:r>
        <w:rPr/>
        <w:t>（</w:t>
      </w:r>
      <w:r>
        <w:rPr>
          <w:rFonts w:ascii="Times New Roman" w:hAnsi="Times New Roman" w:cs="Times New Roman" w:eastAsia="Times New Roman" w:hint="default"/>
        </w:rPr>
        <w:t>13</w:t>
      </w:r>
      <w:r>
        <w:rPr/>
        <w:t>）注册变更登记日期：</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324" w:lineRule="auto" w:before="104"/>
        <w:ind w:left="560" w:right="1424"/>
        <w:jc w:val="left"/>
      </w:pPr>
      <w:r>
        <w:rPr/>
        <w:t>注册资本由原</w:t>
      </w:r>
      <w:r>
        <w:rPr>
          <w:spacing w:val="-61"/>
        </w:rPr>
        <w:t> </w:t>
      </w:r>
      <w:r>
        <w:rPr>
          <w:rFonts w:ascii="Times New Roman" w:hAnsi="Times New Roman" w:cs="Times New Roman" w:eastAsia="Times New Roman" w:hint="default"/>
        </w:rPr>
        <w:t>299,100.8 </w:t>
      </w:r>
      <w:r>
        <w:rPr/>
        <w:t>万元增加至</w:t>
      </w:r>
      <w:r>
        <w:rPr>
          <w:spacing w:val="-60"/>
        </w:rPr>
        <w:t> </w:t>
      </w:r>
      <w:r>
        <w:rPr>
          <w:rFonts w:ascii="Times New Roman" w:hAnsi="Times New Roman" w:cs="Times New Roman" w:eastAsia="Times New Roman" w:hint="default"/>
        </w:rPr>
        <w:t>448,651.2 </w:t>
      </w:r>
      <w:r>
        <w:rPr/>
        <w:t>万元； </w:t>
      </w:r>
      <w:r>
        <w:rPr>
          <w:spacing w:val="-1"/>
        </w:rPr>
        <w:t>公司经营范围增加“许可经营项目：第二类增值电信业务中的信息服务业务（不含</w:t>
      </w:r>
      <w:r>
        <w:rPr>
          <w:spacing w:val="-115"/>
        </w:rPr>
        <w:t> </w:t>
      </w:r>
      <w:r>
        <w:rPr>
          <w:spacing w:val="-115"/>
        </w:rPr>
      </w:r>
      <w:r>
        <w:rPr>
          <w:spacing w:val="-7"/>
        </w:rPr>
        <w:t>固定网电话信息服务和互联网信息服务）；</w:t>
      </w:r>
    </w:p>
    <w:p>
      <w:pPr>
        <w:pStyle w:val="BodyText"/>
        <w:spacing w:line="314" w:lineRule="auto" w:before="38"/>
        <w:ind w:left="560" w:right="4761"/>
        <w:jc w:val="left"/>
      </w:pPr>
      <w:r>
        <w:rPr/>
        <w:t>（</w:t>
      </w:r>
      <w:r>
        <w:rPr>
          <w:rFonts w:ascii="Times New Roman" w:hAnsi="Times New Roman" w:cs="Times New Roman" w:eastAsia="Times New Roman" w:hint="default"/>
        </w:rPr>
        <w:t>14</w:t>
      </w:r>
      <w:r>
        <w:rPr/>
        <w:t>）注册变更登记日期：</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 </w:t>
      </w:r>
      <w:r>
        <w:rPr>
          <w:spacing w:val="-11"/>
        </w:rPr>
        <w:t>公司经营范围增加公司“废旧物资的回收与销售”；</w:t>
      </w:r>
      <w:r>
        <w:rPr/>
      </w:r>
    </w:p>
    <w:p>
      <w:pPr>
        <w:pStyle w:val="BodyText"/>
        <w:spacing w:line="240" w:lineRule="auto" w:before="49"/>
        <w:ind w:left="560" w:right="1314"/>
        <w:jc w:val="left"/>
      </w:pPr>
      <w:r>
        <w:rPr/>
        <w:t>（</w:t>
      </w:r>
      <w:r>
        <w:rPr>
          <w:rFonts w:ascii="Times New Roman" w:hAnsi="Times New Roman" w:cs="Times New Roman" w:eastAsia="Times New Roman" w:hint="default"/>
        </w:rPr>
        <w:t>15</w:t>
      </w:r>
      <w:r>
        <w:rPr/>
        <w:t>）注册变更登记日期：</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公司注册资本由原</w:t>
      </w:r>
      <w:r>
        <w:rPr>
          <w:spacing w:val="-60"/>
        </w:rPr>
        <w:t> </w:t>
      </w:r>
      <w:r>
        <w:rPr>
          <w:rFonts w:ascii="Times New Roman" w:hAnsi="Times New Roman" w:cs="Times New Roman" w:eastAsia="Times New Roman" w:hint="default"/>
        </w:rPr>
        <w:t>448,651.2 </w:t>
      </w:r>
      <w:r>
        <w:rPr/>
        <w:t>万元增加至</w:t>
      </w:r>
      <w:r>
        <w:rPr>
          <w:spacing w:val="-60"/>
        </w:rPr>
        <w:t> </w:t>
      </w:r>
      <w:r>
        <w:rPr>
          <w:rFonts w:ascii="Times New Roman" w:hAnsi="Times New Roman" w:cs="Times New Roman" w:eastAsia="Times New Roman" w:hint="default"/>
        </w:rPr>
        <w:t>466,414.1244 </w:t>
      </w:r>
      <w:r>
        <w:rPr/>
        <w:t>万元；</w:t>
      </w:r>
    </w:p>
    <w:p>
      <w:pPr>
        <w:pStyle w:val="BodyText"/>
        <w:spacing w:line="240" w:lineRule="auto" w:before="104"/>
        <w:ind w:left="560" w:right="1314"/>
        <w:jc w:val="left"/>
      </w:pPr>
      <w:r>
        <w:rPr/>
        <w:t>（</w:t>
      </w:r>
      <w:r>
        <w:rPr>
          <w:rFonts w:ascii="Times New Roman" w:hAnsi="Times New Roman" w:cs="Times New Roman" w:eastAsia="Times New Roman" w:hint="default"/>
        </w:rPr>
        <w:t>16</w:t>
      </w:r>
      <w:r>
        <w:rPr/>
        <w:t>）注册变更登记日期：</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p>
    <w:p>
      <w:pPr>
        <w:pStyle w:val="BodyText"/>
        <w:spacing w:line="240" w:lineRule="auto" w:before="104"/>
        <w:ind w:left="560" w:right="1314"/>
        <w:jc w:val="left"/>
      </w:pPr>
      <w:r>
        <w:rPr/>
        <w:t>公司注册资本由原</w:t>
      </w:r>
      <w:r>
        <w:rPr>
          <w:spacing w:val="-60"/>
        </w:rPr>
        <w:t> </w:t>
      </w:r>
      <w:r>
        <w:rPr>
          <w:rFonts w:ascii="Times New Roman" w:hAnsi="Times New Roman" w:cs="Times New Roman" w:eastAsia="Times New Roman" w:hint="default"/>
        </w:rPr>
        <w:t>466,414.1244 </w:t>
      </w:r>
      <w:r>
        <w:rPr/>
        <w:t>万元增加至</w:t>
      </w:r>
      <w:r>
        <w:rPr>
          <w:spacing w:val="-60"/>
        </w:rPr>
        <w:t> </w:t>
      </w:r>
      <w:r>
        <w:rPr>
          <w:rFonts w:ascii="Times New Roman" w:hAnsi="Times New Roman" w:cs="Times New Roman" w:eastAsia="Times New Roman" w:hint="default"/>
        </w:rPr>
        <w:t>699,621.1866 </w:t>
      </w:r>
      <w:r>
        <w:rPr/>
        <w:t>万元；</w:t>
      </w:r>
    </w:p>
    <w:p>
      <w:pPr>
        <w:pStyle w:val="BodyText"/>
        <w:spacing w:line="328" w:lineRule="auto" w:before="104"/>
        <w:ind w:left="560" w:right="1314"/>
        <w:jc w:val="left"/>
      </w:pPr>
      <w:r>
        <w:rPr/>
        <w:t>（</w:t>
      </w:r>
      <w:r>
        <w:rPr>
          <w:rFonts w:ascii="Times New Roman" w:hAnsi="Times New Roman" w:cs="Times New Roman" w:eastAsia="Times New Roman" w:hint="default"/>
        </w:rPr>
        <w:t>17</w:t>
      </w:r>
      <w:r>
        <w:rPr/>
        <w:t>）注册变更登记日期：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 </w:t>
      </w:r>
      <w:r>
        <w:rPr>
          <w:spacing w:val="-8"/>
        </w:rPr>
        <w:t>公司经营范围中删除“互联网信息服务（按许可证规定的范围经营）”，增加公司经</w:t>
      </w:r>
      <w:r>
        <w:rPr>
          <w:spacing w:val="-94"/>
        </w:rPr>
        <w:t> </w:t>
      </w:r>
      <w:r>
        <w:rPr>
          <w:spacing w:val="-94"/>
        </w:rPr>
      </w:r>
      <w:r>
        <w:rPr>
          <w:spacing w:val="-2"/>
        </w:rPr>
        <w:t>营范围“许可经营项目：预包装食品、散装食品批发与零售；一般经营项目：乐器</w:t>
      </w:r>
      <w:r>
        <w:rPr>
          <w:spacing w:val="-87"/>
        </w:rPr>
        <w:t> </w:t>
      </w:r>
      <w:r>
        <w:rPr>
          <w:spacing w:val="-87"/>
        </w:rPr>
      </w:r>
      <w:r>
        <w:rPr>
          <w:spacing w:val="-30"/>
        </w:rPr>
        <w:t>销售”。</w:t>
      </w:r>
    </w:p>
    <w:p>
      <w:pPr>
        <w:spacing w:after="0" w:line="328" w:lineRule="auto"/>
        <w:jc w:val="left"/>
        <w:sectPr>
          <w:pgSz w:w="11910" w:h="16840"/>
          <w:pgMar w:header="748" w:footer="907" w:top="980" w:bottom="1100" w:left="1300" w:right="0"/>
        </w:sectPr>
      </w:pPr>
    </w:p>
    <w:p>
      <w:pPr>
        <w:spacing w:line="240" w:lineRule="auto" w:before="0"/>
        <w:rPr>
          <w:rFonts w:ascii="宋体" w:hAnsi="宋体" w:cs="宋体" w:eastAsia="宋体" w:hint="default"/>
          <w:sz w:val="20"/>
          <w:szCs w:val="20"/>
        </w:rPr>
      </w:pPr>
    </w:p>
    <w:p>
      <w:pPr>
        <w:pStyle w:val="Heading1"/>
        <w:tabs>
          <w:tab w:pos="3632" w:val="left" w:leader="none"/>
        </w:tabs>
        <w:spacing w:line="240" w:lineRule="auto"/>
        <w:ind w:left="2352" w:right="3386"/>
        <w:jc w:val="left"/>
        <w:rPr>
          <w:b w:val="0"/>
          <w:bCs w:val="0"/>
        </w:rPr>
      </w:pPr>
      <w:bookmarkStart w:name="_TOC_250009" w:id="2"/>
      <w:r>
        <w:rPr>
          <w:w w:val="95"/>
        </w:rPr>
        <w:t>第二节</w:t>
        <w:tab/>
      </w:r>
      <w:r>
        <w:rPr/>
        <w:t>会计数据和业务数据摘要</w:t>
      </w:r>
      <w:bookmarkEnd w:id="2"/>
      <w:r>
        <w:rPr>
          <w:b w:val="0"/>
          <w:bCs w:val="0"/>
        </w:rPr>
      </w:r>
    </w:p>
    <w:p>
      <w:pPr>
        <w:pStyle w:val="BodyText"/>
        <w:spacing w:line="240" w:lineRule="auto" w:before="217"/>
        <w:ind w:left="720" w:right="3386"/>
        <w:jc w:val="left"/>
      </w:pPr>
      <w:r>
        <w:rPr/>
        <w:t>一、公司近三年主要会计数据和财务指标：</w:t>
      </w:r>
    </w:p>
    <w:p>
      <w:pPr>
        <w:tabs>
          <w:tab w:pos="7561" w:val="left" w:leader="none"/>
        </w:tabs>
        <w:spacing w:before="154"/>
        <w:ind w:left="720" w:right="142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、主要会计数据</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711"/>
        <w:gridCol w:w="1258"/>
        <w:gridCol w:w="1260"/>
        <w:gridCol w:w="1801"/>
        <w:gridCol w:w="1219"/>
      </w:tblGrid>
      <w:tr>
        <w:trPr>
          <w:trHeight w:val="662" w:hRule="exact"/>
        </w:trPr>
        <w:tc>
          <w:tcPr>
            <w:tcW w:w="3711"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25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left="364" w:right="360"/>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1219"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148"/>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41"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8" w:right="0"/>
              <w:jc w:val="center"/>
              <w:rPr>
                <w:rFonts w:ascii="Arial" w:hAnsi="Arial" w:cs="Arial" w:eastAsia="Arial" w:hint="default"/>
                <w:sz w:val="20"/>
                <w:szCs w:val="20"/>
              </w:rPr>
            </w:pPr>
            <w:r>
              <w:rPr>
                <w:rFonts w:ascii="Arial"/>
                <w:sz w:val="20"/>
              </w:rPr>
              <w:t>93,888,580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41" w:right="0"/>
              <w:jc w:val="left"/>
              <w:rPr>
                <w:rFonts w:ascii="Arial" w:hAnsi="Arial" w:cs="Arial" w:eastAsia="Arial" w:hint="default"/>
                <w:sz w:val="20"/>
                <w:szCs w:val="20"/>
              </w:rPr>
            </w:pPr>
            <w:r>
              <w:rPr>
                <w:rFonts w:ascii="Arial"/>
                <w:sz w:val="20"/>
              </w:rPr>
              <w:t>75,504,739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w w:val="95"/>
                <w:sz w:val="20"/>
              </w:rPr>
              <w:t>24.35%</w:t>
            </w:r>
            <w:r>
              <w:rPr>
                <w:rFonts w:ascii="Arial"/>
                <w:sz w:val="20"/>
              </w:rPr>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4"/>
              <w:jc w:val="right"/>
              <w:rPr>
                <w:rFonts w:ascii="Arial" w:hAnsi="Arial" w:cs="Arial" w:eastAsia="Arial" w:hint="default"/>
                <w:sz w:val="20"/>
                <w:szCs w:val="20"/>
              </w:rPr>
            </w:pPr>
            <w:r>
              <w:rPr>
                <w:rFonts w:ascii="Arial"/>
                <w:w w:val="95"/>
                <w:sz w:val="20"/>
              </w:rPr>
              <w:t>58,300,149</w:t>
            </w:r>
            <w:r>
              <w:rPr>
                <w:rFonts w:ascii="Arial"/>
                <w:sz w:val="20"/>
              </w:rPr>
            </w:r>
          </w:p>
        </w:tc>
      </w:tr>
      <w:tr>
        <w:trPr>
          <w:trHeight w:val="338"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55" w:right="0"/>
              <w:jc w:val="center"/>
              <w:rPr>
                <w:rFonts w:ascii="Arial" w:hAnsi="Arial" w:cs="Arial" w:eastAsia="Arial" w:hint="default"/>
                <w:sz w:val="20"/>
                <w:szCs w:val="20"/>
              </w:rPr>
            </w:pPr>
            <w:r>
              <w:rPr>
                <w:rFonts w:ascii="Arial"/>
                <w:sz w:val="20"/>
              </w:rPr>
              <w:t>6,444,081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8"/>
              <w:jc w:val="right"/>
              <w:rPr>
                <w:rFonts w:ascii="Arial" w:hAnsi="Arial" w:cs="Arial" w:eastAsia="Arial" w:hint="default"/>
                <w:sz w:val="20"/>
                <w:szCs w:val="20"/>
              </w:rPr>
            </w:pPr>
            <w:r>
              <w:rPr>
                <w:rFonts w:ascii="Arial"/>
                <w:w w:val="95"/>
                <w:sz w:val="20"/>
              </w:rPr>
              <w:t>5,431,948</w:t>
            </w:r>
            <w:r>
              <w:rPr>
                <w:rFonts w:ascii="Arial"/>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spacing w:val="-1"/>
                <w:sz w:val="20"/>
              </w:rPr>
              <w:t>18.63%</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3"/>
              <w:jc w:val="right"/>
              <w:rPr>
                <w:rFonts w:ascii="Arial" w:hAnsi="Arial" w:cs="Arial" w:eastAsia="Arial" w:hint="default"/>
                <w:sz w:val="20"/>
                <w:szCs w:val="20"/>
              </w:rPr>
            </w:pPr>
            <w:r>
              <w:rPr>
                <w:rFonts w:ascii="Arial"/>
                <w:w w:val="95"/>
                <w:sz w:val="20"/>
              </w:rPr>
              <w:t>3,875,032</w:t>
            </w:r>
            <w:r>
              <w:rPr>
                <w:rFonts w:ascii="Arial"/>
                <w:sz w:val="20"/>
              </w:rPr>
            </w:r>
          </w:p>
        </w:tc>
      </w:tr>
      <w:tr>
        <w:trPr>
          <w:trHeight w:val="341"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48" w:right="0"/>
              <w:jc w:val="center"/>
              <w:rPr>
                <w:rFonts w:ascii="Arial" w:hAnsi="Arial" w:cs="Arial" w:eastAsia="Arial" w:hint="default"/>
                <w:sz w:val="20"/>
                <w:szCs w:val="20"/>
              </w:rPr>
            </w:pPr>
            <w:r>
              <w:rPr>
                <w:rFonts w:ascii="Arial"/>
                <w:sz w:val="20"/>
              </w:rPr>
              <w:t>6,473,226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8"/>
              <w:jc w:val="right"/>
              <w:rPr>
                <w:rFonts w:ascii="Arial" w:hAnsi="Arial" w:cs="Arial" w:eastAsia="Arial" w:hint="default"/>
                <w:sz w:val="20"/>
                <w:szCs w:val="20"/>
              </w:rPr>
            </w:pPr>
            <w:r>
              <w:rPr>
                <w:rFonts w:ascii="Arial"/>
                <w:w w:val="95"/>
                <w:sz w:val="20"/>
              </w:rPr>
              <w:t>5,402,044</w:t>
            </w:r>
            <w:r>
              <w:rPr>
                <w:rFonts w:ascii="Arial"/>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spacing w:val="-1"/>
                <w:sz w:val="20"/>
              </w:rPr>
              <w:t>19.83%</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3"/>
              <w:jc w:val="right"/>
              <w:rPr>
                <w:rFonts w:ascii="Arial" w:hAnsi="Arial" w:cs="Arial" w:eastAsia="Arial" w:hint="default"/>
                <w:sz w:val="20"/>
                <w:szCs w:val="20"/>
              </w:rPr>
            </w:pPr>
            <w:r>
              <w:rPr>
                <w:rFonts w:ascii="Arial"/>
                <w:w w:val="95"/>
                <w:sz w:val="20"/>
              </w:rPr>
              <w:t>3,926,367</w:t>
            </w:r>
            <w:r>
              <w:rPr>
                <w:rFonts w:ascii="Arial"/>
                <w:sz w:val="20"/>
              </w:rPr>
            </w:r>
          </w:p>
        </w:tc>
      </w:tr>
      <w:tr>
        <w:trPr>
          <w:trHeight w:val="562"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1"/>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left="151" w:right="0"/>
              <w:jc w:val="center"/>
              <w:rPr>
                <w:rFonts w:ascii="Arial" w:hAnsi="Arial" w:cs="Arial" w:eastAsia="Arial" w:hint="default"/>
                <w:sz w:val="20"/>
                <w:szCs w:val="20"/>
              </w:rPr>
            </w:pPr>
            <w:r>
              <w:rPr>
                <w:rFonts w:ascii="Arial"/>
                <w:sz w:val="20"/>
              </w:rPr>
              <w:t>4,820,594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8"/>
              <w:jc w:val="right"/>
              <w:rPr>
                <w:rFonts w:ascii="Arial" w:hAnsi="Arial" w:cs="Arial" w:eastAsia="Arial" w:hint="default"/>
                <w:sz w:val="20"/>
                <w:szCs w:val="20"/>
              </w:rPr>
            </w:pPr>
            <w:r>
              <w:rPr>
                <w:rFonts w:ascii="Arial"/>
                <w:spacing w:val="-2"/>
                <w:w w:val="95"/>
                <w:sz w:val="20"/>
              </w:rPr>
              <w:t>4,011,820</w:t>
            </w:r>
            <w:r>
              <w:rPr>
                <w:rFonts w:ascii="Arial"/>
                <w:spacing w:val="-2"/>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99"/>
              <w:jc w:val="right"/>
              <w:rPr>
                <w:rFonts w:ascii="Arial" w:hAnsi="Arial" w:cs="Arial" w:eastAsia="Arial" w:hint="default"/>
                <w:sz w:val="20"/>
                <w:szCs w:val="20"/>
              </w:rPr>
            </w:pPr>
            <w:r>
              <w:rPr>
                <w:rFonts w:ascii="Arial"/>
                <w:spacing w:val="-1"/>
                <w:sz w:val="20"/>
              </w:rPr>
              <w:t>20.16%</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4"/>
              <w:ind w:right="93"/>
              <w:jc w:val="right"/>
              <w:rPr>
                <w:rFonts w:ascii="Arial" w:hAnsi="Arial" w:cs="Arial" w:eastAsia="Arial" w:hint="default"/>
                <w:sz w:val="20"/>
                <w:szCs w:val="20"/>
              </w:rPr>
            </w:pPr>
            <w:r>
              <w:rPr>
                <w:rFonts w:ascii="Arial"/>
                <w:w w:val="95"/>
                <w:sz w:val="20"/>
              </w:rPr>
              <w:t>2,889,956</w:t>
            </w:r>
            <w:r>
              <w:rPr>
                <w:rFonts w:ascii="Arial"/>
                <w:sz w:val="20"/>
              </w:rPr>
            </w:r>
          </w:p>
        </w:tc>
      </w:tr>
      <w:tr>
        <w:trPr>
          <w:trHeight w:val="691"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28"/>
              <w:ind w:left="93" w:right="95"/>
              <w:jc w:val="left"/>
              <w:rPr>
                <w:rFonts w:ascii="宋体" w:hAnsi="宋体" w:cs="宋体" w:eastAsia="宋体" w:hint="default"/>
                <w:sz w:val="21"/>
                <w:szCs w:val="21"/>
              </w:rPr>
            </w:pPr>
            <w:r>
              <w:rPr>
                <w:rFonts w:ascii="宋体" w:hAnsi="宋体" w:cs="宋体" w:eastAsia="宋体" w:hint="default"/>
                <w:spacing w:val="5"/>
                <w:sz w:val="21"/>
                <w:szCs w:val="21"/>
              </w:rPr>
              <w:t>归属于上市公司股东的扣除非经常性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损益的净利润</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8" w:right="0"/>
              <w:jc w:val="center"/>
              <w:rPr>
                <w:rFonts w:ascii="Arial" w:hAnsi="Arial" w:cs="Arial" w:eastAsia="Arial" w:hint="default"/>
                <w:sz w:val="20"/>
                <w:szCs w:val="20"/>
              </w:rPr>
            </w:pPr>
            <w:r>
              <w:rPr>
                <w:rFonts w:ascii="Arial"/>
                <w:sz w:val="20"/>
              </w:rPr>
              <w:t>4,623,986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Arial" w:hAnsi="Arial" w:cs="Arial" w:eastAsia="Arial" w:hint="default"/>
                <w:sz w:val="20"/>
                <w:szCs w:val="20"/>
              </w:rPr>
            </w:pPr>
            <w:r>
              <w:rPr>
                <w:rFonts w:ascii="Arial"/>
                <w:w w:val="95"/>
                <w:sz w:val="20"/>
              </w:rPr>
              <w:t>4,029,589</w:t>
            </w:r>
            <w:r>
              <w:rPr>
                <w:rFonts w:ascii="Arial"/>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20"/>
                <w:szCs w:val="20"/>
              </w:rPr>
            </w:pPr>
            <w:r>
              <w:rPr>
                <w:rFonts w:ascii="Arial"/>
                <w:spacing w:val="-1"/>
                <w:sz w:val="20"/>
              </w:rPr>
              <w:t>14.75%</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3"/>
              <w:jc w:val="right"/>
              <w:rPr>
                <w:rFonts w:ascii="Arial" w:hAnsi="Arial" w:cs="Arial" w:eastAsia="Arial" w:hint="default"/>
                <w:sz w:val="20"/>
                <w:szCs w:val="20"/>
              </w:rPr>
            </w:pPr>
            <w:r>
              <w:rPr>
                <w:rFonts w:ascii="Arial"/>
                <w:w w:val="95"/>
                <w:sz w:val="20"/>
              </w:rPr>
              <w:t>2,852,724</w:t>
            </w:r>
            <w:r>
              <w:rPr>
                <w:rFonts w:ascii="Arial"/>
                <w:sz w:val="20"/>
              </w:rPr>
            </w:r>
          </w:p>
        </w:tc>
      </w:tr>
      <w:tr>
        <w:trPr>
          <w:trHeight w:val="619"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29"/>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9" w:right="0"/>
              <w:jc w:val="center"/>
              <w:rPr>
                <w:rFonts w:ascii="Arial" w:hAnsi="Arial" w:cs="Arial" w:eastAsia="Arial" w:hint="default"/>
                <w:sz w:val="20"/>
                <w:szCs w:val="20"/>
              </w:rPr>
            </w:pPr>
            <w:r>
              <w:rPr>
                <w:rFonts w:ascii="Arial"/>
                <w:sz w:val="20"/>
              </w:rPr>
              <w:t>6,588,520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w:hAnsi="Arial" w:cs="Arial" w:eastAsia="Arial" w:hint="default"/>
                <w:sz w:val="20"/>
                <w:szCs w:val="20"/>
              </w:rPr>
            </w:pPr>
            <w:r>
              <w:rPr>
                <w:rFonts w:ascii="Arial"/>
                <w:w w:val="95"/>
                <w:sz w:val="20"/>
              </w:rPr>
              <w:t>3,881,336</w:t>
            </w:r>
            <w:r>
              <w:rPr>
                <w:rFonts w:ascii="Arial"/>
                <w:sz w:val="20"/>
              </w:rPr>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Arial" w:hAnsi="Arial" w:cs="Arial" w:eastAsia="Arial" w:hint="default"/>
                <w:sz w:val="20"/>
                <w:szCs w:val="20"/>
              </w:rPr>
            </w:pPr>
            <w:r>
              <w:rPr>
                <w:rFonts w:ascii="Arial"/>
                <w:spacing w:val="-1"/>
                <w:sz w:val="20"/>
              </w:rPr>
              <w:t>69.75%</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3"/>
              <w:jc w:val="right"/>
              <w:rPr>
                <w:rFonts w:ascii="Arial" w:hAnsi="Arial" w:cs="Arial" w:eastAsia="Arial" w:hint="default"/>
                <w:sz w:val="20"/>
                <w:szCs w:val="20"/>
              </w:rPr>
            </w:pPr>
            <w:r>
              <w:rPr>
                <w:rFonts w:ascii="Arial"/>
                <w:w w:val="95"/>
                <w:sz w:val="20"/>
              </w:rPr>
              <w:t>5,554,942</w:t>
            </w:r>
            <w:r>
              <w:rPr>
                <w:rFonts w:ascii="Arial"/>
                <w:sz w:val="20"/>
              </w:rPr>
            </w:r>
          </w:p>
        </w:tc>
      </w:tr>
      <w:tr>
        <w:trPr>
          <w:trHeight w:val="566"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指标</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02"/>
              <w:ind w:right="14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41"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8" w:right="0"/>
              <w:jc w:val="center"/>
              <w:rPr>
                <w:rFonts w:ascii="Arial" w:hAnsi="Arial" w:cs="Arial" w:eastAsia="Arial" w:hint="default"/>
                <w:sz w:val="20"/>
                <w:szCs w:val="20"/>
              </w:rPr>
            </w:pPr>
            <w:r>
              <w:rPr>
                <w:rFonts w:ascii="Arial"/>
                <w:sz w:val="20"/>
              </w:rPr>
              <w:t>59,786,473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41" w:right="0"/>
              <w:jc w:val="left"/>
              <w:rPr>
                <w:rFonts w:ascii="Arial" w:hAnsi="Arial" w:cs="Arial" w:eastAsia="Arial" w:hint="default"/>
                <w:sz w:val="20"/>
                <w:szCs w:val="20"/>
              </w:rPr>
            </w:pPr>
            <w:r>
              <w:rPr>
                <w:rFonts w:ascii="Arial"/>
                <w:sz w:val="20"/>
              </w:rPr>
              <w:t>43,907,382</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spacing w:val="-1"/>
                <w:sz w:val="20"/>
              </w:rPr>
              <w:t>36.16%</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4"/>
              <w:jc w:val="right"/>
              <w:rPr>
                <w:rFonts w:ascii="Arial" w:hAnsi="Arial" w:cs="Arial" w:eastAsia="Arial" w:hint="default"/>
                <w:sz w:val="20"/>
                <w:szCs w:val="20"/>
              </w:rPr>
            </w:pPr>
            <w:r>
              <w:rPr>
                <w:rFonts w:ascii="Arial"/>
                <w:w w:val="95"/>
                <w:sz w:val="20"/>
              </w:rPr>
              <w:t>35,839,832</w:t>
            </w:r>
            <w:r>
              <w:rPr>
                <w:rFonts w:ascii="Arial"/>
                <w:sz w:val="20"/>
              </w:rPr>
            </w:r>
          </w:p>
        </w:tc>
      </w:tr>
      <w:tr>
        <w:trPr>
          <w:trHeight w:val="341"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总负债</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8" w:right="0"/>
              <w:jc w:val="center"/>
              <w:rPr>
                <w:rFonts w:ascii="Arial" w:hAnsi="Arial" w:cs="Arial" w:eastAsia="Arial" w:hint="default"/>
                <w:sz w:val="20"/>
                <w:szCs w:val="20"/>
              </w:rPr>
            </w:pPr>
            <w:r>
              <w:rPr>
                <w:rFonts w:ascii="Arial"/>
                <w:sz w:val="20"/>
              </w:rPr>
              <w:t>36,755,935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41" w:right="0"/>
              <w:jc w:val="left"/>
              <w:rPr>
                <w:rFonts w:ascii="Arial" w:hAnsi="Arial" w:cs="Arial" w:eastAsia="Arial" w:hint="default"/>
                <w:sz w:val="20"/>
                <w:szCs w:val="20"/>
              </w:rPr>
            </w:pPr>
            <w:r>
              <w:rPr>
                <w:rFonts w:ascii="Arial"/>
                <w:sz w:val="20"/>
              </w:rPr>
              <w:t>25,061,991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w w:val="95"/>
                <w:sz w:val="20"/>
              </w:rPr>
              <w:t>46.66%</w:t>
            </w:r>
            <w:r>
              <w:rPr>
                <w:rFonts w:ascii="Arial"/>
                <w:sz w:val="20"/>
              </w:rPr>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4"/>
              <w:jc w:val="right"/>
              <w:rPr>
                <w:rFonts w:ascii="Arial" w:hAnsi="Arial" w:cs="Arial" w:eastAsia="Arial" w:hint="default"/>
                <w:sz w:val="20"/>
                <w:szCs w:val="20"/>
              </w:rPr>
            </w:pPr>
            <w:r>
              <w:rPr>
                <w:rFonts w:ascii="Arial"/>
                <w:w w:val="95"/>
                <w:sz w:val="20"/>
              </w:rPr>
              <w:t>20,914,849</w:t>
            </w:r>
            <w:r>
              <w:rPr>
                <w:rFonts w:ascii="Arial"/>
                <w:sz w:val="20"/>
              </w:rPr>
            </w:r>
          </w:p>
        </w:tc>
      </w:tr>
      <w:tr>
        <w:trPr>
          <w:trHeight w:val="339" w:hRule="exact"/>
        </w:trPr>
        <w:tc>
          <w:tcPr>
            <w:tcW w:w="3711" w:type="dxa"/>
            <w:tcBorders>
              <w:top w:val="single" w:sz="8" w:space="0" w:color="000000"/>
              <w:left w:val="single" w:sz="12" w:space="0" w:color="000000"/>
              <w:bottom w:val="single" w:sz="8"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2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38" w:right="0"/>
              <w:jc w:val="center"/>
              <w:rPr>
                <w:rFonts w:ascii="Arial" w:hAnsi="Arial" w:cs="Arial" w:eastAsia="Arial" w:hint="default"/>
                <w:sz w:val="20"/>
                <w:szCs w:val="20"/>
              </w:rPr>
            </w:pPr>
            <w:r>
              <w:rPr>
                <w:rFonts w:ascii="Arial"/>
                <w:sz w:val="20"/>
              </w:rPr>
              <w:t>22,328,334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41" w:right="0"/>
              <w:jc w:val="left"/>
              <w:rPr>
                <w:rFonts w:ascii="Arial" w:hAnsi="Arial" w:cs="Arial" w:eastAsia="Arial" w:hint="default"/>
                <w:sz w:val="20"/>
                <w:szCs w:val="20"/>
              </w:rPr>
            </w:pPr>
            <w:r>
              <w:rPr>
                <w:rFonts w:ascii="Arial"/>
                <w:sz w:val="20"/>
              </w:rPr>
              <w:t>18,338,189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99"/>
              <w:jc w:val="right"/>
              <w:rPr>
                <w:rFonts w:ascii="Arial" w:hAnsi="Arial" w:cs="Arial" w:eastAsia="Arial" w:hint="default"/>
                <w:sz w:val="20"/>
                <w:szCs w:val="20"/>
              </w:rPr>
            </w:pPr>
            <w:r>
              <w:rPr>
                <w:rFonts w:ascii="Arial"/>
                <w:spacing w:val="-1"/>
                <w:sz w:val="20"/>
              </w:rPr>
              <w:t>21.76%</w:t>
            </w:r>
          </w:p>
        </w:tc>
        <w:tc>
          <w:tcPr>
            <w:tcW w:w="121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94"/>
              <w:jc w:val="right"/>
              <w:rPr>
                <w:rFonts w:ascii="Arial" w:hAnsi="Arial" w:cs="Arial" w:eastAsia="Arial" w:hint="default"/>
                <w:sz w:val="20"/>
                <w:szCs w:val="20"/>
              </w:rPr>
            </w:pPr>
            <w:r>
              <w:rPr>
                <w:rFonts w:ascii="Arial"/>
                <w:w w:val="95"/>
                <w:sz w:val="20"/>
              </w:rPr>
              <w:t>14,540,346</w:t>
            </w:r>
            <w:r>
              <w:rPr>
                <w:rFonts w:ascii="Arial"/>
                <w:sz w:val="20"/>
              </w:rPr>
            </w:r>
          </w:p>
        </w:tc>
      </w:tr>
      <w:tr>
        <w:trPr>
          <w:trHeight w:val="346" w:hRule="exact"/>
        </w:trPr>
        <w:tc>
          <w:tcPr>
            <w:tcW w:w="3711" w:type="dxa"/>
            <w:tcBorders>
              <w:top w:val="single" w:sz="8" w:space="0" w:color="000000"/>
              <w:left w:val="single" w:sz="12" w:space="0" w:color="000000"/>
              <w:bottom w:val="single" w:sz="12" w:space="0" w:color="000000"/>
              <w:right w:val="single" w:sz="8"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left="148" w:right="0"/>
              <w:jc w:val="center"/>
              <w:rPr>
                <w:rFonts w:ascii="Arial" w:hAnsi="Arial" w:cs="Arial" w:eastAsia="Arial" w:hint="default"/>
                <w:sz w:val="20"/>
                <w:szCs w:val="20"/>
              </w:rPr>
            </w:pPr>
            <w:r>
              <w:rPr>
                <w:rFonts w:ascii="Arial"/>
                <w:sz w:val="20"/>
              </w:rPr>
              <w:t>6,996,212</w:t>
            </w:r>
          </w:p>
        </w:tc>
        <w:tc>
          <w:tcPr>
            <w:tcW w:w="12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right="98"/>
              <w:jc w:val="right"/>
              <w:rPr>
                <w:rFonts w:ascii="Arial" w:hAnsi="Arial" w:cs="Arial" w:eastAsia="Arial" w:hint="default"/>
                <w:sz w:val="20"/>
                <w:szCs w:val="20"/>
              </w:rPr>
            </w:pPr>
            <w:r>
              <w:rPr>
                <w:rFonts w:ascii="Arial"/>
                <w:spacing w:val="-1"/>
                <w:sz w:val="20"/>
              </w:rPr>
              <w:t>6,996,212</w:t>
            </w:r>
          </w:p>
        </w:tc>
        <w:tc>
          <w:tcPr>
            <w:tcW w:w="18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3"/>
              <w:ind w:right="97"/>
              <w:jc w:val="right"/>
              <w:rPr>
                <w:rFonts w:ascii="Arial" w:hAnsi="Arial" w:cs="Arial" w:eastAsia="Arial" w:hint="default"/>
                <w:sz w:val="20"/>
                <w:szCs w:val="20"/>
              </w:rPr>
            </w:pPr>
            <w:r>
              <w:rPr>
                <w:rFonts w:ascii="Arial"/>
                <w:w w:val="99"/>
                <w:sz w:val="20"/>
              </w:rPr>
              <w:t>-</w:t>
            </w:r>
            <w:r>
              <w:rPr>
                <w:rFonts w:ascii="Arial"/>
                <w:sz w:val="20"/>
              </w:rPr>
            </w:r>
          </w:p>
        </w:tc>
        <w:tc>
          <w:tcPr>
            <w:tcW w:w="121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3"/>
              <w:ind w:right="93"/>
              <w:jc w:val="right"/>
              <w:rPr>
                <w:rFonts w:ascii="Arial" w:hAnsi="Arial" w:cs="Arial" w:eastAsia="Arial" w:hint="default"/>
                <w:sz w:val="20"/>
                <w:szCs w:val="20"/>
              </w:rPr>
            </w:pPr>
            <w:r>
              <w:rPr>
                <w:rFonts w:ascii="Arial"/>
                <w:w w:val="95"/>
                <w:sz w:val="20"/>
              </w:rPr>
              <w:t>4,664,141</w:t>
            </w:r>
            <w:r>
              <w:rPr>
                <w:rFonts w:ascii="Arial"/>
                <w:sz w:val="20"/>
              </w:rPr>
            </w:r>
          </w:p>
        </w:tc>
      </w:tr>
    </w:tbl>
    <w:p>
      <w:pPr>
        <w:spacing w:line="240" w:lineRule="auto" w:before="9"/>
        <w:rPr>
          <w:rFonts w:ascii="宋体" w:hAnsi="宋体" w:cs="宋体" w:eastAsia="宋体" w:hint="default"/>
          <w:sz w:val="26"/>
          <w:szCs w:val="26"/>
        </w:rPr>
      </w:pPr>
    </w:p>
    <w:p>
      <w:pPr>
        <w:tabs>
          <w:tab w:pos="7681" w:val="left" w:leader="none"/>
        </w:tabs>
        <w:spacing w:before="26"/>
        <w:ind w:left="720" w:right="142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、主要财务指标</w:t>
        <w:tab/>
      </w:r>
      <w:r>
        <w:rPr>
          <w:rFonts w:ascii="宋体" w:hAnsi="宋体" w:cs="宋体" w:eastAsia="宋体" w:hint="default"/>
          <w:spacing w:val="-1"/>
          <w:sz w:val="21"/>
          <w:szCs w:val="21"/>
        </w:rPr>
        <w:t>（单位：元）</w:t>
      </w:r>
    </w:p>
    <w:p>
      <w:pPr>
        <w:spacing w:line="240" w:lineRule="auto" w:before="6"/>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3627"/>
        <w:gridCol w:w="1301"/>
        <w:gridCol w:w="1301"/>
        <w:gridCol w:w="1784"/>
        <w:gridCol w:w="1200"/>
      </w:tblGrid>
      <w:tr>
        <w:trPr>
          <w:trHeight w:val="617" w:hRule="exact"/>
        </w:trPr>
        <w:tc>
          <w:tcPr>
            <w:tcW w:w="36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9"/>
              <w:ind w:right="5"/>
              <w:jc w:val="center"/>
              <w:rPr>
                <w:rFonts w:ascii="宋体" w:hAnsi="宋体" w:cs="宋体" w:eastAsia="宋体" w:hint="default"/>
                <w:sz w:val="21"/>
                <w:szCs w:val="21"/>
              </w:rPr>
            </w:pPr>
            <w:r>
              <w:rPr>
                <w:rFonts w:ascii="宋体" w:hAnsi="宋体" w:cs="宋体" w:eastAsia="宋体" w:hint="default"/>
                <w:sz w:val="21"/>
                <w:szCs w:val="21"/>
              </w:rPr>
              <w:t>指标</w:t>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1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9"/>
              <w:ind w:left="2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70"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spacing w:val="-1"/>
                <w:sz w:val="20"/>
              </w:rPr>
              <w:t>0.6890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spacing w:val="-1"/>
                <w:sz w:val="20"/>
              </w:rPr>
              <w:t>0.5734</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0"/>
                <w:szCs w:val="20"/>
              </w:rPr>
            </w:pPr>
            <w:r>
              <w:rPr>
                <w:rFonts w:ascii="Arial"/>
                <w:w w:val="95"/>
                <w:sz w:val="20"/>
              </w:rPr>
              <w:t>20.16%</w:t>
            </w:r>
            <w:r>
              <w:rPr>
                <w:rFonts w:ascii="Arial"/>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3"/>
              <w:jc w:val="right"/>
              <w:rPr>
                <w:rFonts w:ascii="Arial" w:hAnsi="Arial" w:cs="Arial" w:eastAsia="Arial" w:hint="default"/>
                <w:sz w:val="20"/>
                <w:szCs w:val="20"/>
              </w:rPr>
            </w:pPr>
            <w:r>
              <w:rPr>
                <w:rFonts w:ascii="Arial"/>
                <w:spacing w:val="-1"/>
                <w:sz w:val="20"/>
              </w:rPr>
              <w:t>0.4294</w:t>
            </w:r>
          </w:p>
        </w:tc>
      </w:tr>
      <w:tr>
        <w:trPr>
          <w:trHeight w:val="367"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spacing w:val="-1"/>
                <w:sz w:val="20"/>
              </w:rPr>
              <w:t>0.6890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Arial" w:hAnsi="Arial" w:cs="Arial" w:eastAsia="Arial" w:hint="default"/>
                <w:sz w:val="20"/>
                <w:szCs w:val="20"/>
              </w:rPr>
            </w:pPr>
            <w:r>
              <w:rPr>
                <w:rFonts w:ascii="Arial"/>
                <w:spacing w:val="-1"/>
                <w:sz w:val="20"/>
              </w:rPr>
              <w:t>0.5734</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0"/>
                <w:szCs w:val="20"/>
              </w:rPr>
            </w:pPr>
            <w:r>
              <w:rPr>
                <w:rFonts w:ascii="Arial"/>
                <w:w w:val="95"/>
                <w:sz w:val="20"/>
              </w:rPr>
              <w:t>20.16%</w:t>
            </w:r>
            <w:r>
              <w:rPr>
                <w:rFonts w:ascii="Arial"/>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3"/>
              <w:jc w:val="right"/>
              <w:rPr>
                <w:rFonts w:ascii="Arial" w:hAnsi="Arial" w:cs="Arial" w:eastAsia="Arial" w:hint="default"/>
                <w:sz w:val="20"/>
                <w:szCs w:val="20"/>
              </w:rPr>
            </w:pPr>
            <w:r>
              <w:rPr>
                <w:rFonts w:ascii="Arial"/>
                <w:spacing w:val="-1"/>
                <w:sz w:val="20"/>
              </w:rPr>
              <w:t>0.4294</w:t>
            </w:r>
          </w:p>
        </w:tc>
      </w:tr>
      <w:tr>
        <w:trPr>
          <w:trHeight w:val="433"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1"/>
              <w:ind w:left="93"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扣除非经常性损益后的基本每股收益</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Arial" w:hAnsi="Arial" w:cs="Arial" w:eastAsia="Arial" w:hint="default"/>
                <w:sz w:val="20"/>
                <w:szCs w:val="20"/>
              </w:rPr>
            </w:pPr>
            <w:r>
              <w:rPr>
                <w:rFonts w:ascii="Arial"/>
                <w:spacing w:val="-1"/>
                <w:sz w:val="20"/>
              </w:rPr>
              <w:t>0.6609</w:t>
            </w:r>
            <w:r>
              <w:rPr>
                <w:rFonts w:ascii="Arial"/>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Arial" w:hAnsi="Arial" w:cs="Arial" w:eastAsia="Arial" w:hint="default"/>
                <w:sz w:val="20"/>
                <w:szCs w:val="20"/>
              </w:rPr>
            </w:pPr>
            <w:r>
              <w:rPr>
                <w:rFonts w:ascii="Arial"/>
                <w:spacing w:val="-1"/>
                <w:sz w:val="20"/>
              </w:rPr>
              <w:t>0.5760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Arial" w:hAnsi="Arial" w:cs="Arial" w:eastAsia="Arial" w:hint="default"/>
                <w:sz w:val="20"/>
                <w:szCs w:val="20"/>
              </w:rPr>
            </w:pPr>
            <w:r>
              <w:rPr>
                <w:rFonts w:ascii="Arial"/>
                <w:spacing w:val="-1"/>
                <w:sz w:val="20"/>
              </w:rPr>
              <w:t>14.74%</w:t>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94"/>
              <w:jc w:val="right"/>
              <w:rPr>
                <w:rFonts w:ascii="Arial" w:hAnsi="Arial" w:cs="Arial" w:eastAsia="Arial" w:hint="default"/>
                <w:sz w:val="20"/>
                <w:szCs w:val="20"/>
              </w:rPr>
            </w:pPr>
            <w:r>
              <w:rPr>
                <w:rFonts w:ascii="Arial"/>
                <w:spacing w:val="-1"/>
                <w:sz w:val="20"/>
              </w:rPr>
              <w:t>0.4239</w:t>
            </w:r>
            <w:r>
              <w:rPr>
                <w:rFonts w:ascii="Arial"/>
                <w:sz w:val="20"/>
              </w:rPr>
            </w:r>
          </w:p>
        </w:tc>
      </w:tr>
      <w:tr>
        <w:trPr>
          <w:trHeight w:val="370"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6"/>
              <w:jc w:val="right"/>
              <w:rPr>
                <w:rFonts w:ascii="Arial" w:hAnsi="Arial" w:cs="Arial" w:eastAsia="Arial" w:hint="default"/>
                <w:sz w:val="20"/>
                <w:szCs w:val="20"/>
              </w:rPr>
            </w:pPr>
            <w:r>
              <w:rPr>
                <w:rFonts w:ascii="Arial"/>
                <w:w w:val="95"/>
                <w:sz w:val="20"/>
              </w:rPr>
              <w:t>21.59%</w:t>
            </w:r>
            <w:r>
              <w:rPr>
                <w:rFonts w:ascii="Arial"/>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Arial" w:hAnsi="Arial" w:cs="Arial" w:eastAsia="Arial" w:hint="default"/>
                <w:sz w:val="20"/>
                <w:szCs w:val="20"/>
              </w:rPr>
            </w:pPr>
            <w:r>
              <w:rPr>
                <w:rFonts w:ascii="Arial"/>
                <w:w w:val="95"/>
                <w:sz w:val="20"/>
              </w:rPr>
              <w:t>21.88%</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Arial" w:hAnsi="Arial" w:cs="Arial" w:eastAsia="Arial" w:hint="default"/>
                <w:sz w:val="20"/>
                <w:szCs w:val="20"/>
              </w:rPr>
            </w:pPr>
            <w:r>
              <w:rPr>
                <w:rFonts w:ascii="Arial"/>
                <w:spacing w:val="-1"/>
                <w:w w:val="95"/>
                <w:sz w:val="20"/>
              </w:rPr>
              <w:t>-0.29%</w:t>
            </w:r>
            <w:r>
              <w:rPr>
                <w:rFonts w:ascii="Arial"/>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4"/>
              <w:jc w:val="right"/>
              <w:rPr>
                <w:rFonts w:ascii="Arial" w:hAnsi="Arial" w:cs="Arial" w:eastAsia="Arial" w:hint="default"/>
                <w:sz w:val="20"/>
                <w:szCs w:val="20"/>
              </w:rPr>
            </w:pPr>
            <w:r>
              <w:rPr>
                <w:rFonts w:ascii="Arial"/>
                <w:w w:val="95"/>
                <w:sz w:val="20"/>
              </w:rPr>
              <w:t>19.88%</w:t>
            </w:r>
            <w:r>
              <w:rPr>
                <w:rFonts w:ascii="Arial"/>
                <w:sz w:val="20"/>
              </w:rPr>
            </w:r>
          </w:p>
        </w:tc>
      </w:tr>
      <w:tr>
        <w:trPr>
          <w:trHeight w:val="370"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6"/>
              <w:jc w:val="right"/>
              <w:rPr>
                <w:rFonts w:ascii="Arial" w:hAnsi="Arial" w:cs="Arial" w:eastAsia="Arial" w:hint="default"/>
                <w:sz w:val="20"/>
                <w:szCs w:val="20"/>
              </w:rPr>
            </w:pPr>
            <w:r>
              <w:rPr>
                <w:rFonts w:ascii="Arial"/>
                <w:sz w:val="20"/>
              </w:rPr>
              <w:t>23.</w:t>
            </w:r>
            <w:r>
              <w:rPr>
                <w:rFonts w:ascii="Arial"/>
                <w:spacing w:val="-4"/>
                <w:sz w:val="20"/>
              </w:rPr>
              <w:t> </w:t>
            </w:r>
            <w:r>
              <w:rPr>
                <w:rFonts w:ascii="Arial"/>
                <w:sz w:val="20"/>
              </w:rPr>
              <w:t>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Arial" w:hAnsi="Arial" w:cs="Arial" w:eastAsia="Arial" w:hint="default"/>
                <w:sz w:val="20"/>
                <w:szCs w:val="20"/>
              </w:rPr>
            </w:pPr>
            <w:r>
              <w:rPr>
                <w:rFonts w:ascii="Arial"/>
                <w:w w:val="95"/>
                <w:sz w:val="20"/>
              </w:rPr>
              <w:t>24.48%</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0"/>
                <w:szCs w:val="20"/>
              </w:rPr>
            </w:pPr>
            <w:r>
              <w:rPr>
                <w:rFonts w:ascii="Arial"/>
                <w:spacing w:val="-1"/>
                <w:w w:val="95"/>
                <w:sz w:val="20"/>
              </w:rPr>
              <w:t>-0.80%</w:t>
            </w:r>
            <w:r>
              <w:rPr>
                <w:rFonts w:ascii="Arial"/>
                <w:spacing w:val="-1"/>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94"/>
              <w:jc w:val="right"/>
              <w:rPr>
                <w:rFonts w:ascii="Arial" w:hAnsi="Arial" w:cs="Arial" w:eastAsia="Arial" w:hint="default"/>
                <w:sz w:val="20"/>
                <w:szCs w:val="20"/>
              </w:rPr>
            </w:pPr>
            <w:r>
              <w:rPr>
                <w:rFonts w:ascii="Arial"/>
                <w:w w:val="95"/>
                <w:sz w:val="20"/>
              </w:rPr>
              <w:t>28.44%</w:t>
            </w:r>
            <w:r>
              <w:rPr>
                <w:rFonts w:ascii="Arial"/>
                <w:sz w:val="20"/>
              </w:rPr>
            </w:r>
          </w:p>
        </w:tc>
      </w:tr>
      <w:tr>
        <w:trPr>
          <w:trHeight w:val="660"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72" w:lineRule="exact" w:before="46"/>
              <w:ind w:left="93" w:right="96"/>
              <w:jc w:val="left"/>
              <w:rPr>
                <w:rFonts w:ascii="宋体" w:hAnsi="宋体" w:cs="宋体" w:eastAsia="宋体" w:hint="default"/>
                <w:sz w:val="21"/>
                <w:szCs w:val="21"/>
              </w:rPr>
            </w:pPr>
            <w:r>
              <w:rPr>
                <w:rFonts w:ascii="宋体" w:hAnsi="宋体" w:cs="宋体" w:eastAsia="宋体" w:hint="default"/>
                <w:sz w:val="21"/>
                <w:szCs w:val="21"/>
              </w:rPr>
              <w:t>扣除非经常性损益后的全面摊薄净资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20"/>
                <w:szCs w:val="20"/>
              </w:rPr>
            </w:pPr>
            <w:r>
              <w:rPr>
                <w:rFonts w:ascii="Arial"/>
                <w:spacing w:val="-1"/>
                <w:sz w:val="20"/>
              </w:rPr>
              <w:t>20.70%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20"/>
                <w:szCs w:val="20"/>
              </w:rPr>
            </w:pPr>
            <w:r>
              <w:rPr>
                <w:rFonts w:ascii="Arial"/>
                <w:w w:val="95"/>
                <w:sz w:val="20"/>
              </w:rPr>
              <w:t>21.97%</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0"/>
                <w:szCs w:val="20"/>
              </w:rPr>
            </w:pPr>
            <w:r>
              <w:rPr>
                <w:rFonts w:ascii="Arial"/>
                <w:spacing w:val="-1"/>
                <w:w w:val="95"/>
                <w:sz w:val="20"/>
              </w:rPr>
              <w:t>-1.27%</w:t>
            </w:r>
            <w:r>
              <w:rPr>
                <w:rFonts w:ascii="Arial"/>
                <w:spacing w:val="-1"/>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20"/>
                <w:szCs w:val="20"/>
              </w:rPr>
            </w:pPr>
            <w:r>
              <w:rPr>
                <w:rFonts w:ascii="Arial"/>
                <w:w w:val="95"/>
                <w:sz w:val="20"/>
              </w:rPr>
              <w:t>19.62%</w:t>
            </w:r>
            <w:r>
              <w:rPr>
                <w:rFonts w:ascii="Arial"/>
                <w:sz w:val="20"/>
              </w:rPr>
            </w:r>
          </w:p>
        </w:tc>
      </w:tr>
      <w:tr>
        <w:trPr>
          <w:trHeight w:val="638"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left="93" w:right="96"/>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产收益率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20"/>
                <w:szCs w:val="20"/>
              </w:rPr>
            </w:pPr>
            <w:r>
              <w:rPr>
                <w:rFonts w:ascii="Arial"/>
                <w:spacing w:val="-1"/>
                <w:sz w:val="20"/>
              </w:rPr>
              <w:t>22.72%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20"/>
                <w:szCs w:val="20"/>
              </w:rPr>
            </w:pPr>
            <w:r>
              <w:rPr>
                <w:rFonts w:ascii="Arial"/>
                <w:spacing w:val="-1"/>
                <w:sz w:val="20"/>
              </w:rPr>
              <w:t>24.58%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0"/>
                <w:szCs w:val="20"/>
              </w:rPr>
            </w:pPr>
            <w:r>
              <w:rPr>
                <w:rFonts w:ascii="Arial"/>
                <w:spacing w:val="-1"/>
                <w:w w:val="95"/>
                <w:sz w:val="20"/>
              </w:rPr>
              <w:t>-1.86%</w:t>
            </w:r>
            <w:r>
              <w:rPr>
                <w:rFonts w:ascii="Arial"/>
                <w:spacing w:val="-1"/>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20"/>
                <w:szCs w:val="20"/>
              </w:rPr>
            </w:pPr>
            <w:r>
              <w:rPr>
                <w:rFonts w:ascii="Arial"/>
                <w:w w:val="95"/>
                <w:sz w:val="20"/>
              </w:rPr>
              <w:t>28.07%</w:t>
            </w:r>
            <w:r>
              <w:rPr>
                <w:rFonts w:ascii="Arial"/>
                <w:sz w:val="20"/>
              </w:rPr>
            </w:r>
          </w:p>
        </w:tc>
      </w:tr>
      <w:tr>
        <w:trPr>
          <w:trHeight w:val="468"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3"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6"/>
              <w:jc w:val="right"/>
              <w:rPr>
                <w:rFonts w:ascii="Arial" w:hAnsi="Arial" w:cs="Arial" w:eastAsia="Arial" w:hint="default"/>
                <w:sz w:val="20"/>
                <w:szCs w:val="20"/>
              </w:rPr>
            </w:pPr>
            <w:r>
              <w:rPr>
                <w:rFonts w:ascii="Arial"/>
                <w:spacing w:val="-1"/>
                <w:w w:val="95"/>
                <w:sz w:val="20"/>
              </w:rPr>
              <w:t>0.94</w:t>
            </w:r>
            <w:r>
              <w:rPr>
                <w:rFonts w:ascii="Arial"/>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Arial" w:hAnsi="Arial" w:cs="Arial" w:eastAsia="Arial" w:hint="default"/>
                <w:sz w:val="20"/>
                <w:szCs w:val="20"/>
              </w:rPr>
            </w:pPr>
            <w:r>
              <w:rPr>
                <w:rFonts w:ascii="Arial"/>
                <w:spacing w:val="-1"/>
                <w:w w:val="95"/>
                <w:sz w:val="20"/>
              </w:rPr>
              <w:t>0.55</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20"/>
                <w:szCs w:val="20"/>
              </w:rPr>
            </w:pPr>
            <w:r>
              <w:rPr>
                <w:rFonts w:ascii="Arial"/>
                <w:w w:val="95"/>
                <w:sz w:val="20"/>
              </w:rPr>
              <w:t>70.91%</w:t>
            </w:r>
            <w:r>
              <w:rPr>
                <w:rFonts w:ascii="Arial"/>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4"/>
              <w:jc w:val="right"/>
              <w:rPr>
                <w:rFonts w:ascii="Arial" w:hAnsi="Arial" w:cs="Arial" w:eastAsia="Arial" w:hint="default"/>
                <w:sz w:val="20"/>
                <w:szCs w:val="20"/>
              </w:rPr>
            </w:pPr>
            <w:r>
              <w:rPr>
                <w:rFonts w:ascii="Arial"/>
                <w:spacing w:val="-1"/>
                <w:w w:val="95"/>
                <w:sz w:val="20"/>
              </w:rPr>
              <w:t>1.19</w:t>
            </w:r>
            <w:r>
              <w:rPr>
                <w:rFonts w:ascii="Arial"/>
                <w:sz w:val="20"/>
              </w:rPr>
            </w:r>
          </w:p>
        </w:tc>
      </w:tr>
      <w:tr>
        <w:trPr>
          <w:trHeight w:val="586"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7"/>
              <w:ind w:right="5"/>
              <w:jc w:val="center"/>
              <w:rPr>
                <w:rFonts w:ascii="宋体" w:hAnsi="宋体" w:cs="宋体" w:eastAsia="宋体" w:hint="default"/>
                <w:sz w:val="21"/>
                <w:szCs w:val="21"/>
              </w:rPr>
            </w:pPr>
            <w:r>
              <w:rPr>
                <w:rFonts w:ascii="宋体" w:hAnsi="宋体" w:cs="宋体" w:eastAsia="宋体" w:hint="default"/>
                <w:sz w:val="21"/>
                <w:szCs w:val="21"/>
              </w:rPr>
              <w:t>指标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362" w:right="147" w:hanging="212"/>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7"/>
              <w:ind w:right="13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76" w:hRule="exact"/>
        </w:trPr>
        <w:tc>
          <w:tcPr>
            <w:tcW w:w="36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2"/>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6"/>
              <w:jc w:val="right"/>
              <w:rPr>
                <w:rFonts w:ascii="Arial" w:hAnsi="Arial" w:cs="Arial" w:eastAsia="Arial" w:hint="default"/>
                <w:sz w:val="20"/>
                <w:szCs w:val="20"/>
              </w:rPr>
            </w:pPr>
            <w:r>
              <w:rPr>
                <w:rFonts w:ascii="Arial"/>
                <w:spacing w:val="-1"/>
                <w:w w:val="95"/>
                <w:sz w:val="20"/>
              </w:rPr>
              <w:t>3.19</w:t>
            </w:r>
            <w:r>
              <w:rPr>
                <w:rFonts w:ascii="Arial"/>
                <w:sz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3"/>
              <w:jc w:val="right"/>
              <w:rPr>
                <w:rFonts w:ascii="Arial" w:hAnsi="Arial" w:cs="Arial" w:eastAsia="Arial" w:hint="default"/>
                <w:sz w:val="20"/>
                <w:szCs w:val="20"/>
              </w:rPr>
            </w:pPr>
            <w:r>
              <w:rPr>
                <w:rFonts w:ascii="Arial"/>
                <w:spacing w:val="-1"/>
                <w:w w:val="95"/>
                <w:sz w:val="20"/>
              </w:rPr>
              <w:t>2.62</w:t>
            </w:r>
            <w:r>
              <w:rPr>
                <w:rFonts w:ascii="Arial"/>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1"/>
              <w:jc w:val="right"/>
              <w:rPr>
                <w:rFonts w:ascii="Arial" w:hAnsi="Arial" w:cs="Arial" w:eastAsia="Arial" w:hint="default"/>
                <w:sz w:val="20"/>
                <w:szCs w:val="20"/>
              </w:rPr>
            </w:pPr>
            <w:r>
              <w:rPr>
                <w:rFonts w:ascii="Arial"/>
                <w:w w:val="95"/>
                <w:sz w:val="20"/>
              </w:rPr>
              <w:t>21.76%</w:t>
            </w:r>
            <w:r>
              <w:rPr>
                <w:rFonts w:ascii="Arial"/>
                <w:sz w:val="20"/>
              </w:rPr>
            </w:r>
          </w:p>
        </w:tc>
        <w:tc>
          <w:tcPr>
            <w:tcW w:w="120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5"/>
              <w:ind w:right="94"/>
              <w:jc w:val="right"/>
              <w:rPr>
                <w:rFonts w:ascii="Arial" w:hAnsi="Arial" w:cs="Arial" w:eastAsia="Arial" w:hint="default"/>
                <w:sz w:val="20"/>
                <w:szCs w:val="20"/>
              </w:rPr>
            </w:pPr>
            <w:r>
              <w:rPr>
                <w:rFonts w:ascii="Arial"/>
                <w:spacing w:val="-1"/>
                <w:w w:val="95"/>
                <w:sz w:val="20"/>
              </w:rPr>
              <w:t>3.12</w:t>
            </w:r>
            <w:r>
              <w:rPr>
                <w:rFonts w:ascii="Arial"/>
                <w:sz w:val="20"/>
              </w:rPr>
            </w:r>
          </w:p>
        </w:tc>
      </w:tr>
      <w:tr>
        <w:trPr>
          <w:trHeight w:val="588" w:hRule="exact"/>
        </w:trPr>
        <w:tc>
          <w:tcPr>
            <w:tcW w:w="36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106"/>
              <w:jc w:val="right"/>
              <w:rPr>
                <w:rFonts w:ascii="Arial" w:hAnsi="Arial" w:cs="Arial" w:eastAsia="Arial" w:hint="default"/>
                <w:sz w:val="20"/>
                <w:szCs w:val="20"/>
              </w:rPr>
            </w:pPr>
            <w:r>
              <w:rPr>
                <w:rFonts w:ascii="Arial"/>
                <w:spacing w:val="-1"/>
                <w:sz w:val="20"/>
              </w:rPr>
              <w:t>61.48%</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104"/>
              <w:jc w:val="right"/>
              <w:rPr>
                <w:rFonts w:ascii="Arial" w:hAnsi="Arial" w:cs="Arial" w:eastAsia="Arial" w:hint="default"/>
                <w:sz w:val="20"/>
                <w:szCs w:val="20"/>
              </w:rPr>
            </w:pPr>
            <w:r>
              <w:rPr>
                <w:rFonts w:ascii="Arial"/>
                <w:w w:val="95"/>
                <w:sz w:val="20"/>
              </w:rPr>
              <w:t>57.08%</w:t>
            </w:r>
            <w:r>
              <w:rPr>
                <w:rFonts w:ascii="Arial"/>
                <w:sz w:val="20"/>
              </w:rPr>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7"/>
              <w:ind w:right="101"/>
              <w:jc w:val="right"/>
              <w:rPr>
                <w:rFonts w:ascii="Arial" w:hAnsi="Arial" w:cs="Arial" w:eastAsia="Arial" w:hint="default"/>
                <w:sz w:val="20"/>
                <w:szCs w:val="20"/>
              </w:rPr>
            </w:pPr>
            <w:r>
              <w:rPr>
                <w:rFonts w:ascii="Arial"/>
                <w:spacing w:val="-1"/>
                <w:w w:val="95"/>
                <w:sz w:val="20"/>
              </w:rPr>
              <w:t>4.40%</w:t>
            </w:r>
            <w:r>
              <w:rPr>
                <w:rFonts w:ascii="Arial"/>
                <w:spacing w:val="-1"/>
                <w:sz w:val="20"/>
              </w:rPr>
            </w:r>
          </w:p>
        </w:tc>
        <w:tc>
          <w:tcPr>
            <w:tcW w:w="120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67"/>
              <w:ind w:right="94"/>
              <w:jc w:val="right"/>
              <w:rPr>
                <w:rFonts w:ascii="Arial" w:hAnsi="Arial" w:cs="Arial" w:eastAsia="Arial" w:hint="default"/>
                <w:sz w:val="20"/>
                <w:szCs w:val="20"/>
              </w:rPr>
            </w:pPr>
            <w:r>
              <w:rPr>
                <w:rFonts w:ascii="Arial"/>
                <w:w w:val="95"/>
                <w:sz w:val="20"/>
              </w:rPr>
              <w:t>58.36%</w:t>
            </w:r>
            <w:r>
              <w:rPr>
                <w:rFonts w:ascii="Arial"/>
                <w:sz w:val="20"/>
              </w:rPr>
            </w:r>
          </w:p>
        </w:tc>
      </w:tr>
    </w:tbl>
    <w:p>
      <w:pPr>
        <w:spacing w:after="0" w:line="240" w:lineRule="auto"/>
        <w:jc w:val="right"/>
        <w:rPr>
          <w:rFonts w:ascii="Arial" w:hAnsi="Arial" w:cs="Arial" w:eastAsia="Arial" w:hint="default"/>
          <w:sz w:val="20"/>
          <w:szCs w:val="20"/>
        </w:rPr>
        <w:sectPr>
          <w:pgSz w:w="11910" w:h="16840"/>
          <w:pgMar w:header="748" w:footer="907" w:top="980" w:bottom="1100" w:left="1200" w:right="0"/>
        </w:sectPr>
      </w:pPr>
    </w:p>
    <w:p>
      <w:pPr>
        <w:spacing w:line="240" w:lineRule="auto" w:before="6"/>
        <w:rPr>
          <w:rFonts w:ascii="宋体" w:hAnsi="宋体" w:cs="宋体" w:eastAsia="宋体" w:hint="default"/>
          <w:sz w:val="29"/>
          <w:szCs w:val="29"/>
        </w:rPr>
      </w:pPr>
    </w:p>
    <w:p>
      <w:pPr>
        <w:tabs>
          <w:tab w:pos="6961" w:val="left" w:leader="none"/>
        </w:tabs>
        <w:spacing w:before="26"/>
        <w:ind w:left="720" w:right="142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、扣除非经常性损益的项目及涉及金额如下：</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5331"/>
        <w:gridCol w:w="1306"/>
        <w:gridCol w:w="1304"/>
        <w:gridCol w:w="1306"/>
      </w:tblGrid>
      <w:tr>
        <w:trPr>
          <w:trHeight w:val="302" w:hRule="exact"/>
        </w:trPr>
        <w:tc>
          <w:tcPr>
            <w:tcW w:w="5331" w:type="dxa"/>
            <w:tcBorders>
              <w:top w:val="single" w:sz="12" w:space="0" w:color="000000"/>
              <w:left w:val="single" w:sz="12" w:space="0" w:color="000000"/>
              <w:bottom w:val="single" w:sz="4" w:space="0" w:color="000000"/>
              <w:right w:val="single" w:sz="4" w:space="0" w:color="000000"/>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single" w:sz="12" w:space="0" w:color="000000"/>
              <w:left w:val="single" w:sz="4" w:space="0" w:color="000000"/>
              <w:bottom w:val="single" w:sz="4" w:space="0" w:color="000000"/>
              <w:right w:val="single" w:sz="12" w:space="0" w:color="000000"/>
            </w:tcBorders>
          </w:tcPr>
          <w:p>
            <w:pPr>
              <w:pStyle w:val="TableParagraph"/>
              <w:spacing w:line="261"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12"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-1,970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-3,717</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-403</w:t>
            </w:r>
          </w:p>
        </w:tc>
      </w:tr>
      <w:tr>
        <w:trPr>
          <w:trHeight w:val="828"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与公司正常经营业务密切相</w:t>
            </w:r>
          </w:p>
          <w:p>
            <w:pPr>
              <w:pStyle w:val="TableParagraph"/>
              <w:spacing w:line="274" w:lineRule="exact" w:before="17"/>
              <w:ind w:left="93"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关，符合国家政策规定、按照一定标准定额或定量持续</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享受的政府补助除外</w:t>
            </w:r>
            <w:r>
              <w:rPr>
                <w:rFonts w:ascii="Times New Roman" w:hAnsi="Times New Roman" w:cs="Times New Roman" w:eastAsia="Times New Roman" w:hint="default"/>
                <w:sz w:val="21"/>
                <w:szCs w:val="21"/>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83,566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41,982</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71,155</w:t>
            </w:r>
          </w:p>
        </w:tc>
      </w:tr>
      <w:tr>
        <w:trPr>
          <w:trHeight w:val="1104"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w:t>
            </w:r>
          </w:p>
          <w:p>
            <w:pPr>
              <w:pStyle w:val="TableParagraph"/>
              <w:spacing w:line="240" w:lineRule="auto"/>
              <w:ind w:left="93" w:right="99"/>
              <w:jc w:val="both"/>
              <w:rPr>
                <w:rFonts w:ascii="宋体" w:hAnsi="宋体" w:cs="宋体" w:eastAsia="宋体" w:hint="default"/>
                <w:sz w:val="21"/>
                <w:szCs w:val="21"/>
              </w:rPr>
            </w:pPr>
            <w:r>
              <w:rPr>
                <w:rFonts w:ascii="宋体" w:hAnsi="宋体" w:cs="宋体" w:eastAsia="宋体" w:hint="default"/>
                <w:sz w:val="21"/>
                <w:szCs w:val="21"/>
              </w:rPr>
              <w:t>有交易性金融资产、交易性金融负债产生的公允价值变</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动损益，以及处置交易性金融资产、交易性金融负债和</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可供出售金融资产取得的投资收益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00"/>
              <w:jc w:val="right"/>
              <w:rPr>
                <w:rFonts w:ascii="Times New Roman" w:hAnsi="Times New Roman" w:cs="Times New Roman" w:eastAsia="Times New Roman" w:hint="default"/>
                <w:sz w:val="21"/>
                <w:szCs w:val="21"/>
              </w:rPr>
            </w:pPr>
            <w:r>
              <w:rPr>
                <w:rFonts w:ascii="Times New Roman"/>
                <w:w w:val="100"/>
                <w:sz w:val="21"/>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96"/>
              <w:jc w:val="right"/>
              <w:rPr>
                <w:rFonts w:ascii="Times New Roman" w:hAnsi="Times New Roman" w:cs="Times New Roman" w:eastAsia="Times New Roman" w:hint="default"/>
                <w:sz w:val="21"/>
                <w:szCs w:val="21"/>
              </w:rPr>
            </w:pPr>
            <w:r>
              <w:rPr>
                <w:rFonts w:ascii="Times New Roman"/>
                <w:sz w:val="21"/>
              </w:rPr>
              <w:t>5,658</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90"/>
              <w:jc w:val="right"/>
              <w:rPr>
                <w:rFonts w:ascii="Times New Roman" w:hAnsi="Times New Roman" w:cs="Times New Roman" w:eastAsia="Times New Roman" w:hint="default"/>
                <w:sz w:val="21"/>
                <w:szCs w:val="21"/>
              </w:rPr>
            </w:pPr>
            <w:r>
              <w:rPr>
                <w:rFonts w:ascii="Times New Roman"/>
                <w:w w:val="100"/>
                <w:sz w:val="21"/>
              </w:rPr>
              <w:t>-</w:t>
            </w:r>
          </w:p>
        </w:tc>
      </w:tr>
      <w:tr>
        <w:trPr>
          <w:trHeight w:val="790"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1"/>
              <w:ind w:left="93" w:right="99"/>
              <w:jc w:val="left"/>
              <w:rPr>
                <w:rFonts w:ascii="宋体" w:hAnsi="宋体" w:cs="宋体" w:eastAsia="宋体" w:hint="default"/>
                <w:sz w:val="21"/>
                <w:szCs w:val="21"/>
              </w:rPr>
            </w:pPr>
            <w:r>
              <w:rPr>
                <w:rFonts w:ascii="宋体" w:hAnsi="宋体" w:cs="宋体" w:eastAsia="宋体" w:hint="default"/>
                <w:sz w:val="21"/>
                <w:szCs w:val="21"/>
              </w:rPr>
              <w:t>权益法核算的长期股权投资取得时所享有的被投资单位</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可辨认净资产公允价值份额超过初始投资成本的部分</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10,049</w:t>
            </w:r>
          </w:p>
        </w:tc>
      </w:tr>
      <w:tr>
        <w:trPr>
          <w:trHeight w:val="590"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8"/>
              <w:ind w:left="93" w:right="113"/>
              <w:jc w:val="left"/>
              <w:rPr>
                <w:rFonts w:ascii="宋体" w:hAnsi="宋体" w:cs="宋体" w:eastAsia="宋体" w:hint="default"/>
                <w:sz w:val="21"/>
                <w:szCs w:val="21"/>
              </w:rPr>
            </w:pPr>
            <w:r>
              <w:rPr>
                <w:rFonts w:ascii="宋体" w:hAnsi="宋体" w:cs="宋体" w:eastAsia="宋体" w:hint="default"/>
                <w:sz w:val="21"/>
                <w:szCs w:val="21"/>
              </w:rPr>
              <w:t>按照公允价值重新计量购买日前持有的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LAOX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股权产生</w:t>
            </w:r>
            <w:r>
              <w:rPr>
                <w:rFonts w:ascii="宋体" w:hAnsi="宋体" w:cs="宋体" w:eastAsia="宋体" w:hint="default"/>
                <w:w w:val="100"/>
                <w:sz w:val="21"/>
                <w:szCs w:val="21"/>
              </w:rPr>
              <w:t> </w:t>
            </w:r>
            <w:r>
              <w:rPr>
                <w:rFonts w:ascii="宋体" w:hAnsi="宋体" w:cs="宋体" w:eastAsia="宋体" w:hint="default"/>
                <w:sz w:val="21"/>
                <w:szCs w:val="21"/>
              </w:rPr>
              <w:t>的相关利得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1"/>
                <w:szCs w:val="21"/>
              </w:rPr>
            </w:pPr>
            <w:r>
              <w:rPr>
                <w:rFonts w:ascii="Times New Roman"/>
                <w:spacing w:val="-1"/>
                <w:sz w:val="21"/>
              </w:rPr>
              <w:t>179,223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98"/>
              <w:jc w:val="right"/>
              <w:rPr>
                <w:rFonts w:ascii="Times New Roman" w:hAnsi="Times New Roman" w:cs="Times New Roman" w:eastAsia="Times New Roman" w:hint="default"/>
                <w:sz w:val="21"/>
                <w:szCs w:val="21"/>
              </w:rPr>
            </w:pPr>
            <w:r>
              <w:rPr>
                <w:rFonts w:ascii="Times New Roman"/>
                <w:w w:val="100"/>
                <w:sz w:val="21"/>
              </w:rPr>
              <w:t>-</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4"/>
              <w:ind w:right="90"/>
              <w:jc w:val="right"/>
              <w:rPr>
                <w:rFonts w:ascii="Times New Roman" w:hAnsi="Times New Roman" w:cs="Times New Roman" w:eastAsia="Times New Roman" w:hint="default"/>
                <w:sz w:val="21"/>
                <w:szCs w:val="21"/>
              </w:rPr>
            </w:pPr>
            <w:r>
              <w:rPr>
                <w:rFonts w:ascii="Times New Roman"/>
                <w:w w:val="100"/>
                <w:sz w:val="21"/>
              </w:rPr>
              <w:t>-</w:t>
            </w:r>
          </w:p>
        </w:tc>
      </w:tr>
      <w:tr>
        <w:trPr>
          <w:trHeight w:val="312"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-52,451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-68,169</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-29,466</w:t>
            </w:r>
          </w:p>
        </w:tc>
      </w:tr>
      <w:tr>
        <w:trPr>
          <w:trHeight w:val="312"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非经常性损益的所得税影响数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-9,092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6,062</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-12,834</w:t>
            </w:r>
          </w:p>
        </w:tc>
      </w:tr>
      <w:tr>
        <w:trPr>
          <w:trHeight w:val="312" w:hRule="exact"/>
        </w:trPr>
        <w:tc>
          <w:tcPr>
            <w:tcW w:w="5331"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z w:val="21"/>
              </w:rPr>
              <w:t>-2,</w:t>
            </w:r>
            <w:r>
              <w:rPr>
                <w:rFonts w:ascii="Times New Roman"/>
                <w:spacing w:val="-1"/>
                <w:sz w:val="21"/>
              </w:rPr>
              <w:t> </w:t>
            </w:r>
            <w:r>
              <w:rPr>
                <w:rFonts w:ascii="Times New Roman"/>
                <w:sz w:val="21"/>
              </w:rPr>
              <w:t>668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415</w:t>
            </w:r>
          </w:p>
        </w:tc>
        <w:tc>
          <w:tcPr>
            <w:tcW w:w="130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-1,269</w:t>
            </w:r>
          </w:p>
        </w:tc>
      </w:tr>
      <w:tr>
        <w:trPr>
          <w:trHeight w:val="324" w:hRule="exact"/>
        </w:trPr>
        <w:tc>
          <w:tcPr>
            <w:tcW w:w="5331" w:type="dxa"/>
            <w:tcBorders>
              <w:top w:val="single" w:sz="4" w:space="0" w:color="000000"/>
              <w:left w:val="single" w:sz="12" w:space="0" w:color="000000"/>
              <w:bottom w:val="single" w:sz="12" w:space="0" w:color="000000"/>
              <w:right w:val="single" w:sz="4" w:space="0" w:color="000000"/>
            </w:tcBorders>
          </w:tcPr>
          <w:p>
            <w:pPr>
              <w:pStyle w:val="TableParagraph"/>
              <w:spacing w:line="258"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196,608</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-17,769</w:t>
            </w:r>
          </w:p>
        </w:tc>
        <w:tc>
          <w:tcPr>
            <w:tcW w:w="130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1"/>
                <w:szCs w:val="21"/>
              </w:rPr>
            </w:pPr>
            <w:r>
              <w:rPr>
                <w:rFonts w:ascii="Times New Roman"/>
                <w:sz w:val="21"/>
              </w:rPr>
              <w:t>37,232</w:t>
            </w:r>
          </w:p>
        </w:tc>
      </w:tr>
    </w:tbl>
    <w:p>
      <w:pPr>
        <w:spacing w:line="240" w:lineRule="auto" w:before="6"/>
        <w:rPr>
          <w:rFonts w:ascii="宋体" w:hAnsi="宋体" w:cs="宋体" w:eastAsia="宋体" w:hint="default"/>
          <w:sz w:val="26"/>
          <w:szCs w:val="26"/>
        </w:rPr>
      </w:pPr>
    </w:p>
    <w:p>
      <w:pPr>
        <w:pStyle w:val="BodyText"/>
        <w:spacing w:line="338" w:lineRule="auto" w:before="26"/>
        <w:ind w:left="240" w:right="1422" w:firstLine="480"/>
        <w:jc w:val="left"/>
      </w:pPr>
      <w:r>
        <w:rPr>
          <w:rFonts w:ascii="Times New Roman" w:hAnsi="Times New Roman" w:cs="Times New Roman" w:eastAsia="Times New Roman" w:hint="default"/>
          <w:spacing w:val="-1"/>
        </w:rPr>
        <w:t>4</w:t>
      </w:r>
      <w:r>
        <w:rPr>
          <w:spacing w:val="-1"/>
        </w:rPr>
        <w:t>、按照中国证监会《公开发行证券的公司信息披露编报规则第</w:t>
      </w:r>
      <w:r>
        <w:rPr/>
        <w:t> </w:t>
      </w:r>
      <w:r>
        <w:rPr>
          <w:rFonts w:ascii="Times New Roman" w:hAnsi="Times New Roman" w:cs="Times New Roman" w:eastAsia="Times New Roman" w:hint="default"/>
        </w:rPr>
        <w:t>9 </w:t>
      </w:r>
      <w:r>
        <w:rPr>
          <w:spacing w:val="-18"/>
        </w:rPr>
        <w:t>号》（</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1"/>
        </w:rPr>
        <w:t> </w:t>
      </w:r>
      <w:r>
        <w:rPr/>
        <w:t>年修 订）的要求计算的净资产收益率和每股收益</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969"/>
        <w:gridCol w:w="1440"/>
        <w:gridCol w:w="1419"/>
        <w:gridCol w:w="1418"/>
      </w:tblGrid>
      <w:tr>
        <w:trPr>
          <w:trHeight w:val="350" w:hRule="exact"/>
        </w:trPr>
        <w:tc>
          <w:tcPr>
            <w:tcW w:w="4969"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16"/>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440" w:type="dxa"/>
            <w:vMerge w:val="restart"/>
            <w:tcBorders>
              <w:top w:val="single" w:sz="12" w:space="0" w:color="000000"/>
              <w:left w:val="single" w:sz="4" w:space="0" w:color="000000"/>
              <w:right w:val="single" w:sz="4" w:space="0" w:color="000000"/>
            </w:tcBorders>
          </w:tcPr>
          <w:p>
            <w:pPr>
              <w:pStyle w:val="TableParagraph"/>
              <w:spacing w:line="272" w:lineRule="exact" w:before="166"/>
              <w:ind w:left="189" w:right="185"/>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2837"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72" w:lineRule="exact"/>
              <w:ind w:left="1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7" w:hRule="exact"/>
        </w:trPr>
        <w:tc>
          <w:tcPr>
            <w:tcW w:w="4969" w:type="dxa"/>
            <w:vMerge/>
            <w:tcBorders>
              <w:left w:val="single" w:sz="12"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收益</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稀释每股</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收益</w:t>
            </w:r>
          </w:p>
        </w:tc>
      </w:tr>
      <w:tr>
        <w:trPr>
          <w:trHeight w:val="413" w:hRule="exact"/>
        </w:trPr>
        <w:tc>
          <w:tcPr>
            <w:tcW w:w="49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23.68%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5" w:right="0"/>
              <w:jc w:val="left"/>
              <w:rPr>
                <w:rFonts w:ascii="Times New Roman" w:hAnsi="Times New Roman" w:cs="Times New Roman" w:eastAsia="Times New Roman" w:hint="default"/>
                <w:sz w:val="21"/>
                <w:szCs w:val="21"/>
              </w:rPr>
            </w:pPr>
            <w:r>
              <w:rPr>
                <w:rFonts w:ascii="Times New Roman"/>
                <w:sz w:val="21"/>
              </w:rPr>
              <w:t>0.6890</w:t>
            </w:r>
          </w:p>
        </w:tc>
        <w:tc>
          <w:tcPr>
            <w:tcW w:w="14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0.6890</w:t>
            </w:r>
          </w:p>
        </w:tc>
      </w:tr>
      <w:tr>
        <w:trPr>
          <w:trHeight w:val="566" w:hRule="exact"/>
        </w:trPr>
        <w:tc>
          <w:tcPr>
            <w:tcW w:w="4969" w:type="dxa"/>
            <w:tcBorders>
              <w:top w:val="single" w:sz="4" w:space="0" w:color="000000"/>
              <w:left w:val="single" w:sz="12" w:space="0" w:color="000000"/>
              <w:bottom w:val="single" w:sz="12"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扣除非经常性损益后归属于公司普通股股东的净利</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22.72%</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4"/>
              <w:ind w:left="415" w:right="0"/>
              <w:jc w:val="left"/>
              <w:rPr>
                <w:rFonts w:ascii="Times New Roman" w:hAnsi="Times New Roman" w:cs="Times New Roman" w:eastAsia="Times New Roman" w:hint="default"/>
                <w:sz w:val="21"/>
                <w:szCs w:val="21"/>
              </w:rPr>
            </w:pPr>
            <w:r>
              <w:rPr>
                <w:rFonts w:ascii="Times New Roman"/>
                <w:sz w:val="21"/>
              </w:rPr>
              <w:t>0.6609</w:t>
            </w:r>
          </w:p>
        </w:tc>
        <w:tc>
          <w:tcPr>
            <w:tcW w:w="14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4"/>
              <w:ind w:left="11" w:right="0"/>
              <w:jc w:val="center"/>
              <w:rPr>
                <w:rFonts w:ascii="Times New Roman" w:hAnsi="Times New Roman" w:cs="Times New Roman" w:eastAsia="Times New Roman" w:hint="default"/>
                <w:sz w:val="21"/>
                <w:szCs w:val="21"/>
              </w:rPr>
            </w:pPr>
            <w:r>
              <w:rPr>
                <w:rFonts w:ascii="Times New Roman"/>
                <w:sz w:val="21"/>
              </w:rPr>
              <w:t>0.6609</w:t>
            </w:r>
          </w:p>
        </w:tc>
      </w:tr>
    </w:tbl>
    <w:p>
      <w:pPr>
        <w:spacing w:line="240" w:lineRule="auto" w:before="7"/>
        <w:rPr>
          <w:rFonts w:ascii="宋体" w:hAnsi="宋体" w:cs="宋体" w:eastAsia="宋体" w:hint="default"/>
          <w:sz w:val="26"/>
          <w:szCs w:val="26"/>
        </w:rPr>
      </w:pPr>
    </w:p>
    <w:p>
      <w:pPr>
        <w:tabs>
          <w:tab w:pos="7441" w:val="left" w:leader="none"/>
        </w:tabs>
        <w:spacing w:before="26"/>
        <w:ind w:left="720" w:right="1422" w:firstLine="0"/>
        <w:jc w:val="left"/>
        <w:rPr>
          <w:rFonts w:ascii="宋体" w:hAnsi="宋体" w:cs="宋体" w:eastAsia="宋体" w:hint="default"/>
          <w:sz w:val="21"/>
          <w:szCs w:val="21"/>
        </w:rPr>
      </w:pPr>
      <w:r>
        <w:rPr>
          <w:rFonts w:ascii="宋体" w:hAnsi="宋体" w:cs="宋体" w:eastAsia="宋体" w:hint="default"/>
          <w:sz w:val="24"/>
          <w:szCs w:val="24"/>
        </w:rPr>
        <w:t>二、报告期内归属于母公司所有者权益变动情况</w:t>
        <w:tab/>
      </w:r>
      <w:r>
        <w:rPr>
          <w:rFonts w:ascii="宋体" w:hAnsi="宋体" w:cs="宋体" w:eastAsia="宋体" w:hint="default"/>
          <w:sz w:val="21"/>
          <w:szCs w:val="21"/>
        </w:rPr>
        <w:t>（单位：千元）</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29"/>
        <w:gridCol w:w="1114"/>
        <w:gridCol w:w="1486"/>
        <w:gridCol w:w="1114"/>
        <w:gridCol w:w="1488"/>
        <w:gridCol w:w="1493"/>
        <w:gridCol w:w="1322"/>
      </w:tblGrid>
      <w:tr>
        <w:trPr>
          <w:trHeight w:val="840" w:hRule="exact"/>
        </w:trPr>
        <w:tc>
          <w:tcPr>
            <w:tcW w:w="12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hAnsi="宋体" w:cs="宋体" w:eastAsia="宋体" w:hint="default"/>
                <w:spacing w:val="-1"/>
                <w:sz w:val="21"/>
                <w:szCs w:val="21"/>
              </w:rPr>
              <w:t>盈余公积</w:t>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321" w:right="317"/>
              <w:jc w:val="left"/>
              <w:rPr>
                <w:rFonts w:ascii="宋体" w:hAnsi="宋体" w:cs="宋体" w:eastAsia="宋体" w:hint="default"/>
                <w:sz w:val="21"/>
                <w:szCs w:val="21"/>
              </w:rPr>
            </w:pPr>
            <w:r>
              <w:rPr>
                <w:rFonts w:ascii="宋体" w:hAnsi="宋体" w:cs="宋体" w:eastAsia="宋体" w:hint="default"/>
                <w:sz w:val="21"/>
                <w:szCs w:val="21"/>
              </w:rPr>
              <w:t>外币报表</w:t>
            </w:r>
            <w:r>
              <w:rPr>
                <w:rFonts w:ascii="宋体" w:hAnsi="宋体" w:cs="宋体" w:eastAsia="宋体" w:hint="default"/>
                <w:w w:val="100"/>
                <w:sz w:val="21"/>
                <w:szCs w:val="21"/>
              </w:rPr>
              <w:t> </w:t>
            </w:r>
            <w:r>
              <w:rPr>
                <w:rFonts w:ascii="宋体" w:hAnsi="宋体" w:cs="宋体" w:eastAsia="宋体" w:hint="default"/>
                <w:sz w:val="21"/>
                <w:szCs w:val="21"/>
              </w:rPr>
              <w:t>折算差额</w:t>
            </w:r>
          </w:p>
        </w:tc>
        <w:tc>
          <w:tcPr>
            <w:tcW w:w="1322" w:type="dxa"/>
            <w:tcBorders>
              <w:top w:val="single" w:sz="12" w:space="0" w:color="000000"/>
              <w:left w:val="single" w:sz="4" w:space="0" w:color="000000"/>
              <w:bottom w:val="single" w:sz="4" w:space="0" w:color="000000"/>
              <w:right w:val="single" w:sz="12"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归属于母公司</w:t>
            </w:r>
          </w:p>
          <w:p>
            <w:pPr>
              <w:pStyle w:val="TableParagraph"/>
              <w:spacing w:line="240" w:lineRule="auto"/>
              <w:ind w:left="129" w:right="117"/>
              <w:jc w:val="center"/>
              <w:rPr>
                <w:rFonts w:ascii="宋体" w:hAnsi="宋体" w:cs="宋体" w:eastAsia="宋体" w:hint="default"/>
                <w:sz w:val="21"/>
                <w:szCs w:val="21"/>
              </w:rPr>
            </w:pPr>
            <w:r>
              <w:rPr>
                <w:rFonts w:ascii="宋体" w:hAnsi="宋体" w:cs="宋体" w:eastAsia="宋体" w:hint="default"/>
                <w:sz w:val="21"/>
                <w:szCs w:val="21"/>
              </w:rPr>
              <w:t>所有者权益</w:t>
            </w:r>
            <w:r>
              <w:rPr>
                <w:rFonts w:ascii="宋体" w:hAnsi="宋体" w:cs="宋体" w:eastAsia="宋体" w:hint="default"/>
                <w:w w:val="100"/>
                <w:sz w:val="21"/>
                <w:szCs w:val="21"/>
              </w:rPr>
              <w:t> </w:t>
            </w:r>
            <w:r>
              <w:rPr>
                <w:rFonts w:ascii="宋体" w:hAnsi="宋体" w:cs="宋体" w:eastAsia="宋体" w:hint="default"/>
                <w:sz w:val="21"/>
                <w:szCs w:val="21"/>
              </w:rPr>
              <w:t>合计</w:t>
            </w:r>
          </w:p>
        </w:tc>
      </w:tr>
      <w:tr>
        <w:trPr>
          <w:trHeight w:val="370"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6,996,212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655,288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746,529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9,932,866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7,294</w:t>
            </w:r>
          </w:p>
        </w:tc>
        <w:tc>
          <w:tcPr>
            <w:tcW w:w="13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21"/>
                <w:szCs w:val="21"/>
              </w:rPr>
            </w:pPr>
            <w:r>
              <w:rPr>
                <w:rFonts w:ascii="Times New Roman"/>
                <w:spacing w:val="-1"/>
                <w:sz w:val="21"/>
              </w:rPr>
              <w:t>18,338,189</w:t>
            </w:r>
          </w:p>
        </w:tc>
      </w:tr>
      <w:tr>
        <w:trPr>
          <w:trHeight w:val="367"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Times New Roman" w:hAnsi="Times New Roman" w:cs="Times New Roman" w:eastAsia="Times New Roman" w:hint="default"/>
                <w:sz w:val="21"/>
                <w:szCs w:val="21"/>
              </w:rPr>
            </w:pPr>
            <w:r>
              <w:rPr>
                <w:rFonts w:ascii="Times New Roman"/>
                <w:spacing w:val="-1"/>
                <w:sz w:val="21"/>
              </w:rPr>
              <w:t>170,052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260,601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4,820,594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7,386</w:t>
            </w:r>
          </w:p>
        </w:tc>
        <w:tc>
          <w:tcPr>
            <w:tcW w:w="13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21"/>
                <w:szCs w:val="21"/>
              </w:rPr>
            </w:pPr>
            <w:r>
              <w:rPr>
                <w:rFonts w:ascii="Times New Roman"/>
                <w:spacing w:val="-1"/>
                <w:sz w:val="21"/>
              </w:rPr>
              <w:t>5,258,633</w:t>
            </w:r>
          </w:p>
        </w:tc>
      </w:tr>
      <w:tr>
        <w:trPr>
          <w:trHeight w:val="370"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308,266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960,222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100"/>
                <w:sz w:val="21"/>
              </w:rPr>
              <w:t>0</w:t>
            </w:r>
          </w:p>
        </w:tc>
        <w:tc>
          <w:tcPr>
            <w:tcW w:w="13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21"/>
                <w:szCs w:val="21"/>
              </w:rPr>
            </w:pPr>
            <w:r>
              <w:rPr>
                <w:rFonts w:ascii="Times New Roman"/>
                <w:spacing w:val="-1"/>
                <w:sz w:val="21"/>
              </w:rPr>
              <w:t>1,268,488</w:t>
            </w:r>
          </w:p>
        </w:tc>
      </w:tr>
      <w:tr>
        <w:trPr>
          <w:trHeight w:val="370" w:hRule="exact"/>
        </w:trPr>
        <w:tc>
          <w:tcPr>
            <w:tcW w:w="12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6,996,212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21"/>
                <w:szCs w:val="21"/>
              </w:rPr>
            </w:pPr>
            <w:r>
              <w:rPr>
                <w:rFonts w:ascii="Times New Roman"/>
                <w:spacing w:val="-1"/>
                <w:sz w:val="21"/>
              </w:rPr>
              <w:t>517,074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1,007,130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13,793,238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14,680</w:t>
            </w:r>
          </w:p>
        </w:tc>
        <w:tc>
          <w:tcPr>
            <w:tcW w:w="13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Times New Roman" w:hAnsi="Times New Roman" w:cs="Times New Roman" w:eastAsia="Times New Roman" w:hint="default"/>
                <w:sz w:val="21"/>
                <w:szCs w:val="21"/>
              </w:rPr>
            </w:pPr>
            <w:r>
              <w:rPr>
                <w:rFonts w:ascii="Times New Roman"/>
                <w:spacing w:val="-1"/>
                <w:sz w:val="21"/>
              </w:rPr>
              <w:t>22,328,334</w:t>
            </w:r>
          </w:p>
        </w:tc>
      </w:tr>
      <w:tr>
        <w:trPr>
          <w:trHeight w:val="1932" w:hRule="exact"/>
        </w:trPr>
        <w:tc>
          <w:tcPr>
            <w:tcW w:w="12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114" w:type="dxa"/>
            <w:tcBorders>
              <w:top w:val="single" w:sz="4" w:space="0" w:color="000000"/>
              <w:left w:val="single" w:sz="4" w:space="0" w:color="000000"/>
              <w:bottom w:val="single" w:sz="12" w:space="0" w:color="000000"/>
              <w:right w:val="single" w:sz="4" w:space="0" w:color="000000"/>
            </w:tcBorders>
          </w:tcPr>
          <w:p>
            <w:pP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报告期内确认</w:t>
            </w:r>
          </w:p>
          <w:p>
            <w:pPr>
              <w:pStyle w:val="TableParagraph"/>
              <w:spacing w:line="237" w:lineRule="auto" w:before="2"/>
              <w:ind w:left="103" w:right="97"/>
              <w:jc w:val="left"/>
              <w:rPr>
                <w:rFonts w:ascii="宋体" w:hAnsi="宋体" w:cs="宋体" w:eastAsia="宋体" w:hint="default"/>
                <w:sz w:val="21"/>
                <w:szCs w:val="21"/>
              </w:rPr>
            </w:pPr>
            <w:r>
              <w:rPr>
                <w:rFonts w:ascii="宋体" w:hAnsi="宋体" w:cs="宋体" w:eastAsia="宋体" w:hint="default"/>
                <w:sz w:val="21"/>
                <w:szCs w:val="21"/>
              </w:rPr>
              <w:t>期权费用；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可供出售金融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资产公允价值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变动；</w:t>
            </w:r>
            <w:r>
              <w:rPr>
                <w:rFonts w:ascii="宋体" w:hAnsi="宋体" w:cs="宋体" w:eastAsia="宋体" w:hint="default"/>
                <w:spacing w:val="-102"/>
                <w:sz w:val="21"/>
                <w:szCs w:val="21"/>
              </w:rPr>
              <w:t> </w:t>
            </w:r>
            <w:r>
              <w:rPr>
                <w:rFonts w:ascii="宋体" w:hAnsi="宋体" w:cs="宋体" w:eastAsia="宋体" w:hint="default"/>
                <w:sz w:val="21"/>
                <w:szCs w:val="21"/>
              </w:rPr>
              <w:t>少数股东减少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资本；</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40" w:right="127" w:hanging="209"/>
              <w:jc w:val="left"/>
              <w:rPr>
                <w:rFonts w:ascii="宋体" w:hAnsi="宋体" w:cs="宋体" w:eastAsia="宋体" w:hint="default"/>
                <w:sz w:val="21"/>
                <w:szCs w:val="21"/>
              </w:rPr>
            </w:pPr>
            <w:r>
              <w:rPr>
                <w:rFonts w:ascii="宋体" w:hAnsi="宋体" w:cs="宋体" w:eastAsia="宋体" w:hint="default"/>
                <w:sz w:val="21"/>
                <w:szCs w:val="21"/>
              </w:rPr>
              <w:t>按规定计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37" w:lineRule="auto" w:before="105"/>
              <w:ind w:left="103" w:right="99"/>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0"/>
                <w:sz w:val="21"/>
                <w:szCs w:val="21"/>
              </w:rPr>
              <w:t> </w:t>
            </w:r>
            <w:r>
              <w:rPr>
                <w:rFonts w:ascii="宋体" w:hAnsi="宋体" w:cs="宋体" w:eastAsia="宋体" w:hint="default"/>
                <w:sz w:val="21"/>
                <w:szCs w:val="21"/>
              </w:rPr>
              <w:t>期</w:t>
            </w:r>
            <w:r>
              <w:rPr>
                <w:rFonts w:ascii="宋体" w:hAnsi="宋体" w:cs="宋体" w:eastAsia="宋体" w:hint="default"/>
                <w:spacing w:val="-50"/>
                <w:sz w:val="21"/>
                <w:szCs w:val="21"/>
              </w:rPr>
              <w:t> </w:t>
            </w:r>
            <w:r>
              <w:rPr>
                <w:rFonts w:ascii="宋体" w:hAnsi="宋体" w:cs="宋体" w:eastAsia="宋体" w:hint="default"/>
                <w:sz w:val="21"/>
                <w:szCs w:val="21"/>
              </w:rPr>
              <w:t>利</w:t>
            </w:r>
            <w:r>
              <w:rPr>
                <w:rFonts w:ascii="宋体" w:hAnsi="宋体" w:cs="宋体" w:eastAsia="宋体" w:hint="default"/>
                <w:spacing w:val="-52"/>
                <w:sz w:val="21"/>
                <w:szCs w:val="21"/>
              </w:rPr>
              <w:t> </w:t>
            </w:r>
            <w:r>
              <w:rPr>
                <w:rFonts w:ascii="宋体" w:hAnsi="宋体" w:cs="宋体" w:eastAsia="宋体" w:hint="default"/>
                <w:sz w:val="21"/>
                <w:szCs w:val="21"/>
              </w:rPr>
              <w:t>润</w:t>
            </w:r>
            <w:r>
              <w:rPr>
                <w:rFonts w:ascii="宋体" w:hAnsi="宋体" w:cs="宋体" w:eastAsia="宋体" w:hint="default"/>
                <w:spacing w:val="-5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pacing w:val="-103"/>
                <w:sz w:val="21"/>
                <w:szCs w:val="21"/>
              </w:rPr>
              <w:t> </w:t>
            </w:r>
            <w:r>
              <w:rPr>
                <w:rFonts w:ascii="宋体" w:hAnsi="宋体" w:cs="宋体" w:eastAsia="宋体" w:hint="default"/>
                <w:sz w:val="21"/>
                <w:szCs w:val="21"/>
              </w:rPr>
              <w:t>按规定计提盈</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余公积；</w:t>
            </w:r>
            <w:r>
              <w:rPr>
                <w:rFonts w:ascii="宋体" w:hAnsi="宋体" w:cs="宋体" w:eastAsia="宋体" w:hint="default"/>
                <w:w w:val="100"/>
                <w:sz w:val="21"/>
                <w:szCs w:val="21"/>
              </w:rPr>
              <w:t> </w:t>
            </w:r>
            <w:r>
              <w:rPr>
                <w:rFonts w:ascii="宋体" w:hAnsi="宋体" w:cs="宋体" w:eastAsia="宋体" w:hint="default"/>
                <w:sz w:val="21"/>
                <w:szCs w:val="21"/>
              </w:rPr>
              <w:t>报告期内实施</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现金分红；</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汇率变动对外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币核算报表的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影响；</w:t>
            </w:r>
          </w:p>
        </w:tc>
        <w:tc>
          <w:tcPr>
            <w:tcW w:w="13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前述因素</w:t>
            </w:r>
          </w:p>
        </w:tc>
      </w:tr>
    </w:tbl>
    <w:p>
      <w:pPr>
        <w:spacing w:after="0" w:line="240" w:lineRule="auto"/>
        <w:jc w:val="left"/>
        <w:rPr>
          <w:rFonts w:ascii="宋体" w:hAnsi="宋体" w:cs="宋体" w:eastAsia="宋体" w:hint="default"/>
          <w:sz w:val="21"/>
          <w:szCs w:val="21"/>
        </w:rPr>
        <w:sectPr>
          <w:pgSz w:w="11910" w:h="16840"/>
          <w:pgMar w:header="748" w:footer="907" w:top="980" w:bottom="1100" w:left="1200" w:right="0"/>
        </w:sectPr>
      </w:pPr>
    </w:p>
    <w:p>
      <w:pPr>
        <w:spacing w:line="240" w:lineRule="auto" w:before="0"/>
        <w:rPr>
          <w:rFonts w:ascii="宋体" w:hAnsi="宋体" w:cs="宋体" w:eastAsia="宋体" w:hint="default"/>
          <w:sz w:val="20"/>
          <w:szCs w:val="20"/>
        </w:rPr>
      </w:pPr>
    </w:p>
    <w:p>
      <w:pPr>
        <w:pStyle w:val="Heading1"/>
        <w:tabs>
          <w:tab w:pos="1279" w:val="left" w:leader="none"/>
        </w:tabs>
        <w:spacing w:line="240" w:lineRule="auto"/>
        <w:ind w:right="1279"/>
        <w:jc w:val="center"/>
        <w:rPr>
          <w:b w:val="0"/>
          <w:bCs w:val="0"/>
        </w:rPr>
      </w:pPr>
      <w:bookmarkStart w:name="_TOC_250008" w:id="3"/>
      <w:r>
        <w:rPr>
          <w:w w:val="95"/>
        </w:rPr>
        <w:t>第三节</w:t>
        <w:tab/>
      </w:r>
      <w:r>
        <w:rPr/>
        <w:t>股本变动及股东情况</w:t>
      </w:r>
      <w:bookmarkEnd w:id="3"/>
      <w:r>
        <w:rPr>
          <w:b w:val="0"/>
          <w:bCs w:val="0"/>
        </w:rPr>
      </w:r>
    </w:p>
    <w:p>
      <w:pPr>
        <w:pStyle w:val="BodyText"/>
        <w:spacing w:line="240" w:lineRule="auto" w:before="217"/>
        <w:ind w:left="640" w:right="1298"/>
        <w:jc w:val="left"/>
      </w:pPr>
      <w:r>
        <w:rPr/>
        <w:t>一、股本变动情况</w:t>
      </w:r>
    </w:p>
    <w:p>
      <w:pPr>
        <w:tabs>
          <w:tab w:pos="7601" w:val="left" w:leader="none"/>
        </w:tabs>
        <w:spacing w:before="154"/>
        <w:ind w:left="640" w:right="12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、股本变动情况表</w:t>
        <w:tab/>
      </w:r>
      <w:r>
        <w:rPr>
          <w:rFonts w:ascii="宋体" w:hAnsi="宋体" w:cs="宋体" w:eastAsia="宋体" w:hint="default"/>
          <w:spacing w:val="-1"/>
          <w:sz w:val="21"/>
          <w:szCs w:val="21"/>
        </w:rPr>
        <w:t>（单位：股）</w:t>
      </w:r>
    </w:p>
    <w:p>
      <w:pPr>
        <w:spacing w:line="240" w:lineRule="auto" w:before="8"/>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033"/>
        <w:gridCol w:w="1093"/>
        <w:gridCol w:w="516"/>
        <w:gridCol w:w="1092"/>
        <w:gridCol w:w="1147"/>
        <w:gridCol w:w="223"/>
        <w:gridCol w:w="925"/>
        <w:gridCol w:w="1094"/>
        <w:gridCol w:w="727"/>
      </w:tblGrid>
      <w:tr>
        <w:trPr>
          <w:trHeight w:val="485" w:hRule="exact"/>
        </w:trPr>
        <w:tc>
          <w:tcPr>
            <w:tcW w:w="2033" w:type="dxa"/>
            <w:vMerge w:val="restart"/>
            <w:tcBorders>
              <w:top w:val="single" w:sz="12" w:space="0" w:color="000000"/>
              <w:left w:val="single" w:sz="12" w:space="0" w:color="000000"/>
              <w:right w:val="single" w:sz="4" w:space="0" w:color="000000"/>
            </w:tcBorders>
          </w:tcPr>
          <w:p>
            <w:pPr/>
          </w:p>
        </w:tc>
        <w:tc>
          <w:tcPr>
            <w:tcW w:w="16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2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387"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65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2"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left="37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7" w:hRule="exact"/>
        </w:trPr>
        <w:tc>
          <w:tcPr>
            <w:tcW w:w="2033" w:type="dxa"/>
            <w:vMerge/>
            <w:tcBorders>
              <w:left w:val="single" w:sz="12"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95" w:right="0"/>
              <w:jc w:val="left"/>
              <w:rPr>
                <w:rFonts w:ascii="Times New Roman" w:hAnsi="Times New Roman" w:cs="Times New Roman" w:eastAsia="Times New Roman" w:hint="default"/>
                <w:sz w:val="21"/>
                <w:szCs w:val="21"/>
              </w:rPr>
            </w:pPr>
            <w:r>
              <w:rPr>
                <w:rFonts w:ascii="Times New Roman"/>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其他（注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p>
        </w:tc>
        <w:tc>
          <w:tcPr>
            <w:tcW w:w="2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58"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99" w:right="0"/>
              <w:jc w:val="left"/>
              <w:rPr>
                <w:rFonts w:ascii="Times New Roman" w:hAnsi="Times New Roman" w:cs="Times New Roman" w:eastAsia="Times New Roman" w:hint="default"/>
                <w:sz w:val="21"/>
                <w:szCs w:val="21"/>
              </w:rPr>
            </w:pPr>
            <w:r>
              <w:rPr>
                <w:rFonts w:ascii="Times New Roman"/>
                <w:sz w:val="21"/>
              </w:rPr>
              <w:t>(%)</w:t>
            </w: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1,554,123,353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22.21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4,962,098</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5" w:right="0"/>
              <w:jc w:val="left"/>
              <w:rPr>
                <w:rFonts w:ascii="Times New Roman" w:hAnsi="Times New Roman" w:cs="Times New Roman" w:eastAsia="Times New Roman" w:hint="default"/>
                <w:sz w:val="18"/>
                <w:szCs w:val="18"/>
              </w:rPr>
            </w:pPr>
            <w:r>
              <w:rPr>
                <w:rFonts w:ascii="Times New Roman"/>
                <w:sz w:val="18"/>
              </w:rPr>
              <w:t>4,962,098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1,559,085,451</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22.28</w:t>
            </w:r>
          </w:p>
        </w:tc>
      </w:tr>
      <w:tr>
        <w:trPr>
          <w:trHeight w:val="476"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3"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0.37</w:t>
            </w:r>
          </w:p>
        </w:tc>
      </w:tr>
      <w:tr>
        <w:trPr>
          <w:trHeight w:val="557"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pacing w:val="-4"/>
                <w:sz w:val="21"/>
                <w:szCs w:val="21"/>
              </w:rPr>
              <w:t>其中：境内非国有法</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3"/>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26,162,790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pacing w:val="-1"/>
                <w:sz w:val="18"/>
              </w:rPr>
              <w:t>0.37</w:t>
            </w: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6"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hAnsi="宋体" w:cs="宋体" w:eastAsia="宋体" w:hint="default"/>
                <w:spacing w:val="-4"/>
                <w:sz w:val="21"/>
                <w:szCs w:val="21"/>
              </w:rPr>
              <w:t>其中：境外法人持股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751"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1,527,960,563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21.84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4,962,098</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5" w:right="0"/>
              <w:jc w:val="left"/>
              <w:rPr>
                <w:rFonts w:ascii="Times New Roman" w:hAnsi="Times New Roman" w:cs="Times New Roman" w:eastAsia="Times New Roman" w:hint="default"/>
                <w:sz w:val="18"/>
                <w:szCs w:val="18"/>
              </w:rPr>
            </w:pPr>
            <w:r>
              <w:rPr>
                <w:rFonts w:ascii="Times New Roman"/>
                <w:sz w:val="18"/>
              </w:rPr>
              <w:t>4,962,098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1,532,922,661</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21.91</w:t>
            </w: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5,442,088,513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77.79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-4,962,098</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5" w:right="0"/>
              <w:jc w:val="left"/>
              <w:rPr>
                <w:rFonts w:ascii="Times New Roman" w:hAnsi="Times New Roman" w:cs="Times New Roman" w:eastAsia="Times New Roman" w:hint="default"/>
                <w:sz w:val="18"/>
                <w:szCs w:val="18"/>
              </w:rPr>
            </w:pPr>
            <w:r>
              <w:rPr>
                <w:rFonts w:ascii="Times New Roman"/>
                <w:sz w:val="18"/>
              </w:rPr>
              <w:t>-4,962,098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5,437,126,415</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77.72</w:t>
            </w: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5,442,088,513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77.79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-4,962,098</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35" w:right="0"/>
              <w:jc w:val="left"/>
              <w:rPr>
                <w:rFonts w:ascii="Times New Roman" w:hAnsi="Times New Roman" w:cs="Times New Roman" w:eastAsia="Times New Roman" w:hint="default"/>
                <w:sz w:val="18"/>
                <w:szCs w:val="18"/>
              </w:rPr>
            </w:pPr>
            <w:r>
              <w:rPr>
                <w:rFonts w:ascii="Times New Roman"/>
                <w:sz w:val="18"/>
              </w:rPr>
              <w:t>-4,962,098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5,437,126,415</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77.72</w:t>
            </w: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、境内上市的外资股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5"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、境外上市的外资股</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76" w:hRule="exact"/>
        </w:trPr>
        <w:tc>
          <w:tcPr>
            <w:tcW w:w="2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9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gridSpan w:val="2"/>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12" w:space="0" w:color="000000"/>
            </w:tcBorders>
          </w:tcPr>
          <w:p>
            <w:pPr/>
          </w:p>
        </w:tc>
      </w:tr>
      <w:tr>
        <w:trPr>
          <w:trHeight w:val="485" w:hRule="exact"/>
        </w:trPr>
        <w:tc>
          <w:tcPr>
            <w:tcW w:w="203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6,996,211,866</w:t>
            </w:r>
          </w:p>
        </w:tc>
        <w:tc>
          <w:tcPr>
            <w:tcW w:w="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100</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14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10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6,996,211,866</w:t>
            </w:r>
          </w:p>
        </w:tc>
        <w:tc>
          <w:tcPr>
            <w:tcW w:w="7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z w:val="18"/>
              </w:rPr>
              <w:t>100</w:t>
            </w:r>
          </w:p>
        </w:tc>
      </w:tr>
    </w:tbl>
    <w:p>
      <w:pPr>
        <w:spacing w:before="42"/>
        <w:ind w:left="556" w:right="129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8"/>
          <w:sz w:val="21"/>
          <w:szCs w:val="21"/>
        </w:rPr>
        <w:t> </w:t>
      </w: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日期间，公司副董事长孙为民先生、总裁金明先生、</w:t>
      </w:r>
    </w:p>
    <w:p>
      <w:pPr>
        <w:spacing w:line="297" w:lineRule="auto" w:before="69"/>
        <w:ind w:left="160" w:right="1427" w:firstLine="0"/>
        <w:jc w:val="left"/>
        <w:rPr>
          <w:rFonts w:ascii="宋体" w:hAnsi="宋体" w:cs="宋体" w:eastAsia="宋体" w:hint="default"/>
          <w:sz w:val="21"/>
          <w:szCs w:val="21"/>
        </w:rPr>
      </w:pPr>
      <w:r>
        <w:rPr>
          <w:rFonts w:ascii="宋体" w:hAnsi="宋体" w:cs="宋体" w:eastAsia="宋体" w:hint="default"/>
          <w:sz w:val="21"/>
          <w:szCs w:val="21"/>
        </w:rPr>
        <w:t>副总裁孟祥胜先生、副总裁任峻先生合计增持本公司股份 </w:t>
      </w:r>
      <w:r>
        <w:rPr>
          <w:rFonts w:ascii="Times New Roman" w:hAnsi="Times New Roman" w:cs="Times New Roman" w:eastAsia="Times New Roman" w:hint="default"/>
          <w:sz w:val="21"/>
          <w:szCs w:val="21"/>
        </w:rPr>
        <w:t>6,616,130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股，根据规定，该部分增持股</w:t>
      </w:r>
      <w:r>
        <w:rPr>
          <w:rFonts w:ascii="宋体" w:hAnsi="宋体" w:cs="宋体" w:eastAsia="宋体" w:hint="default"/>
          <w:w w:val="100"/>
          <w:sz w:val="21"/>
          <w:szCs w:val="21"/>
        </w:rPr>
        <w:t> </w:t>
      </w:r>
      <w:r>
        <w:rPr>
          <w:rFonts w:ascii="宋体" w:hAnsi="宋体" w:cs="宋体" w:eastAsia="宋体" w:hint="default"/>
          <w:sz w:val="21"/>
          <w:szCs w:val="21"/>
        </w:rPr>
        <w:t>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按高管股份锁定。</w:t>
      </w:r>
    </w:p>
    <w:p>
      <w:pPr>
        <w:spacing w:before="13"/>
        <w:ind w:left="563" w:right="129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0"/>
          <w:sz w:val="21"/>
          <w:szCs w:val="21"/>
        </w:rPr>
        <w:t> </w:t>
      </w: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：董事、监事、高管所持股份按照国家相关法律法规及规范性文件规定予以锁定。</w:t>
      </w:r>
    </w:p>
    <w:p>
      <w:pPr>
        <w:pStyle w:val="BodyText"/>
        <w:spacing w:line="240" w:lineRule="auto" w:before="106"/>
        <w:ind w:left="642" w:right="1298"/>
        <w:jc w:val="left"/>
      </w:pPr>
      <w:r>
        <w:rPr>
          <w:rFonts w:ascii="Times New Roman" w:hAnsi="Times New Roman" w:cs="Times New Roman" w:eastAsia="Times New Roman" w:hint="default"/>
        </w:rPr>
        <w:t>2</w:t>
      </w:r>
      <w:r>
        <w:rPr/>
        <w:t>、股票发行与上市情况</w:t>
      </w:r>
    </w:p>
    <w:p>
      <w:pPr>
        <w:pStyle w:val="BodyText"/>
        <w:spacing w:line="240" w:lineRule="auto"/>
        <w:ind w:left="640" w:right="1298"/>
        <w:jc w:val="left"/>
      </w:pPr>
      <w:r>
        <w:rPr/>
        <w:t>（</w:t>
      </w:r>
      <w:r>
        <w:rPr>
          <w:rFonts w:ascii="Times New Roman" w:hAnsi="Times New Roman" w:cs="Times New Roman" w:eastAsia="Times New Roman" w:hint="default"/>
        </w:rPr>
        <w:t>1</w:t>
      </w:r>
      <w:r>
        <w:rPr/>
        <w:t>）截至报告期末公司前三年历次股票发行及上市情况</w:t>
      </w:r>
    </w:p>
    <w:p>
      <w:pPr>
        <w:pStyle w:val="BodyText"/>
        <w:spacing w:line="348" w:lineRule="auto" w:before="136"/>
        <w:ind w:left="160" w:right="1316" w:firstLine="480"/>
        <w:jc w:val="both"/>
      </w:pPr>
      <w:r>
        <w:rPr/>
        <w:t>①</w:t>
      </w:r>
      <w:r>
        <w:rPr>
          <w:spacing w:val="-1"/>
        </w:rPr>
        <w:t> </w:t>
      </w:r>
      <w:r>
        <w:rPr/>
        <w:t>经中国证监会证监许可〔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1351</w:t>
      </w:r>
      <w:r>
        <w:rPr>
          <w:rFonts w:ascii="Times New Roman" w:hAnsi="Times New Roman" w:cs="Times New Roman" w:eastAsia="Times New Roman" w:hint="default"/>
          <w:spacing w:val="12"/>
        </w:rPr>
        <w:t> </w:t>
      </w:r>
      <w:r>
        <w:rPr/>
        <w:t>号文核准，公司于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日完 </w:t>
      </w:r>
      <w:r>
        <w:rPr>
          <w:spacing w:val="3"/>
        </w:rPr>
        <w:t>成以非公开发行股票的方式向包括公司控股股东张近东先生在内的七名特定投资者发</w:t>
      </w:r>
      <w:r>
        <w:rPr>
          <w:spacing w:val="-108"/>
        </w:rPr>
        <w:t> </w:t>
      </w:r>
      <w:r>
        <w:rPr>
          <w:spacing w:val="-108"/>
        </w:rPr>
      </w:r>
      <w:r>
        <w:rPr>
          <w:spacing w:val="-6"/>
        </w:rPr>
        <w:t>行人民币普通股（</w:t>
      </w:r>
      <w:r>
        <w:rPr>
          <w:rFonts w:ascii="Times New Roman" w:hAnsi="Times New Roman" w:cs="Times New Roman" w:eastAsia="Times New Roman" w:hint="default"/>
          <w:spacing w:val="-6"/>
        </w:rPr>
        <w:t>A </w:t>
      </w:r>
      <w:r>
        <w:rPr>
          <w:spacing w:val="-4"/>
        </w:rPr>
        <w:t>股）</w:t>
      </w:r>
      <w:r>
        <w:rPr>
          <w:rFonts w:ascii="Times New Roman" w:hAnsi="Times New Roman" w:cs="Times New Roman" w:eastAsia="Times New Roman" w:hint="default"/>
          <w:spacing w:val="-4"/>
        </w:rPr>
        <w:t>177,629,244 </w:t>
      </w:r>
      <w:r>
        <w:rPr>
          <w:spacing w:val="-3"/>
        </w:rPr>
        <w:t>股；其中张近东先生认购的股份限售期为 </w:t>
      </w:r>
      <w:r>
        <w:rPr>
          <w:rFonts w:ascii="Times New Roman" w:hAnsi="Times New Roman" w:cs="Times New Roman" w:eastAsia="Times New Roman" w:hint="default"/>
        </w:rPr>
        <w:t>36</w:t>
      </w:r>
      <w:r>
        <w:rPr>
          <w:rFonts w:ascii="Times New Roman" w:hAnsi="Times New Roman" w:cs="Times New Roman" w:eastAsia="Times New Roman" w:hint="default"/>
          <w:spacing w:val="-32"/>
        </w:rPr>
        <w:t> </w:t>
      </w:r>
      <w:r>
        <w:rPr/>
        <w:t>个月，</w:t>
      </w:r>
    </w:p>
    <w:p>
      <w:pPr>
        <w:spacing w:after="0" w:line="348" w:lineRule="auto"/>
        <w:jc w:val="both"/>
        <w:sectPr>
          <w:pgSz w:w="11910" w:h="16840"/>
          <w:pgMar w:header="748" w:footer="907" w:top="980" w:bottom="1100" w:left="1280" w:right="0"/>
        </w:sectPr>
      </w:pPr>
    </w:p>
    <w:p>
      <w:pPr>
        <w:spacing w:line="240" w:lineRule="auto" w:before="6"/>
        <w:rPr>
          <w:rFonts w:ascii="宋体" w:hAnsi="宋体" w:cs="宋体" w:eastAsia="宋体" w:hint="default"/>
          <w:sz w:val="29"/>
          <w:szCs w:val="29"/>
        </w:rPr>
      </w:pPr>
    </w:p>
    <w:p>
      <w:pPr>
        <w:pStyle w:val="BodyText"/>
        <w:spacing w:line="240" w:lineRule="auto" w:before="26"/>
        <w:ind w:left="820" w:right="1303"/>
        <w:jc w:val="left"/>
      </w:pPr>
      <w:r>
        <w:rPr/>
        <w:t>其他六名特定投资者认购的股份限售期为</w:t>
      </w:r>
      <w:r>
        <w:rPr>
          <w:spacing w:val="-60"/>
        </w:rPr>
        <w:t> </w:t>
      </w:r>
      <w:r>
        <w:rPr>
          <w:rFonts w:ascii="Times New Roman" w:hAnsi="Times New Roman" w:cs="Times New Roman" w:eastAsia="Times New Roman" w:hint="default"/>
        </w:rPr>
        <w:t>12 </w:t>
      </w:r>
      <w:r>
        <w:rPr>
          <w:spacing w:val="-11"/>
        </w:rPr>
        <w:t>个月。该部分股份于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日上</w:t>
      </w:r>
    </w:p>
    <w:p>
      <w:pPr>
        <w:pStyle w:val="BodyText"/>
        <w:spacing w:line="240" w:lineRule="auto"/>
        <w:ind w:left="820" w:right="1303"/>
        <w:jc w:val="left"/>
      </w:pPr>
      <w:r>
        <w:rPr/>
        <w:t>市。发行后，公司股份总数为</w:t>
      </w:r>
      <w:r>
        <w:rPr>
          <w:spacing w:val="-60"/>
        </w:rPr>
        <w:t> </w:t>
      </w:r>
      <w:r>
        <w:rPr>
          <w:rFonts w:ascii="Times New Roman" w:hAnsi="Times New Roman" w:cs="Times New Roman" w:eastAsia="Times New Roman" w:hint="default"/>
        </w:rPr>
        <w:t>4,664,141,244 </w:t>
      </w:r>
      <w:r>
        <w:rPr/>
        <w:t>股。</w:t>
      </w:r>
    </w:p>
    <w:p>
      <w:pPr>
        <w:pStyle w:val="BodyText"/>
        <w:spacing w:line="240" w:lineRule="auto"/>
        <w:ind w:left="1300" w:right="1303"/>
        <w:jc w:val="left"/>
      </w:pPr>
      <w:r>
        <w:rPr/>
        <w:t>②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日，公司召开</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年第一次临时股东大会，审议通过了《关于</w:t>
      </w:r>
    </w:p>
    <w:p>
      <w:pPr>
        <w:pStyle w:val="BodyText"/>
        <w:spacing w:line="350" w:lineRule="auto"/>
        <w:ind w:left="820" w:right="1303"/>
        <w:jc w:val="left"/>
      </w:pPr>
      <w:r>
        <w:rPr/>
        <w:t>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6"/>
        </w:rPr>
        <w:t>年非公开发行股票方案的议案》，拟向南京润东投资有限公司、北京弘毅贰零</w:t>
      </w:r>
      <w:r>
        <w:rPr>
          <w:spacing w:val="-118"/>
        </w:rPr>
        <w:t> </w:t>
      </w:r>
      <w:r>
        <w:rPr>
          <w:spacing w:val="-118"/>
        </w:rPr>
      </w:r>
      <w:r>
        <w:rPr>
          <w:spacing w:val="-3"/>
        </w:rPr>
        <w:t>壹零股权投资中心（有限合伙）以及新华人寿保险股份有限公司三名特定投资者发行人</w:t>
      </w:r>
      <w:r>
        <w:rPr>
          <w:spacing w:val="-98"/>
        </w:rPr>
        <w:t> </w:t>
      </w:r>
      <w:r>
        <w:rPr>
          <w:spacing w:val="-98"/>
        </w:rPr>
      </w:r>
      <w:r>
        <w:rPr/>
        <w:t>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447,154,480</w:t>
      </w:r>
      <w:r>
        <w:rPr>
          <w:rFonts w:ascii="Times New Roman" w:hAnsi="Times New Roman" w:cs="Times New Roman" w:eastAsia="Times New Roman" w:hint="default"/>
          <w:spacing w:val="5"/>
        </w:rPr>
        <w:t> </w:t>
      </w:r>
      <w:r>
        <w:rPr/>
        <w:t>股。</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日，经中国证券监督管理委员会 </w:t>
      </w:r>
      <w:r>
        <w:rPr>
          <w:spacing w:val="-3"/>
        </w:rPr>
        <w:t>发行审核委员会审核，此次非公开发行股票申请已获得无条件通过。由于公司控股股东</w:t>
      </w:r>
      <w:r>
        <w:rPr>
          <w:spacing w:val="-98"/>
        </w:rPr>
        <w:t> </w:t>
      </w:r>
      <w:r>
        <w:rPr>
          <w:spacing w:val="-98"/>
        </w:rPr>
      </w:r>
      <w:r>
        <w:rPr>
          <w:spacing w:val="-3"/>
        </w:rPr>
        <w:t>及实际控制人张近东先生之全资子公司南京润东投资有限公司认购本次发行股份，使得</w:t>
      </w:r>
      <w:r>
        <w:rPr>
          <w:spacing w:val="-98"/>
        </w:rPr>
        <w:t> </w:t>
      </w:r>
      <w:r>
        <w:rPr>
          <w:spacing w:val="-98"/>
        </w:rPr>
      </w:r>
      <w:r>
        <w:rPr/>
        <w:t>张近东先生直接或间接持有本公司的股份比例将由 </w:t>
      </w:r>
      <w:r>
        <w:rPr>
          <w:rFonts w:ascii="Times New Roman" w:hAnsi="Times New Roman" w:cs="Times New Roman" w:eastAsia="Times New Roman" w:hint="default"/>
        </w:rPr>
        <w:t>27.9%</w:t>
      </w:r>
      <w:r>
        <w:rPr/>
        <w:t>增加至</w:t>
      </w:r>
      <w:r>
        <w:rPr>
          <w:spacing w:val="-11"/>
        </w:rPr>
        <w:t> </w:t>
      </w:r>
      <w:r>
        <w:rPr>
          <w:rFonts w:ascii="Times New Roman" w:hAnsi="Times New Roman" w:cs="Times New Roman" w:eastAsia="Times New Roman" w:hint="default"/>
        </w:rPr>
        <w:t>30.05%</w:t>
      </w:r>
      <w:r>
        <w:rPr/>
        <w:t>，从而触发要 </w:t>
      </w:r>
      <w:r>
        <w:rPr>
          <w:spacing w:val="-3"/>
        </w:rPr>
        <w:t>约收购义务。鉴于收购人张近东先生在其取得苏宁电器本次非公开发行新股前已经拥有</w:t>
      </w:r>
      <w:r>
        <w:rPr>
          <w:spacing w:val="-99"/>
        </w:rPr>
        <w:t> </w:t>
      </w:r>
      <w:r>
        <w:rPr>
          <w:spacing w:val="-99"/>
        </w:rPr>
      </w:r>
      <w:r>
        <w:rPr/>
        <w:t>苏宁电器的控制权，符合《上市公司收购管理办法》第</w:t>
      </w:r>
      <w:r>
        <w:rPr>
          <w:spacing w:val="-65"/>
        </w:rPr>
        <w:t> </w:t>
      </w:r>
      <w:r>
        <w:rPr>
          <w:rFonts w:ascii="Times New Roman" w:hAnsi="Times New Roman" w:cs="Times New Roman" w:eastAsia="Times New Roman" w:hint="default"/>
        </w:rPr>
        <w:t>62</w:t>
      </w:r>
      <w:r>
        <w:rPr>
          <w:rFonts w:ascii="Times New Roman" w:hAnsi="Times New Roman" w:cs="Times New Roman" w:eastAsia="Times New Roman" w:hint="default"/>
          <w:spacing w:val="-5"/>
        </w:rPr>
        <w:t> </w:t>
      </w:r>
      <w:r>
        <w:rPr/>
        <w:t>条（</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日修订） </w:t>
      </w:r>
      <w:r>
        <w:rPr>
          <w:spacing w:val="-3"/>
        </w:rPr>
        <w:t>的相关规定，江苏世纪同仁律师事务所审核后认为：收购人张近东先生可以免于提交豁</w:t>
      </w:r>
      <w:r>
        <w:rPr>
          <w:spacing w:val="-98"/>
        </w:rPr>
        <w:t> </w:t>
      </w:r>
      <w:r>
        <w:rPr>
          <w:spacing w:val="-98"/>
        </w:rPr>
      </w:r>
      <w:r>
        <w:rPr>
          <w:spacing w:val="-6"/>
        </w:rPr>
        <w:t>免申请。张近东先生已向证监会撤回收购及豁免履行要约申报材料。截至本报告披露日，</w:t>
      </w:r>
      <w:r>
        <w:rPr>
          <w:spacing w:val="-98"/>
        </w:rPr>
        <w:t> </w:t>
      </w:r>
      <w:r>
        <w:rPr>
          <w:spacing w:val="-98"/>
        </w:rPr>
      </w:r>
      <w:r>
        <w:rPr/>
        <w:t>公司非公开发行事项正在履行证监会发行核准程序。</w:t>
      </w:r>
    </w:p>
    <w:p>
      <w:pPr>
        <w:pStyle w:val="BodyText"/>
        <w:spacing w:line="240" w:lineRule="auto" w:before="44"/>
        <w:ind w:left="1300" w:right="1303"/>
        <w:jc w:val="left"/>
      </w:pPr>
      <w:r>
        <w:rPr/>
        <w:t>二、股东情况介绍：</w:t>
      </w:r>
    </w:p>
    <w:p>
      <w:pPr>
        <w:pStyle w:val="BodyText"/>
        <w:spacing w:line="240" w:lineRule="auto" w:before="154"/>
        <w:ind w:left="1300" w:right="1303"/>
        <w:jc w:val="left"/>
      </w:pPr>
      <w:r>
        <w:rPr>
          <w:rFonts w:ascii="Times New Roman" w:hAnsi="Times New Roman" w:cs="Times New Roman" w:eastAsia="Times New Roman" w:hint="default"/>
        </w:rPr>
        <w:t>1</w:t>
      </w:r>
      <w:r>
        <w:rPr/>
        <w:t>、股东情况</w:t>
      </w:r>
    </w:p>
    <w:p>
      <w:pPr>
        <w:spacing w:line="240" w:lineRule="auto" w:before="6"/>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686"/>
        <w:gridCol w:w="1971"/>
        <w:gridCol w:w="864"/>
        <w:gridCol w:w="1553"/>
        <w:gridCol w:w="2103"/>
        <w:gridCol w:w="1265"/>
      </w:tblGrid>
      <w:tr>
        <w:trPr>
          <w:trHeight w:val="720" w:hRule="exact"/>
        </w:trPr>
        <w:tc>
          <w:tcPr>
            <w:tcW w:w="26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79"/>
              <w:ind w:left="93" w:right="0"/>
              <w:jc w:val="left"/>
              <w:rPr>
                <w:rFonts w:ascii="宋体" w:hAnsi="宋体" w:cs="宋体" w:eastAsia="宋体" w:hint="default"/>
                <w:sz w:val="21"/>
                <w:szCs w:val="21"/>
              </w:rPr>
            </w:pPr>
            <w:r>
              <w:rPr>
                <w:rFonts w:ascii="宋体" w:hAnsi="宋体" w:cs="宋体" w:eastAsia="宋体" w:hint="default"/>
                <w:b/>
                <w:bCs/>
                <w:sz w:val="21"/>
                <w:szCs w:val="21"/>
              </w:rPr>
              <w:t>报告期末股东总数</w:t>
            </w:r>
            <w:r>
              <w:rPr>
                <w:rFonts w:ascii="宋体" w:hAnsi="宋体" w:cs="宋体" w:eastAsia="宋体" w:hint="default"/>
                <w:sz w:val="21"/>
                <w:szCs w:val="21"/>
              </w:rPr>
            </w:r>
          </w:p>
        </w:tc>
        <w:tc>
          <w:tcPr>
            <w:tcW w:w="19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297,286</w:t>
            </w:r>
          </w:p>
        </w:tc>
        <w:tc>
          <w:tcPr>
            <w:tcW w:w="241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2" w:lineRule="exact" w:before="72"/>
              <w:ind w:left="103" w:right="197"/>
              <w:jc w:val="left"/>
              <w:rPr>
                <w:rFonts w:ascii="宋体" w:hAnsi="宋体" w:cs="宋体" w:eastAsia="宋体" w:hint="default"/>
                <w:sz w:val="21"/>
                <w:szCs w:val="21"/>
              </w:rPr>
            </w:pPr>
            <w:r>
              <w:rPr>
                <w:rFonts w:ascii="宋体" w:hAnsi="宋体" w:cs="宋体" w:eastAsia="宋体" w:hint="default"/>
                <w:b/>
                <w:bCs/>
                <w:sz w:val="21"/>
                <w:szCs w:val="21"/>
              </w:rPr>
              <w:t>本年度报告公布日前一</w:t>
            </w:r>
            <w:r>
              <w:rPr>
                <w:rFonts w:ascii="宋体" w:hAnsi="宋体" w:cs="宋体" w:eastAsia="宋体" w:hint="default"/>
                <w:b/>
                <w:bCs/>
                <w:w w:val="100"/>
                <w:sz w:val="21"/>
                <w:szCs w:val="21"/>
              </w:rPr>
              <w:t> </w:t>
            </w:r>
            <w:r>
              <w:rPr>
                <w:rFonts w:ascii="宋体" w:hAnsi="宋体" w:cs="宋体" w:eastAsia="宋体" w:hint="default"/>
                <w:b/>
                <w:bCs/>
                <w:sz w:val="21"/>
                <w:szCs w:val="21"/>
              </w:rPr>
              <w:t>个月末股东总数</w:t>
            </w:r>
            <w:r>
              <w:rPr>
                <w:rFonts w:ascii="宋体" w:hAnsi="宋体" w:cs="宋体" w:eastAsia="宋体" w:hint="default"/>
                <w:sz w:val="21"/>
                <w:szCs w:val="21"/>
              </w:rPr>
            </w:r>
          </w:p>
        </w:tc>
        <w:tc>
          <w:tcPr>
            <w:tcW w:w="3368"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295,108</w:t>
            </w:r>
          </w:p>
        </w:tc>
      </w:tr>
      <w:tr>
        <w:trPr>
          <w:trHeight w:val="432" w:hRule="exact"/>
        </w:trPr>
        <w:tc>
          <w:tcPr>
            <w:tcW w:w="10442" w:type="dxa"/>
            <w:gridSpan w:val="6"/>
            <w:tcBorders>
              <w:top w:val="single" w:sz="4" w:space="0" w:color="000000"/>
              <w:left w:val="single" w:sz="12" w:space="0" w:color="000000"/>
              <w:bottom w:val="single" w:sz="4" w:space="0" w:color="000000"/>
              <w:right w:val="single" w:sz="12" w:space="0" w:color="000000"/>
            </w:tcBorders>
          </w:tcPr>
          <w:p>
            <w:pPr>
              <w:pStyle w:val="TableParagraph"/>
              <w:tabs>
                <w:tab w:pos="8082" w:val="left" w:leader="none"/>
              </w:tabs>
              <w:spacing w:line="240" w:lineRule="auto" w:before="40"/>
              <w:ind w:left="93" w:right="0"/>
              <w:jc w:val="left"/>
              <w:rPr>
                <w:rFonts w:ascii="宋体" w:hAnsi="宋体" w:cs="宋体" w:eastAsia="宋体" w:hint="default"/>
                <w:sz w:val="21"/>
                <w:szCs w:val="21"/>
              </w:rPr>
            </w:pPr>
            <w:r>
              <w:rPr>
                <w:rFonts w:ascii="宋体" w:hAnsi="宋体" w:cs="宋体" w:eastAsia="宋体" w:hint="default"/>
                <w:b/>
                <w:bCs/>
                <w:spacing w:val="-1"/>
                <w:sz w:val="21"/>
                <w:szCs w:val="21"/>
              </w:rPr>
              <w:t>前</w:t>
            </w: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名股东持股情况</w:t>
              <w:tab/>
              <w:t>（单位：股）</w:t>
            </w:r>
            <w:r>
              <w:rPr>
                <w:rFonts w:ascii="宋体" w:hAnsi="宋体" w:cs="宋体" w:eastAsia="宋体" w:hint="default"/>
                <w:spacing w:val="-1"/>
                <w:sz w:val="21"/>
                <w:szCs w:val="21"/>
              </w:rPr>
            </w:r>
          </w:p>
        </w:tc>
      </w:tr>
      <w:tr>
        <w:trPr>
          <w:trHeight w:val="847"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1" w:right="108" w:hanging="212"/>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6"/>
              <w:jc w:val="left"/>
              <w:rPr>
                <w:rFonts w:ascii="宋体" w:hAnsi="宋体" w:cs="宋体" w:eastAsia="宋体" w:hint="default"/>
                <w:sz w:val="21"/>
                <w:szCs w:val="21"/>
              </w:rPr>
            </w:pPr>
            <w:r>
              <w:rPr>
                <w:rFonts w:ascii="宋体" w:hAnsi="宋体" w:cs="宋体" w:eastAsia="宋体" w:hint="default"/>
                <w:spacing w:val="-5"/>
                <w:sz w:val="21"/>
                <w:szCs w:val="21"/>
              </w:rPr>
              <w:t>持股总数（股）</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35" w:right="204" w:hanging="632"/>
              <w:jc w:val="left"/>
              <w:rPr>
                <w:rFonts w:ascii="宋体" w:hAnsi="宋体" w:cs="宋体" w:eastAsia="宋体" w:hint="default"/>
                <w:sz w:val="21"/>
                <w:szCs w:val="21"/>
              </w:rPr>
            </w:pPr>
            <w:r>
              <w:rPr>
                <w:rFonts w:ascii="宋体" w:hAnsi="宋体" w:cs="宋体" w:eastAsia="宋体" w:hint="default"/>
                <w:sz w:val="21"/>
                <w:szCs w:val="21"/>
              </w:rPr>
              <w:t>持有限售条件股份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left="208" w:right="87" w:hanging="106"/>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w:t>
            </w:r>
          </w:p>
        </w:tc>
      </w:tr>
      <w:tr>
        <w:trPr>
          <w:trHeight w:val="466"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7"/>
              <w:ind w:left="9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21"/>
                <w:szCs w:val="21"/>
              </w:rPr>
            </w:pPr>
            <w:r>
              <w:rPr>
                <w:rFonts w:ascii="Times New Roman"/>
                <w:sz w:val="21"/>
              </w:rPr>
              <w:t>27.90%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Times New Roman" w:hAnsi="Times New Roman" w:cs="Times New Roman" w:eastAsia="Times New Roman" w:hint="default"/>
                <w:sz w:val="21"/>
                <w:szCs w:val="21"/>
              </w:rPr>
            </w:pPr>
            <w:r>
              <w:rPr>
                <w:rFonts w:ascii="Times New Roman"/>
                <w:sz w:val="21"/>
              </w:rPr>
              <w:t>1,951,811,430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7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1,463,858,573(</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23" w:lineRule="exact"/>
              <w:ind w:left="103" w:right="0"/>
              <w:jc w:val="left"/>
              <w:rPr>
                <w:rFonts w:ascii="Times New Roman" w:hAnsi="Times New Roman" w:cs="Times New Roman" w:eastAsia="Times New Roman" w:hint="default"/>
                <w:sz w:val="21"/>
                <w:szCs w:val="21"/>
              </w:rPr>
            </w:pPr>
            <w:r>
              <w:rPr>
                <w:rFonts w:ascii="Times New Roman"/>
                <w:sz w:val="21"/>
              </w:rPr>
              <w:t>349,810,000</w:t>
            </w:r>
          </w:p>
          <w:p>
            <w:pPr>
              <w:pStyle w:val="TableParagraph"/>
              <w:spacing w:line="273" w:lineRule="exact"/>
              <w:ind w:left="36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559"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13.47%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88" w:right="0"/>
              <w:jc w:val="left"/>
              <w:rPr>
                <w:rFonts w:ascii="Times New Roman" w:hAnsi="Times New Roman" w:cs="Times New Roman" w:eastAsia="Times New Roman" w:hint="default"/>
                <w:sz w:val="21"/>
                <w:szCs w:val="21"/>
              </w:rPr>
            </w:pPr>
            <w:r>
              <w:rPr>
                <w:rFonts w:ascii="Times New Roman"/>
                <w:sz w:val="21"/>
              </w:rPr>
              <w:t>942,093,549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before="10"/>
              <w:ind w:left="103" w:right="0"/>
              <w:jc w:val="left"/>
              <w:rPr>
                <w:rFonts w:ascii="Times New Roman" w:hAnsi="Times New Roman" w:cs="Times New Roman" w:eastAsia="Times New Roman" w:hint="default"/>
                <w:sz w:val="21"/>
                <w:szCs w:val="21"/>
              </w:rPr>
            </w:pPr>
            <w:r>
              <w:rPr>
                <w:rFonts w:ascii="Times New Roman"/>
                <w:sz w:val="21"/>
              </w:rPr>
              <w:t>349,760,000</w:t>
            </w:r>
          </w:p>
          <w:p>
            <w:pPr>
              <w:pStyle w:val="TableParagraph"/>
              <w:spacing w:line="277" w:lineRule="exact"/>
              <w:ind w:left="36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461"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2.80%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8" w:right="0"/>
              <w:jc w:val="left"/>
              <w:rPr>
                <w:rFonts w:ascii="Times New Roman" w:hAnsi="Times New Roman" w:cs="Times New Roman" w:eastAsia="Times New Roman" w:hint="default"/>
                <w:sz w:val="21"/>
                <w:szCs w:val="21"/>
              </w:rPr>
            </w:pPr>
            <w:r>
              <w:rPr>
                <w:rFonts w:ascii="Times New Roman"/>
                <w:sz w:val="21"/>
              </w:rPr>
              <w:t>196,132,370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20" w:lineRule="exact"/>
              <w:ind w:left="103" w:right="0"/>
              <w:jc w:val="left"/>
              <w:rPr>
                <w:rFonts w:ascii="Times New Roman" w:hAnsi="Times New Roman" w:cs="Times New Roman" w:eastAsia="Times New Roman" w:hint="default"/>
                <w:sz w:val="21"/>
                <w:szCs w:val="21"/>
              </w:rPr>
            </w:pPr>
            <w:r>
              <w:rPr>
                <w:rFonts w:ascii="Times New Roman"/>
                <w:sz w:val="21"/>
              </w:rPr>
              <w:t>196,000,000</w:t>
            </w:r>
          </w:p>
          <w:p>
            <w:pPr>
              <w:pStyle w:val="TableParagraph"/>
              <w:spacing w:line="271" w:lineRule="exact"/>
              <w:ind w:left="36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634"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金明</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122,064,007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9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91,548,005 (</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28" w:lineRule="exact" w:before="48"/>
              <w:ind w:left="119" w:right="0"/>
              <w:jc w:val="center"/>
              <w:rPr>
                <w:rFonts w:ascii="Times New Roman" w:hAnsi="Times New Roman" w:cs="Times New Roman" w:eastAsia="Times New Roman" w:hint="default"/>
                <w:sz w:val="21"/>
                <w:szCs w:val="21"/>
              </w:rPr>
            </w:pPr>
            <w:r>
              <w:rPr>
                <w:rFonts w:ascii="Times New Roman"/>
                <w:sz w:val="21"/>
              </w:rPr>
              <w:t>30,000,000</w:t>
            </w:r>
          </w:p>
          <w:p>
            <w:pPr>
              <w:pStyle w:val="TableParagraph"/>
              <w:spacing w:line="277" w:lineRule="exact"/>
              <w:ind w:left="27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840"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55"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中国银行－易方达深证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p>
          <w:p>
            <w:pPr>
              <w:pStyle w:val="TableParagraph"/>
              <w:spacing w:line="272" w:lineRule="exact" w:before="19"/>
              <w:ind w:left="93" w:right="103"/>
              <w:jc w:val="left"/>
              <w:rPr>
                <w:rFonts w:ascii="宋体" w:hAnsi="宋体" w:cs="宋体" w:eastAsia="宋体" w:hint="default"/>
                <w:sz w:val="21"/>
                <w:szCs w:val="21"/>
              </w:rPr>
            </w:pPr>
            <w:r>
              <w:rPr>
                <w:rFonts w:ascii="宋体" w:hAnsi="宋体" w:cs="宋体" w:eastAsia="宋体" w:hint="default"/>
                <w:spacing w:val="12"/>
                <w:sz w:val="21"/>
                <w:szCs w:val="21"/>
              </w:rPr>
              <w:t>交易型开放式指数证券投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资基金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67,199,920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48"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2"/>
              <w:ind w:left="93" w:right="103"/>
              <w:jc w:val="left"/>
              <w:rPr>
                <w:rFonts w:ascii="宋体" w:hAnsi="宋体" w:cs="宋体" w:eastAsia="宋体" w:hint="default"/>
                <w:sz w:val="21"/>
                <w:szCs w:val="21"/>
              </w:rPr>
            </w:pPr>
            <w:r>
              <w:rPr>
                <w:rFonts w:ascii="宋体" w:hAnsi="宋体" w:cs="宋体" w:eastAsia="宋体" w:hint="default"/>
                <w:spacing w:val="12"/>
                <w:sz w:val="21"/>
                <w:szCs w:val="21"/>
              </w:rPr>
              <w:t>交通银行－富国天益价值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证券投资基金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67,104,815</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3" w:hRule="exact"/>
        </w:trPr>
        <w:tc>
          <w:tcPr>
            <w:tcW w:w="268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
              <w:ind w:left="93" w:right="103"/>
              <w:jc w:val="left"/>
              <w:rPr>
                <w:rFonts w:ascii="宋体" w:hAnsi="宋体" w:cs="宋体" w:eastAsia="宋体" w:hint="default"/>
                <w:sz w:val="21"/>
                <w:szCs w:val="21"/>
              </w:rPr>
            </w:pPr>
            <w:r>
              <w:rPr>
                <w:rFonts w:ascii="宋体" w:hAnsi="宋体" w:cs="宋体" w:eastAsia="宋体" w:hint="default"/>
                <w:spacing w:val="12"/>
                <w:sz w:val="21"/>
                <w:szCs w:val="21"/>
              </w:rPr>
              <w:t>中国工商银行－广发聚丰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股票型证券投资基金</w:t>
            </w:r>
          </w:p>
        </w:tc>
        <w:tc>
          <w:tcPr>
            <w:tcW w:w="19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0.86%</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60,000,000</w:t>
            </w:r>
          </w:p>
        </w:tc>
        <w:tc>
          <w:tcPr>
            <w:tcW w:w="21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pgSz w:w="11910" w:h="16840"/>
          <w:pgMar w:header="748" w:footer="907" w:top="980" w:bottom="1100" w:left="6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686"/>
        <w:gridCol w:w="1971"/>
        <w:gridCol w:w="864"/>
        <w:gridCol w:w="1553"/>
        <w:gridCol w:w="408"/>
        <w:gridCol w:w="1695"/>
        <w:gridCol w:w="1265"/>
      </w:tblGrid>
      <w:tr>
        <w:trPr>
          <w:trHeight w:val="636" w:hRule="exact"/>
        </w:trPr>
        <w:tc>
          <w:tcPr>
            <w:tcW w:w="268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39"/>
              <w:ind w:left="93"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19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0.82%</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57,297,080</w:t>
            </w:r>
          </w:p>
        </w:tc>
        <w:tc>
          <w:tcPr>
            <w:tcW w:w="210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12" w:space="0" w:color="000000"/>
              <w:left w:val="single" w:sz="4" w:space="0" w:color="000000"/>
              <w:bottom w:val="single" w:sz="4" w:space="0" w:color="000000"/>
              <w:right w:val="single" w:sz="12" w:space="0" w:color="000000"/>
            </w:tcBorders>
          </w:tcPr>
          <w:p>
            <w:pPr>
              <w:pStyle w:val="TableParagraph"/>
              <w:spacing w:line="228" w:lineRule="exact" w:before="44"/>
              <w:ind w:left="119" w:right="0"/>
              <w:jc w:val="center"/>
              <w:rPr>
                <w:rFonts w:ascii="Times New Roman" w:hAnsi="Times New Roman" w:cs="Times New Roman" w:eastAsia="Times New Roman" w:hint="default"/>
                <w:sz w:val="21"/>
                <w:szCs w:val="21"/>
              </w:rPr>
            </w:pPr>
            <w:r>
              <w:rPr>
                <w:rFonts w:ascii="Times New Roman"/>
                <w:sz w:val="21"/>
              </w:rPr>
              <w:t>56,200,000</w:t>
            </w:r>
          </w:p>
          <w:p>
            <w:pPr>
              <w:pStyle w:val="TableParagraph"/>
              <w:spacing w:line="277" w:lineRule="exact"/>
              <w:ind w:left="278"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626"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tabs>
                <w:tab w:pos="1247" w:val="left" w:leader="none"/>
                <w:tab w:pos="2398" w:val="left" w:leader="none"/>
              </w:tabs>
              <w:spacing w:line="240" w:lineRule="auto" w:before="60"/>
              <w:ind w:left="93" w:right="101"/>
              <w:jc w:val="left"/>
              <w:rPr>
                <w:rFonts w:ascii="Times New Roman" w:hAnsi="Times New Roman" w:cs="Times New Roman" w:eastAsia="Times New Roman" w:hint="default"/>
                <w:sz w:val="21"/>
                <w:szCs w:val="21"/>
              </w:rPr>
            </w:pPr>
            <w:r>
              <w:rPr>
                <w:rFonts w:ascii="Times New Roman"/>
                <w:spacing w:val="-1"/>
                <w:sz w:val="21"/>
              </w:rPr>
              <w:t>MORGAN</w:t>
              <w:tab/>
            </w:r>
            <w:r>
              <w:rPr>
                <w:rFonts w:ascii="Times New Roman"/>
                <w:spacing w:val="-4"/>
                <w:sz w:val="21"/>
              </w:rPr>
              <w:t>STANLEY</w:t>
              <w:tab/>
            </w:r>
            <w:r>
              <w:rPr>
                <w:rFonts w:ascii="Times New Roman"/>
                <w:sz w:val="21"/>
              </w:rPr>
              <w:t>&amp;</w:t>
            </w:r>
            <w:r>
              <w:rPr>
                <w:rFonts w:ascii="Times New Roman"/>
                <w:w w:val="100"/>
                <w:sz w:val="21"/>
              </w:rPr>
              <w:t> </w:t>
            </w:r>
            <w:r>
              <w:rPr>
                <w:rFonts w:ascii="Times New Roman"/>
                <w:spacing w:val="-3"/>
                <w:sz w:val="21"/>
              </w:rPr>
              <w:t>CO.INTERNATIONAL</w:t>
            </w:r>
            <w:r>
              <w:rPr>
                <w:rFonts w:ascii="Times New Roman"/>
                <w:spacing w:val="5"/>
                <w:sz w:val="21"/>
              </w:rPr>
              <w:t> </w:t>
            </w:r>
            <w:r>
              <w:rPr>
                <w:rFonts w:ascii="Times New Roman"/>
                <w:sz w:val="21"/>
              </w:rPr>
              <w:t>PLC</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50,474,656</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8"/>
              <w:ind w:left="41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93" w:hRule="exact"/>
        </w:trPr>
        <w:tc>
          <w:tcPr>
            <w:tcW w:w="2686"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23"/>
              <w:ind w:left="93" w:right="103"/>
              <w:jc w:val="both"/>
              <w:rPr>
                <w:rFonts w:ascii="宋体" w:hAnsi="宋体" w:cs="宋体" w:eastAsia="宋体" w:hint="default"/>
                <w:sz w:val="21"/>
                <w:szCs w:val="21"/>
              </w:rPr>
            </w:pPr>
            <w:r>
              <w:rPr>
                <w:rFonts w:ascii="宋体" w:hAnsi="宋体" w:cs="宋体" w:eastAsia="宋体" w:hint="default"/>
                <w:spacing w:val="12"/>
                <w:sz w:val="21"/>
                <w:szCs w:val="21"/>
              </w:rPr>
              <w:t>中国建设银行－富国天博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2"/>
                <w:sz w:val="21"/>
                <w:szCs w:val="21"/>
              </w:rPr>
              <w:t>创新主题股票型证券投资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基金</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0.71%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50,000,000</w:t>
            </w:r>
          </w:p>
        </w:tc>
        <w:tc>
          <w:tcPr>
            <w:tcW w:w="21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28" w:hRule="exact"/>
        </w:trPr>
        <w:tc>
          <w:tcPr>
            <w:tcW w:w="10442" w:type="dxa"/>
            <w:gridSpan w:val="7"/>
            <w:tcBorders>
              <w:top w:val="single" w:sz="4" w:space="0" w:color="000000"/>
              <w:left w:val="single" w:sz="12" w:space="0" w:color="000000"/>
              <w:bottom w:val="single" w:sz="4" w:space="0" w:color="000000"/>
              <w:right w:val="single" w:sz="12" w:space="0" w:color="000000"/>
            </w:tcBorders>
          </w:tcPr>
          <w:p>
            <w:pPr>
              <w:pStyle w:val="TableParagraph"/>
              <w:tabs>
                <w:tab w:pos="8080" w:val="left" w:leader="none"/>
              </w:tabs>
              <w:spacing w:line="240" w:lineRule="auto" w:before="88"/>
              <w:ind w:left="93" w:right="0"/>
              <w:jc w:val="left"/>
              <w:rPr>
                <w:rFonts w:ascii="宋体" w:hAnsi="宋体" w:cs="宋体" w:eastAsia="宋体" w:hint="default"/>
                <w:sz w:val="21"/>
                <w:szCs w:val="21"/>
              </w:rPr>
            </w:pPr>
            <w:r>
              <w:rPr>
                <w:rFonts w:ascii="宋体" w:hAnsi="宋体" w:cs="宋体" w:eastAsia="宋体" w:hint="default"/>
                <w:b/>
                <w:bCs/>
                <w:spacing w:val="-1"/>
                <w:sz w:val="21"/>
                <w:szCs w:val="21"/>
              </w:rPr>
              <w:t>前</w:t>
            </w: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名无限售条件股东持股情况</w:t>
              <w:tab/>
              <w:t>（单位：股）</w:t>
            </w:r>
            <w:r>
              <w:rPr>
                <w:rFonts w:ascii="宋体" w:hAnsi="宋体" w:cs="宋体" w:eastAsia="宋体" w:hint="default"/>
                <w:spacing w:val="-1"/>
                <w:sz w:val="21"/>
                <w:szCs w:val="21"/>
              </w:rPr>
            </w:r>
          </w:p>
        </w:tc>
      </w:tr>
      <w:tr>
        <w:trPr>
          <w:trHeight w:val="338"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51"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1"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61" w:right="0"/>
              <w:jc w:val="left"/>
              <w:rPr>
                <w:rFonts w:ascii="Times New Roman" w:hAnsi="Times New Roman" w:cs="Times New Roman" w:eastAsia="Times New Roman" w:hint="default"/>
                <w:sz w:val="21"/>
                <w:szCs w:val="21"/>
              </w:rPr>
            </w:pPr>
            <w:r>
              <w:rPr>
                <w:rFonts w:ascii="Times New Roman"/>
                <w:sz w:val="21"/>
              </w:rPr>
              <w:t>942,093,549</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41"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61" w:right="0"/>
              <w:jc w:val="left"/>
              <w:rPr>
                <w:rFonts w:ascii="Times New Roman" w:hAnsi="Times New Roman" w:cs="Times New Roman" w:eastAsia="Times New Roman" w:hint="default"/>
                <w:sz w:val="21"/>
                <w:szCs w:val="21"/>
              </w:rPr>
            </w:pPr>
            <w:r>
              <w:rPr>
                <w:rFonts w:ascii="Times New Roman"/>
                <w:sz w:val="21"/>
              </w:rPr>
              <w:t>487,952,857</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38"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61" w:right="0"/>
              <w:jc w:val="left"/>
              <w:rPr>
                <w:rFonts w:ascii="Times New Roman" w:hAnsi="Times New Roman" w:cs="Times New Roman" w:eastAsia="Times New Roman" w:hint="default"/>
                <w:sz w:val="21"/>
                <w:szCs w:val="21"/>
              </w:rPr>
            </w:pPr>
            <w:r>
              <w:rPr>
                <w:rFonts w:ascii="Times New Roman"/>
                <w:sz w:val="21"/>
              </w:rPr>
              <w:t>196,132,370</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93"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74" w:lineRule="exact" w:before="11"/>
              <w:ind w:left="93" w:right="99"/>
              <w:jc w:val="left"/>
              <w:rPr>
                <w:rFonts w:ascii="宋体" w:hAnsi="宋体" w:cs="宋体" w:eastAsia="宋体" w:hint="default"/>
                <w:sz w:val="21"/>
                <w:szCs w:val="21"/>
              </w:rPr>
            </w:pPr>
            <w:r>
              <w:rPr>
                <w:rFonts w:ascii="宋体" w:hAnsi="宋体" w:cs="宋体" w:eastAsia="宋体" w:hint="default"/>
                <w:sz w:val="21"/>
                <w:szCs w:val="21"/>
              </w:rPr>
              <w:t>中国银行－易方达深证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交易型开放式指数证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766" w:right="0"/>
              <w:jc w:val="left"/>
              <w:rPr>
                <w:rFonts w:ascii="Times New Roman" w:hAnsi="Times New Roman" w:cs="Times New Roman" w:eastAsia="Times New Roman" w:hint="default"/>
                <w:sz w:val="21"/>
                <w:szCs w:val="21"/>
              </w:rPr>
            </w:pPr>
            <w:r>
              <w:rPr>
                <w:rFonts w:ascii="Times New Roman"/>
                <w:sz w:val="21"/>
              </w:rPr>
              <w:t>67,199,920</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1"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left="93" w:right="0"/>
              <w:jc w:val="left"/>
              <w:rPr>
                <w:rFonts w:ascii="宋体" w:hAnsi="宋体" w:cs="宋体" w:eastAsia="宋体" w:hint="default"/>
                <w:sz w:val="21"/>
                <w:szCs w:val="21"/>
              </w:rPr>
            </w:pPr>
            <w:r>
              <w:rPr>
                <w:rFonts w:ascii="宋体" w:hAnsi="宋体" w:cs="宋体" w:eastAsia="宋体" w:hint="default"/>
                <w:sz w:val="21"/>
                <w:szCs w:val="21"/>
              </w:rPr>
              <w:t>交通银行－富国天益价值证券投资基金</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66" w:right="0"/>
              <w:jc w:val="left"/>
              <w:rPr>
                <w:rFonts w:ascii="Times New Roman" w:hAnsi="Times New Roman" w:cs="Times New Roman" w:eastAsia="Times New Roman" w:hint="default"/>
                <w:sz w:val="21"/>
                <w:szCs w:val="21"/>
              </w:rPr>
            </w:pPr>
            <w:r>
              <w:rPr>
                <w:rFonts w:ascii="Times New Roman"/>
                <w:sz w:val="21"/>
              </w:rPr>
              <w:t>67,104,815</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32"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40"/>
              <w:ind w:left="93" w:right="0"/>
              <w:jc w:val="left"/>
              <w:rPr>
                <w:rFonts w:ascii="宋体" w:hAnsi="宋体" w:cs="宋体" w:eastAsia="宋体" w:hint="default"/>
                <w:sz w:val="21"/>
                <w:szCs w:val="21"/>
              </w:rPr>
            </w:pPr>
            <w:r>
              <w:rPr>
                <w:rFonts w:ascii="宋体" w:hAnsi="宋体" w:cs="宋体" w:eastAsia="宋体" w:hint="default"/>
                <w:sz w:val="21"/>
                <w:szCs w:val="21"/>
              </w:rPr>
              <w:t>中国工商银行－广发聚丰股票型证券投资基金</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766" w:right="0"/>
              <w:jc w:val="left"/>
              <w:rPr>
                <w:rFonts w:ascii="Times New Roman" w:hAnsi="Times New Roman" w:cs="Times New Roman" w:eastAsia="Times New Roman" w:hint="default"/>
                <w:sz w:val="21"/>
                <w:szCs w:val="21"/>
              </w:rPr>
            </w:pPr>
            <w:r>
              <w:rPr>
                <w:rFonts w:ascii="Times New Roman"/>
                <w:sz w:val="21"/>
              </w:rPr>
              <w:t>60,000,000</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1"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66" w:right="0"/>
              <w:jc w:val="left"/>
              <w:rPr>
                <w:rFonts w:ascii="Times New Roman" w:hAnsi="Times New Roman" w:cs="Times New Roman" w:eastAsia="Times New Roman" w:hint="default"/>
                <w:sz w:val="21"/>
                <w:szCs w:val="21"/>
              </w:rPr>
            </w:pPr>
            <w:r>
              <w:rPr>
                <w:rFonts w:ascii="Times New Roman"/>
                <w:sz w:val="21"/>
              </w:rPr>
              <w:t>57,297,080</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21"/>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30"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left="93" w:right="278"/>
              <w:jc w:val="left"/>
              <w:rPr>
                <w:rFonts w:ascii="Times New Roman" w:hAnsi="Times New Roman" w:cs="Times New Roman" w:eastAsia="Times New Roman" w:hint="default"/>
                <w:sz w:val="21"/>
                <w:szCs w:val="21"/>
              </w:rPr>
            </w:pPr>
            <w:r>
              <w:rPr>
                <w:rFonts w:ascii="Times New Roman"/>
                <w:sz w:val="21"/>
              </w:rPr>
              <w:t>MORGAN</w:t>
            </w:r>
            <w:r>
              <w:rPr>
                <w:rFonts w:ascii="Times New Roman"/>
                <w:spacing w:val="4"/>
                <w:sz w:val="21"/>
              </w:rPr>
              <w:t> </w:t>
            </w:r>
            <w:r>
              <w:rPr>
                <w:rFonts w:ascii="Times New Roman"/>
                <w:spacing w:val="-4"/>
                <w:sz w:val="21"/>
              </w:rPr>
              <w:t>STANLEY</w:t>
            </w:r>
            <w:r>
              <w:rPr>
                <w:rFonts w:ascii="Times New Roman"/>
                <w:spacing w:val="-1"/>
                <w:sz w:val="21"/>
              </w:rPr>
              <w:t> </w:t>
            </w:r>
            <w:r>
              <w:rPr>
                <w:rFonts w:ascii="Times New Roman"/>
                <w:sz w:val="21"/>
              </w:rPr>
              <w:t>&amp;</w:t>
            </w:r>
            <w:r>
              <w:rPr>
                <w:rFonts w:ascii="Times New Roman"/>
                <w:spacing w:val="2"/>
                <w:sz w:val="21"/>
              </w:rPr>
              <w:t> </w:t>
            </w:r>
            <w:r>
              <w:rPr>
                <w:rFonts w:ascii="Times New Roman"/>
                <w:sz w:val="21"/>
              </w:rPr>
              <w:t>CO.</w:t>
            </w:r>
            <w:r>
              <w:rPr>
                <w:rFonts w:ascii="Times New Roman"/>
                <w:spacing w:val="6"/>
                <w:sz w:val="21"/>
              </w:rPr>
              <w:t> </w:t>
            </w:r>
            <w:r>
              <w:rPr>
                <w:rFonts w:ascii="Times New Roman"/>
                <w:spacing w:val="-4"/>
                <w:sz w:val="21"/>
              </w:rPr>
              <w:t>INTERNATIONAL</w:t>
            </w:r>
            <w:r>
              <w:rPr>
                <w:rFonts w:ascii="Times New Roman"/>
                <w:spacing w:val="-48"/>
                <w:sz w:val="21"/>
              </w:rPr>
              <w:t> </w:t>
            </w:r>
            <w:r>
              <w:rPr>
                <w:rFonts w:ascii="Times New Roman"/>
                <w:spacing w:val="-48"/>
                <w:sz w:val="21"/>
              </w:rPr>
            </w:r>
            <w:r>
              <w:rPr>
                <w:rFonts w:ascii="Times New Roman"/>
                <w:sz w:val="21"/>
              </w:rPr>
              <w:t>PLC</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766" w:right="0"/>
              <w:jc w:val="left"/>
              <w:rPr>
                <w:rFonts w:ascii="Times New Roman" w:hAnsi="Times New Roman" w:cs="Times New Roman" w:eastAsia="Times New Roman" w:hint="default"/>
                <w:sz w:val="21"/>
                <w:szCs w:val="21"/>
              </w:rPr>
            </w:pPr>
            <w:r>
              <w:rPr>
                <w:rFonts w:ascii="Times New Roman"/>
                <w:sz w:val="21"/>
              </w:rPr>
              <w:t>50,474,656</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9"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55"/>
              <w:ind w:left="93" w:right="0"/>
              <w:jc w:val="left"/>
              <w:rPr>
                <w:rFonts w:ascii="宋体" w:hAnsi="宋体" w:cs="宋体" w:eastAsia="宋体" w:hint="default"/>
                <w:sz w:val="21"/>
                <w:szCs w:val="21"/>
              </w:rPr>
            </w:pPr>
            <w:r>
              <w:rPr>
                <w:rFonts w:ascii="宋体" w:hAnsi="宋体" w:cs="宋体" w:eastAsia="宋体" w:hint="default"/>
                <w:sz w:val="21"/>
                <w:szCs w:val="21"/>
              </w:rPr>
              <w:t>中国建设银行－富国天博创新主题股票型证券</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66" w:right="0"/>
              <w:jc w:val="left"/>
              <w:rPr>
                <w:rFonts w:ascii="Times New Roman" w:hAnsi="Times New Roman" w:cs="Times New Roman" w:eastAsia="Times New Roman" w:hint="default"/>
                <w:sz w:val="21"/>
                <w:szCs w:val="21"/>
              </w:rPr>
            </w:pPr>
            <w:r>
              <w:rPr>
                <w:rFonts w:ascii="Times New Roman"/>
                <w:sz w:val="21"/>
              </w:rPr>
              <w:t>50,000,000</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75" w:hRule="exact"/>
        </w:trPr>
        <w:tc>
          <w:tcPr>
            <w:tcW w:w="4657"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中国工商银行－融通深证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指数证券投资基金</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66" w:right="0"/>
              <w:jc w:val="left"/>
              <w:rPr>
                <w:rFonts w:ascii="Times New Roman" w:hAnsi="Times New Roman" w:cs="Times New Roman" w:eastAsia="Times New Roman" w:hint="default"/>
                <w:sz w:val="21"/>
                <w:szCs w:val="21"/>
              </w:rPr>
            </w:pPr>
            <w:r>
              <w:rPr>
                <w:rFonts w:ascii="Times New Roman"/>
                <w:sz w:val="21"/>
              </w:rPr>
              <w:t>46,836,047</w:t>
            </w:r>
          </w:p>
        </w:tc>
        <w:tc>
          <w:tcPr>
            <w:tcW w:w="2960"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left="84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723" w:hRule="exact"/>
        </w:trPr>
        <w:tc>
          <w:tcPr>
            <w:tcW w:w="10442" w:type="dxa"/>
            <w:gridSpan w:val="7"/>
            <w:tcBorders>
              <w:top w:val="single" w:sz="4" w:space="0" w:color="000000"/>
              <w:left w:val="single" w:sz="12" w:space="0" w:color="000000"/>
              <w:bottom w:val="single" w:sz="12" w:space="0" w:color="000000"/>
              <w:right w:val="single" w:sz="12" w:space="0" w:color="000000"/>
            </w:tcBorders>
          </w:tcPr>
          <w:p>
            <w:pPr>
              <w:pStyle w:val="TableParagraph"/>
              <w:spacing w:line="274" w:lineRule="exact" w:before="134"/>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p>
            <w:pPr>
              <w:pStyle w:val="TableParagraph"/>
              <w:spacing w:line="274" w:lineRule="exact" w:before="25"/>
              <w:ind w:left="93" w:right="8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、张近东先生持有苏宁电器集团有限公司</w:t>
            </w:r>
            <w:r>
              <w:rPr>
                <w:rFonts w:ascii="Times New Roman" w:hAnsi="Times New Roman" w:cs="Times New Roman" w:eastAsia="Times New Roman" w:hint="default"/>
                <w:sz w:val="21"/>
                <w:szCs w:val="21"/>
              </w:rPr>
              <w:t>28%</w:t>
            </w:r>
            <w:r>
              <w:rPr>
                <w:rFonts w:ascii="宋体" w:hAnsi="宋体" w:cs="宋体" w:eastAsia="宋体" w:hint="default"/>
                <w:sz w:val="21"/>
                <w:szCs w:val="21"/>
              </w:rPr>
              <w:t>的股权，张近东先生与苏宁电器集团有限公司构成关联股东</w:t>
            </w:r>
            <w:r>
              <w:rPr>
                <w:rFonts w:ascii="宋体" w:hAnsi="宋体" w:cs="宋体" w:eastAsia="宋体" w:hint="default"/>
                <w:w w:val="100"/>
                <w:sz w:val="21"/>
                <w:szCs w:val="21"/>
              </w:rPr>
              <w:t> </w:t>
            </w:r>
            <w:r>
              <w:rPr>
                <w:rFonts w:ascii="宋体" w:hAnsi="宋体" w:cs="宋体" w:eastAsia="宋体" w:hint="default"/>
                <w:sz w:val="21"/>
                <w:szCs w:val="21"/>
              </w:rPr>
              <w:t>关系。</w:t>
            </w:r>
          </w:p>
          <w:p>
            <w:pPr>
              <w:pStyle w:val="TableParagraph"/>
              <w:spacing w:line="272" w:lineRule="exact" w:before="1"/>
              <w:ind w:left="93" w:right="8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、除前述关联关系外，未知公司前十名主要股东、前十名无限售条件股东之间是否存在其他关联关系，也</w:t>
            </w:r>
            <w:r>
              <w:rPr>
                <w:rFonts w:ascii="宋体" w:hAnsi="宋体" w:cs="宋体" w:eastAsia="宋体" w:hint="default"/>
                <w:w w:val="100"/>
                <w:sz w:val="21"/>
                <w:szCs w:val="21"/>
              </w:rPr>
              <w:t> </w:t>
            </w:r>
            <w:r>
              <w:rPr>
                <w:rFonts w:ascii="宋体" w:hAnsi="宋体" w:cs="宋体" w:eastAsia="宋体" w:hint="default"/>
                <w:sz w:val="21"/>
                <w:szCs w:val="21"/>
              </w:rPr>
              <w:t>未知是否存在《上市公司收购管理办法》中规定的一致行动人的情况。</w:t>
            </w:r>
          </w:p>
        </w:tc>
      </w:tr>
    </w:tbl>
    <w:p>
      <w:pPr>
        <w:spacing w:line="264" w:lineRule="auto" w:before="11"/>
        <w:ind w:left="820" w:right="14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：张近东先生认购的公司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年非公开发行股票自</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日起限售三年；同时</w:t>
      </w:r>
      <w:r>
        <w:rPr>
          <w:rFonts w:ascii="宋体" w:hAnsi="宋体" w:cs="宋体" w:eastAsia="宋体" w:hint="default"/>
          <w:w w:val="100"/>
          <w:sz w:val="21"/>
          <w:szCs w:val="21"/>
        </w:rPr>
        <w:t> </w:t>
      </w:r>
      <w:r>
        <w:rPr>
          <w:rFonts w:ascii="宋体" w:hAnsi="宋体" w:cs="宋体" w:eastAsia="宋体" w:hint="default"/>
          <w:sz w:val="21"/>
          <w:szCs w:val="21"/>
        </w:rPr>
        <w:t>作为公司现任董事，其所持有的公司股份需按照国家相关法律法规及规范性文件进行锁定；</w:t>
      </w:r>
    </w:p>
    <w:p>
      <w:pPr>
        <w:spacing w:line="266" w:lineRule="auto" w:before="23"/>
        <w:ind w:left="820" w:right="14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：金明先生为公司现任董事，其所持有的公司股份需按照国家相关法律法规及规范性文件</w:t>
      </w:r>
      <w:r>
        <w:rPr>
          <w:rFonts w:ascii="宋体" w:hAnsi="宋体" w:cs="宋体" w:eastAsia="宋体" w:hint="default"/>
          <w:w w:val="100"/>
          <w:sz w:val="21"/>
          <w:szCs w:val="21"/>
        </w:rPr>
        <w:t> </w:t>
      </w:r>
      <w:r>
        <w:rPr>
          <w:rFonts w:ascii="宋体" w:hAnsi="宋体" w:cs="宋体" w:eastAsia="宋体" w:hint="default"/>
          <w:sz w:val="21"/>
          <w:szCs w:val="21"/>
        </w:rPr>
        <w:t>进行锁定；</w:t>
      </w:r>
    </w:p>
    <w:p>
      <w:pPr>
        <w:spacing w:line="279" w:lineRule="exact" w:before="21"/>
        <w:ind w:left="1240" w:right="130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：股票质押主要为协助苏宁电器集团有限公司加快物业建设，以配合推进我司自建店开发。</w:t>
      </w:r>
    </w:p>
    <w:p>
      <w:pPr>
        <w:pStyle w:val="BodyText"/>
        <w:spacing w:line="321" w:lineRule="exact" w:before="0"/>
        <w:ind w:left="1300" w:right="1303"/>
        <w:jc w:val="left"/>
      </w:pPr>
      <w:r>
        <w:rPr>
          <w:rFonts w:ascii="Times New Roman" w:hAnsi="Times New Roman" w:cs="Times New Roman" w:eastAsia="Times New Roman" w:hint="default"/>
        </w:rPr>
        <w:t>2</w:t>
      </w:r>
      <w:r>
        <w:rPr/>
        <w:t>、公司控股股东及实际控制人情况</w:t>
      </w:r>
    </w:p>
    <w:p>
      <w:pPr>
        <w:pStyle w:val="BodyText"/>
        <w:spacing w:line="348" w:lineRule="auto"/>
        <w:ind w:left="820" w:right="1437" w:firstLine="480"/>
        <w:jc w:val="both"/>
      </w:pPr>
      <w:r>
        <w:rPr/>
        <w:t>（</w:t>
      </w:r>
      <w:r>
        <w:rPr>
          <w:rFonts w:ascii="Times New Roman" w:hAnsi="Times New Roman" w:cs="Times New Roman" w:eastAsia="Times New Roman" w:hint="default"/>
        </w:rPr>
        <w:t>1</w:t>
      </w:r>
      <w:r>
        <w:rPr/>
        <w:t>）公司控股股东或实际控制人：张近东先生，中国国籍，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11"/>
        </w:rPr>
        <w:t> </w:t>
      </w:r>
      <w:r>
        <w:rPr/>
        <w:t>年</w:t>
      </w:r>
      <w:r>
        <w:rPr>
          <w:spacing w:val="-7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月出生，本 </w:t>
      </w:r>
      <w:r>
        <w:rPr>
          <w:spacing w:val="-3"/>
        </w:rPr>
        <w:t>科学历，曾任江苏苏宁交家电有限公司董事长兼总经理，现任苏宁电器股份有限公司董</w:t>
      </w:r>
      <w:r>
        <w:rPr>
          <w:spacing w:val="-98"/>
        </w:rPr>
        <w:t> </w:t>
      </w:r>
      <w:r>
        <w:rPr>
          <w:spacing w:val="-98"/>
        </w:rPr>
      </w:r>
      <w:r>
        <w:rPr/>
        <w:t>事长。无其他国家或地区居住权。</w:t>
      </w:r>
    </w:p>
    <w:p>
      <w:pPr>
        <w:pStyle w:val="BodyText"/>
        <w:spacing w:line="240" w:lineRule="auto" w:before="46"/>
        <w:ind w:left="1300" w:right="1303"/>
        <w:jc w:val="left"/>
      </w:pPr>
      <w:r>
        <w:rPr/>
        <w:t>（</w:t>
      </w:r>
      <w:r>
        <w:rPr>
          <w:rFonts w:ascii="Times New Roman" w:hAnsi="Times New Roman" w:cs="Times New Roman" w:eastAsia="Times New Roman" w:hint="default"/>
        </w:rPr>
        <w:t>2</w:t>
      </w:r>
      <w:r>
        <w:rPr/>
        <w:t>）公司与实际控制人的产权和控制关系如下图：</w:t>
      </w:r>
    </w:p>
    <w:p>
      <w:pPr>
        <w:spacing w:after="0" w:line="240" w:lineRule="auto"/>
        <w:jc w:val="left"/>
        <w:sectPr>
          <w:pgSz w:w="11910" w:h="16840"/>
          <w:pgMar w:header="748" w:footer="907" w:top="980" w:bottom="1100" w:left="6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220" w:lineRule="exact"/>
        <w:ind w:left="5082" w:right="0" w:firstLine="0"/>
        <w:rPr>
          <w:rFonts w:ascii="宋体" w:hAnsi="宋体" w:cs="宋体" w:eastAsia="宋体" w:hint="default"/>
          <w:sz w:val="20"/>
          <w:szCs w:val="20"/>
        </w:rPr>
      </w:pPr>
      <w:r>
        <w:rPr>
          <w:rFonts w:ascii="宋体" w:hAnsi="宋体" w:cs="宋体" w:eastAsia="宋体" w:hint="default"/>
          <w:position w:val="-3"/>
          <w:sz w:val="20"/>
          <w:szCs w:val="20"/>
        </w:rPr>
        <w:pict>
          <v:group style="width:6.5pt;height:11.05pt;mso-position-horizontal-relative:char;mso-position-vertical-relative:line" coordorigin="0,0" coordsize="130,221">
            <v:group style="position:absolute;left:65;top:7;width:2;height:56" coordorigin="65,7" coordsize="2,56">
              <v:shape style="position:absolute;left:65;top:7;width:2;height:56" coordorigin="65,7" coordsize="0,56" path="m65,7l65,62e" filled="false" stroked="true" strokeweight=".718267pt" strokecolor="#000000">
                <v:path arrowok="t"/>
              </v:shape>
            </v:group>
            <v:group style="position:absolute;left:0;top:48;width:130;height:174" coordorigin="0,48" coordsize="130,174">
              <v:shape style="position:absolute;left:0;top:48;width:130;height:174" coordorigin="0,48" coordsize="130,174" path="m129,48l0,48,65,221,129,48xe" filled="true" fillcolor="#000000" stroked="false">
                <v:path arrowok="t"/>
                <v:fill type="solid"/>
              </v:shape>
            </v:group>
          </v:group>
        </w:pict>
      </w:r>
      <w:r>
        <w:rPr>
          <w:rFonts w:ascii="宋体" w:hAnsi="宋体" w:cs="宋体" w:eastAsia="宋体" w:hint="default"/>
          <w:position w:val="-3"/>
          <w:sz w:val="20"/>
          <w:szCs w:val="20"/>
        </w:rPr>
      </w:r>
    </w:p>
    <w:p>
      <w:pPr>
        <w:spacing w:line="240" w:lineRule="auto" w:before="11"/>
        <w:rPr>
          <w:rFonts w:ascii="宋体" w:hAnsi="宋体" w:cs="宋体" w:eastAsia="宋体" w:hint="default"/>
          <w:sz w:val="13"/>
          <w:szCs w:val="13"/>
        </w:rPr>
      </w:pPr>
    </w:p>
    <w:p>
      <w:pPr>
        <w:spacing w:before="38"/>
        <w:ind w:left="3600" w:right="1418" w:firstLine="0"/>
        <w:jc w:val="left"/>
        <w:rPr>
          <w:rFonts w:ascii="宋体" w:hAnsi="宋体" w:cs="宋体" w:eastAsia="宋体" w:hint="default"/>
          <w:sz w:val="21"/>
          <w:szCs w:val="21"/>
        </w:rPr>
      </w:pPr>
      <w:r>
        <w:rPr/>
        <w:pict>
          <v:group style="position:absolute;margin-left:203.695175pt;margin-top:-63.550575pt;width:203.95pt;height:79.45pt;mso-position-horizontal-relative:page;mso-position-vertical-relative:paragraph;z-index:-1360624" coordorigin="4074,-1271" coordsize="4079,1589">
            <v:group style="position:absolute;left:4080;top:-1265;width:1867;height:371" coordorigin="4080,-1265" coordsize="1867,371">
              <v:shape style="position:absolute;left:4080;top:-1265;width:1867;height:371" coordorigin="4080,-1265" coordsize="1867,371" path="m4080,-894l5947,-894,5947,-1265,4080,-1265,4080,-894xe" filled="false" stroked="true" strokeweight=".644210pt" strokecolor="#000000">
                <v:path arrowok="t"/>
              </v:shape>
            </v:group>
            <v:group style="position:absolute;left:5607;top:-864;width:2;height:214" coordorigin="5607,-864" coordsize="2,214">
              <v:shape style="position:absolute;left:5607;top:-864;width:2;height:214" coordorigin="5607,-864" coordsize="0,214" path="m5607,-864l5607,-650e" filled="false" stroked="true" strokeweight=".718267pt" strokecolor="#000000">
                <v:path arrowok="t"/>
              </v:shape>
            </v:group>
            <v:group style="position:absolute;left:4420;top:-864;width:2;height:955" coordorigin="4420,-864" coordsize="2,955">
              <v:shape style="position:absolute;left:4420;top:-864;width:2;height:955" coordorigin="4420,-864" coordsize="0,955" path="m4420,-864l4420,91e" filled="false" stroked="true" strokeweight=".718267pt" strokecolor="#000000">
                <v:path arrowok="t"/>
              </v:shape>
              <v:shape style="position:absolute;left:4080;top:-1265;width:1867;height:371" type="#_x0000_t202" filled="false" stroked="false">
                <v:textbox inset="0,0,0,0">
                  <w:txbxContent>
                    <w:p>
                      <w:pPr>
                        <w:spacing w:before="4"/>
                        <w:ind w:left="573" w:right="0" w:firstLine="0"/>
                        <w:jc w:val="left"/>
                        <w:rPr>
                          <w:rFonts w:ascii="宋体" w:hAnsi="宋体" w:cs="宋体" w:eastAsia="宋体" w:hint="default"/>
                          <w:sz w:val="21"/>
                          <w:szCs w:val="21"/>
                        </w:rPr>
                      </w:pPr>
                      <w:r>
                        <w:rPr>
                          <w:rFonts w:ascii="宋体" w:hAnsi="宋体" w:cs="宋体" w:eastAsia="宋体" w:hint="default"/>
                          <w:w w:val="115"/>
                          <w:sz w:val="21"/>
                          <w:szCs w:val="21"/>
                        </w:rPr>
                        <w:t>张近东</w:t>
                      </w:r>
                      <w:r>
                        <w:rPr>
                          <w:rFonts w:ascii="宋体" w:hAnsi="宋体" w:cs="宋体" w:eastAsia="宋体" w:hint="default"/>
                          <w:sz w:val="21"/>
                          <w:szCs w:val="21"/>
                        </w:rPr>
                      </w:r>
                    </w:p>
                  </w:txbxContent>
                </v:textbox>
                <w10:wrap type="none"/>
              </v:shape>
              <v:shape style="position:absolute;left:5428;top:-642;width:360;height:214" type="#_x0000_t202" filled="false" stroked="false">
                <v:textbox inset="0,0,0,0">
                  <w:txbxContent>
                    <w:p>
                      <w:pPr>
                        <w:spacing w:line="213" w:lineRule="exact" w:before="0"/>
                        <w:ind w:left="0" w:right="0" w:firstLine="0"/>
                        <w:jc w:val="left"/>
                        <w:rPr>
                          <w:rFonts w:ascii="宋体" w:hAnsi="宋体" w:cs="宋体" w:eastAsia="宋体" w:hint="default"/>
                          <w:sz w:val="21"/>
                          <w:szCs w:val="21"/>
                        </w:rPr>
                      </w:pPr>
                      <w:r>
                        <w:rPr>
                          <w:rFonts w:ascii="宋体"/>
                          <w:w w:val="110"/>
                          <w:sz w:val="21"/>
                        </w:rPr>
                        <w:t>28%</w:t>
                      </w:r>
                      <w:r>
                        <w:rPr>
                          <w:rFonts w:ascii="宋体"/>
                          <w:sz w:val="21"/>
                        </w:rPr>
                      </w:r>
                    </w:p>
                  </w:txbxContent>
                </v:textbox>
                <w10:wrap type="none"/>
              </v:shape>
              <v:shape style="position:absolute;left:5353;top:-137;width:2800;height:455" type="#_x0000_t202" filled="false" stroked="true" strokeweight=".643758pt" strokecolor="#000000">
                <v:textbox inset="0,0,0,0">
                  <w:txbxContent>
                    <w:p>
                      <w:pPr>
                        <w:spacing w:before="39"/>
                        <w:ind w:left="196" w:right="0" w:firstLine="0"/>
                        <w:jc w:val="left"/>
                        <w:rPr>
                          <w:rFonts w:ascii="宋体" w:hAnsi="宋体" w:cs="宋体" w:eastAsia="宋体" w:hint="default"/>
                          <w:sz w:val="21"/>
                          <w:szCs w:val="21"/>
                        </w:rPr>
                      </w:pPr>
                      <w:r>
                        <w:rPr>
                          <w:rFonts w:ascii="宋体" w:hAnsi="宋体" w:cs="宋体" w:eastAsia="宋体" w:hint="default"/>
                          <w:w w:val="115"/>
                          <w:sz w:val="21"/>
                          <w:szCs w:val="21"/>
                        </w:rPr>
                        <w:t>苏宁电器集团有限公司</w:t>
                      </w:r>
                      <w:r>
                        <w:rPr>
                          <w:rFonts w:ascii="宋体" w:hAnsi="宋体" w:cs="宋体" w:eastAsia="宋体" w:hint="default"/>
                          <w:sz w:val="21"/>
                          <w:szCs w:val="21"/>
                        </w:rPr>
                      </w:r>
                    </w:p>
                  </w:txbxContent>
                </v:textbox>
                <w10:wrap type="none"/>
              </v:shape>
            </v:group>
            <w10:wrap type="none"/>
          </v:group>
        </w:pict>
      </w:r>
      <w:r>
        <w:rPr>
          <w:rFonts w:ascii="宋体"/>
          <w:w w:val="115"/>
          <w:sz w:val="21"/>
        </w:rPr>
        <w:t>27.90%</w:t>
      </w:r>
      <w:r>
        <w:rPr>
          <w:rFonts w:ascii="宋体"/>
          <w:sz w:val="21"/>
        </w:rPr>
      </w:r>
    </w:p>
    <w:p>
      <w:pPr>
        <w:spacing w:line="240" w:lineRule="auto" w:before="6"/>
        <w:rPr>
          <w:rFonts w:ascii="宋体" w:hAnsi="宋体" w:cs="宋体" w:eastAsia="宋体" w:hint="default"/>
          <w:sz w:val="5"/>
          <w:szCs w:val="5"/>
        </w:rPr>
      </w:pPr>
    </w:p>
    <w:p>
      <w:pPr>
        <w:spacing w:line="336" w:lineRule="exact"/>
        <w:ind w:left="522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5pt;height:16.850pt;mso-position-horizontal-relative:char;mso-position-vertical-relative:line" coordorigin="0,0" coordsize="15,337">
            <v:group style="position:absolute;left:7;top:7;width:2;height:322" coordorigin="7,7" coordsize="2,322">
              <v:shape style="position:absolute;left:7;top:7;width:2;height:322" coordorigin="7,7" coordsize="0,322" path="m7,7l7,329e" filled="false" stroked="true" strokeweight=".718267pt" strokecolor="#000000">
                <v:path arrowok="t"/>
              </v:shape>
            </v:group>
          </v:group>
        </w:pict>
      </w:r>
      <w:r>
        <w:rPr>
          <w:rFonts w:ascii="宋体" w:hAnsi="宋体" w:cs="宋体" w:eastAsia="宋体" w:hint="default"/>
          <w:position w:val="-6"/>
          <w:sz w:val="20"/>
          <w:szCs w:val="20"/>
        </w:rPr>
      </w:r>
    </w:p>
    <w:p>
      <w:pPr>
        <w:spacing w:line="215" w:lineRule="exact" w:before="0"/>
        <w:ind w:left="4855" w:right="5829" w:firstLine="0"/>
        <w:jc w:val="center"/>
        <w:rPr>
          <w:rFonts w:ascii="宋体" w:hAnsi="宋体" w:cs="宋体" w:eastAsia="宋体" w:hint="default"/>
          <w:sz w:val="21"/>
          <w:szCs w:val="21"/>
        </w:rPr>
      </w:pPr>
      <w:r>
        <w:rPr/>
        <w:pict>
          <v:group style="position:absolute;margin-left:217.752502pt;margin-top:-18.989307pt;width:6.5pt;height:48.15pt;mso-position-horizontal-relative:page;mso-position-vertical-relative:paragraph;z-index:-1360600" coordorigin="4355,-380" coordsize="130,963">
            <v:group style="position:absolute;left:4420;top:-373;width:2;height:797" coordorigin="4420,-373" coordsize="2,797">
              <v:shape style="position:absolute;left:4420;top:-373;width:2;height:797" coordorigin="4420,-373" coordsize="0,797" path="m4420,-373l4420,424e" filled="false" stroked="true" strokeweight=".718267pt" strokecolor="#000000">
                <v:path arrowok="t"/>
              </v:shape>
            </v:group>
            <v:group style="position:absolute;left:4355;top:409;width:130;height:174" coordorigin="4355,409" coordsize="130,174">
              <v:shape style="position:absolute;left:4355;top:409;width:130;height:174" coordorigin="4355,409" coordsize="130,174" path="m4484,409l4355,409,4420,582,4484,409xe" filled="true" fillcolor="#000000" stroked="false">
                <v:path arrowok="t"/>
                <v:fill type="solid"/>
              </v:shape>
            </v:group>
            <w10:wrap type="none"/>
          </v:group>
        </w:pict>
      </w:r>
      <w:r>
        <w:rPr>
          <w:rFonts w:ascii="宋体"/>
          <w:w w:val="115"/>
          <w:sz w:val="21"/>
        </w:rPr>
        <w:t>13.47%</w:t>
      </w:r>
      <w:r>
        <w:rPr>
          <w:rFonts w:ascii="宋体"/>
          <w:sz w:val="21"/>
        </w:rPr>
      </w:r>
    </w:p>
    <w:p>
      <w:pPr>
        <w:spacing w:line="240" w:lineRule="auto" w:before="1"/>
        <w:rPr>
          <w:rFonts w:ascii="宋体" w:hAnsi="宋体" w:cs="宋体" w:eastAsia="宋体" w:hint="default"/>
          <w:sz w:val="2"/>
          <w:szCs w:val="2"/>
        </w:rPr>
      </w:pPr>
    </w:p>
    <w:p>
      <w:pPr>
        <w:spacing w:line="329" w:lineRule="exact"/>
        <w:ind w:left="517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6.5pt;height:16.5pt;mso-position-horizontal-relative:char;mso-position-vertical-relative:line" coordorigin="0,0" coordsize="130,330">
            <v:group style="position:absolute;left:65;top:7;width:2;height:164" coordorigin="65,7" coordsize="2,164">
              <v:shape style="position:absolute;left:65;top:7;width:2;height:164" coordorigin="65,7" coordsize="0,164" path="m65,7l65,170e" filled="false" stroked="true" strokeweight=".718267pt" strokecolor="#000000">
                <v:path arrowok="t"/>
              </v:shape>
            </v:group>
            <v:group style="position:absolute;left:0;top:156;width:130;height:174" coordorigin="0,156" coordsize="130,174">
              <v:shape style="position:absolute;left:0;top:156;width:130;height:174" coordorigin="0,156" coordsize="130,174" path="m129,156l0,156,65,329,129,156xe" filled="true" fillcolor="#000000" stroked="false">
                <v:path arrowok="t"/>
                <v:fill type="solid"/>
              </v:shape>
            </v:group>
          </v:group>
        </w:pict>
      </w:r>
      <w:r>
        <w:rPr>
          <w:rFonts w:ascii="宋体" w:hAnsi="宋体" w:cs="宋体" w:eastAsia="宋体" w:hint="default"/>
          <w:position w:val="-6"/>
          <w:sz w:val="20"/>
          <w:szCs w:val="20"/>
        </w:rPr>
      </w:r>
    </w:p>
    <w:p>
      <w:pPr>
        <w:spacing w:line="454" w:lineRule="exact"/>
        <w:ind w:left="3281"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8.15pt;height:22.75pt;mso-position-horizontal-relative:char;mso-position-vertical-relative:line" type="#_x0000_t202" filled="false" stroked="true" strokeweight=".642834pt" strokecolor="#000000">
            <w10:anchorlock/>
            <v:textbox inset="0,0,0,0">
              <w:txbxContent>
                <w:p>
                  <w:pPr>
                    <w:spacing w:before="39"/>
                    <w:ind w:left="578" w:right="0" w:firstLine="0"/>
                    <w:jc w:val="left"/>
                    <w:rPr>
                      <w:rFonts w:ascii="宋体" w:hAnsi="宋体" w:cs="宋体" w:eastAsia="宋体" w:hint="default"/>
                      <w:sz w:val="21"/>
                      <w:szCs w:val="21"/>
                    </w:rPr>
                  </w:pPr>
                  <w:r>
                    <w:rPr>
                      <w:rFonts w:ascii="宋体" w:hAnsi="宋体" w:cs="宋体" w:eastAsia="宋体" w:hint="default"/>
                      <w:w w:val="115"/>
                      <w:sz w:val="21"/>
                      <w:szCs w:val="21"/>
                    </w:rPr>
                    <w:t>苏宁电器股份有限公司</w:t>
                  </w:r>
                  <w:r>
                    <w:rPr>
                      <w:rFonts w:ascii="宋体" w:hAnsi="宋体" w:cs="宋体" w:eastAsia="宋体" w:hint="default"/>
                      <w:sz w:val="21"/>
                      <w:szCs w:val="21"/>
                    </w:rPr>
                  </w:r>
                </w:p>
              </w:txbxContent>
            </v:textbox>
          </v:shape>
        </w:pict>
      </w:r>
      <w:r>
        <w:rPr>
          <w:rFonts w:ascii="宋体" w:hAnsi="宋体" w:cs="宋体" w:eastAsia="宋体" w:hint="default"/>
          <w:position w:val="-8"/>
          <w:sz w:val="20"/>
          <w:szCs w:val="20"/>
        </w:rPr>
      </w:r>
    </w:p>
    <w:p>
      <w:pPr>
        <w:spacing w:line="240" w:lineRule="auto" w:before="5"/>
        <w:rPr>
          <w:rFonts w:ascii="宋体" w:hAnsi="宋体" w:cs="宋体" w:eastAsia="宋体" w:hint="default"/>
          <w:sz w:val="10"/>
          <w:szCs w:val="10"/>
        </w:rPr>
      </w:pPr>
    </w:p>
    <w:p>
      <w:pPr>
        <w:pStyle w:val="BodyText"/>
        <w:spacing w:line="338" w:lineRule="auto" w:before="26"/>
        <w:ind w:left="1460" w:right="1418"/>
        <w:jc w:val="left"/>
      </w:pPr>
      <w:r>
        <w:rPr/>
        <w:t>（</w:t>
      </w:r>
      <w:r>
        <w:rPr>
          <w:rFonts w:ascii="Times New Roman" w:hAnsi="Times New Roman" w:cs="Times New Roman" w:eastAsia="Times New Roman" w:hint="default"/>
        </w:rPr>
        <w:t>3</w:t>
      </w:r>
      <w:r>
        <w:rPr/>
        <w:t>）其他持股在</w:t>
      </w:r>
      <w:r>
        <w:rPr>
          <w:spacing w:val="-61"/>
        </w:rPr>
        <w:t> </w:t>
      </w:r>
      <w:r>
        <w:rPr>
          <w:rFonts w:ascii="Times New Roman" w:hAnsi="Times New Roman" w:cs="Times New Roman" w:eastAsia="Times New Roman" w:hint="default"/>
        </w:rPr>
        <w:t>10%</w:t>
      </w:r>
      <w:r>
        <w:rPr/>
        <w:t>以上的法人股东： 苏宁电器集团有限公司，法定代表人马晓咏，注册资本 </w:t>
      </w:r>
      <w:r>
        <w:rPr>
          <w:rFonts w:ascii="Times New Roman" w:hAnsi="Times New Roman" w:cs="Times New Roman" w:eastAsia="Times New Roman" w:hint="default"/>
        </w:rPr>
        <w:t>200,000,000</w:t>
      </w:r>
      <w:r>
        <w:rPr>
          <w:rFonts w:ascii="Times New Roman" w:hAnsi="Times New Roman" w:cs="Times New Roman" w:eastAsia="Times New Roman" w:hint="default"/>
          <w:spacing w:val="-30"/>
        </w:rPr>
        <w:t> </w:t>
      </w:r>
      <w:r>
        <w:rPr/>
        <w:t>元，成立日期</w:t>
      </w:r>
    </w:p>
    <w:p>
      <w:pPr>
        <w:pStyle w:val="BodyText"/>
        <w:spacing w:line="355" w:lineRule="auto" w:before="27"/>
        <w:ind w:left="980" w:right="1304"/>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5"/>
        </w:rPr>
        <w:t> </w:t>
      </w:r>
      <w:r>
        <w:rPr/>
        <w:t>年</w:t>
      </w:r>
      <w:r>
        <w:rPr>
          <w:spacing w:val="-66"/>
        </w:rPr>
        <w:t> </w:t>
      </w:r>
      <w:r>
        <w:rPr>
          <w:rFonts w:ascii="Times New Roman" w:hAnsi="Times New Roman" w:cs="Times New Roman" w:eastAsia="Times New Roman" w:hint="default"/>
          <w:spacing w:val="-5"/>
        </w:rPr>
        <w:t>11 </w:t>
      </w:r>
      <w:r>
        <w:rPr/>
        <w:t>月</w:t>
      </w:r>
      <w:r>
        <w:rPr>
          <w:spacing w:val="-6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日，经营范围：许可经营项目：中、西餐制售，音像制品零售，茶座， </w:t>
      </w:r>
      <w:r>
        <w:rPr>
          <w:spacing w:val="-3"/>
        </w:rPr>
        <w:t>卷烟、烟丝、雪茄烟零售，国内版图书、期刊零售，零售各类定型包装食品、饮料、酒</w:t>
      </w:r>
      <w:r>
        <w:rPr>
          <w:spacing w:val="-96"/>
        </w:rPr>
        <w:t> </w:t>
      </w:r>
      <w:r>
        <w:rPr>
          <w:spacing w:val="-96"/>
        </w:rPr>
      </w:r>
      <w:r>
        <w:rPr>
          <w:spacing w:val="-3"/>
        </w:rPr>
        <w:t>类，住宿，酒吧，洗浴，游泳，电讯服务。（限指定的分支机构经营）一般经营项目：</w:t>
      </w:r>
      <w:r>
        <w:rPr>
          <w:spacing w:val="-106"/>
        </w:rPr>
        <w:t> </w:t>
      </w:r>
      <w:r>
        <w:rPr>
          <w:spacing w:val="-106"/>
        </w:rPr>
      </w:r>
      <w:r>
        <w:rPr>
          <w:spacing w:val="-3"/>
        </w:rPr>
        <w:t>家用电器及配件的制造、销售及售后服务，汽车专用照明电器、电子元件、电工器材和</w:t>
      </w:r>
      <w:r>
        <w:rPr>
          <w:spacing w:val="-97"/>
        </w:rPr>
        <w:t> </w:t>
      </w:r>
      <w:r>
        <w:rPr>
          <w:spacing w:val="-97"/>
        </w:rPr>
      </w:r>
      <w:r>
        <w:rPr>
          <w:spacing w:val="-3"/>
        </w:rPr>
        <w:t>电气信号设备加工制造，房屋租赁、维修，物业管理，室内装饰，园林绿化，经济信息</w:t>
      </w:r>
      <w:r>
        <w:rPr>
          <w:spacing w:val="-102"/>
        </w:rPr>
        <w:t> </w:t>
      </w:r>
      <w:r>
        <w:rPr>
          <w:spacing w:val="-102"/>
        </w:rPr>
      </w:r>
      <w:r>
        <w:rPr>
          <w:spacing w:val="-3"/>
        </w:rPr>
        <w:t>咨询，实业投资，酒店管理，汽车出租，健身服务，票务服务，停车场服务，百货、黄</w:t>
      </w:r>
      <w:r>
        <w:rPr>
          <w:spacing w:val="-98"/>
        </w:rPr>
        <w:t> </w:t>
      </w:r>
      <w:r>
        <w:rPr>
          <w:spacing w:val="-98"/>
        </w:rPr>
      </w:r>
      <w:r>
        <w:rPr>
          <w:spacing w:val="-3"/>
        </w:rPr>
        <w:t>金、珠宝玉器、工艺美术品、鲜花、国产及进口化妆品、电梯、机电产品、建筑工程设</w:t>
      </w:r>
      <w:r>
        <w:rPr>
          <w:spacing w:val="-99"/>
        </w:rPr>
        <w:t> </w:t>
      </w:r>
      <w:r>
        <w:rPr>
          <w:spacing w:val="-99"/>
        </w:rPr>
      </w:r>
      <w:r>
        <w:rPr/>
        <w:t>备、计算机设备、办公设备的销售，洗衣服务，柜台、场地租赁，国内商品展示服务，</w:t>
      </w:r>
      <w:r>
        <w:rPr/>
        <w:t> </w:t>
      </w:r>
      <w:r>
        <w:rPr>
          <w:spacing w:val="-6"/>
        </w:rPr>
        <w:t>企业形象策划，人才培训，自营和代理各类商品及技术的进出口业务，计算机软件开发、</w:t>
      </w:r>
      <w:r>
        <w:rPr>
          <w:spacing w:val="-95"/>
        </w:rPr>
        <w:t> </w:t>
      </w:r>
      <w:r>
        <w:rPr>
          <w:spacing w:val="-95"/>
        </w:rPr>
      </w:r>
      <w:r>
        <w:rPr/>
        <w:t>销售、系统集成。</w:t>
      </w:r>
    </w:p>
    <w:p>
      <w:pPr>
        <w:pStyle w:val="BodyText"/>
        <w:spacing w:line="240" w:lineRule="auto" w:before="38"/>
        <w:ind w:left="1460" w:right="1418"/>
        <w:jc w:val="left"/>
      </w:pPr>
      <w:r>
        <w:rPr>
          <w:rFonts w:ascii="Times New Roman" w:hAnsi="Times New Roman" w:cs="Times New Roman" w:eastAsia="Times New Roman" w:hint="default"/>
        </w:rPr>
        <w:t>3</w:t>
      </w:r>
      <w:r>
        <w:rPr/>
        <w:t>、有限售条件股份情况</w:t>
      </w:r>
    </w:p>
    <w:p>
      <w:pPr>
        <w:pStyle w:val="BodyText"/>
        <w:tabs>
          <w:tab w:pos="8421" w:val="left" w:leader="none"/>
        </w:tabs>
        <w:spacing w:line="240" w:lineRule="auto" w:before="136"/>
        <w:ind w:left="1460" w:right="1418"/>
        <w:jc w:val="left"/>
        <w:rPr>
          <w:sz w:val="21"/>
          <w:szCs w:val="21"/>
        </w:rPr>
      </w:pPr>
      <w:r>
        <w:rPr/>
        <w:t>（</w:t>
      </w:r>
      <w:r>
        <w:rPr>
          <w:rFonts w:ascii="Times New Roman" w:hAnsi="Times New Roman" w:cs="Times New Roman" w:eastAsia="Times New Roman" w:hint="default"/>
        </w:rPr>
        <w:t>1</w:t>
      </w:r>
      <w:r>
        <w:rPr/>
        <w:t>）</w:t>
      </w:r>
      <w:r>
        <w:rPr>
          <w:spacing w:val="-1"/>
        </w:rPr>
        <w:t> </w:t>
      </w:r>
      <w:r>
        <w:rPr/>
        <w:t>前十名股东中有限售条件股东持股数量及限售条件</w:t>
        <w:tab/>
      </w:r>
      <w:r>
        <w:rPr>
          <w:sz w:val="21"/>
          <w:szCs w:val="21"/>
        </w:rPr>
        <w:t>（单位：股）</w:t>
      </w:r>
    </w:p>
    <w:p>
      <w:pPr>
        <w:spacing w:line="240" w:lineRule="auto" w:before="6"/>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622"/>
        <w:gridCol w:w="958"/>
        <w:gridCol w:w="1441"/>
        <w:gridCol w:w="2160"/>
        <w:gridCol w:w="1260"/>
        <w:gridCol w:w="4309"/>
      </w:tblGrid>
      <w:tr>
        <w:trPr>
          <w:trHeight w:val="840" w:hRule="exact"/>
        </w:trPr>
        <w:tc>
          <w:tcPr>
            <w:tcW w:w="62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2"/>
              <w:ind w:left="191" w:right="19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有限售</w:t>
            </w:r>
          </w:p>
          <w:p>
            <w:pPr>
              <w:pStyle w:val="TableParagraph"/>
              <w:spacing w:line="240" w:lineRule="auto"/>
              <w:ind w:left="155" w:right="156"/>
              <w:jc w:val="left"/>
              <w:rPr>
                <w:rFonts w:ascii="宋体" w:hAnsi="宋体" w:cs="宋体" w:eastAsia="宋体" w:hint="default"/>
                <w:sz w:val="21"/>
                <w:szCs w:val="21"/>
              </w:rPr>
            </w:pPr>
            <w:r>
              <w:rPr>
                <w:rFonts w:ascii="宋体" w:hAnsi="宋体" w:cs="宋体" w:eastAsia="宋体" w:hint="default"/>
                <w:sz w:val="21"/>
                <w:szCs w:val="21"/>
              </w:rPr>
              <w:t>条件股</w:t>
            </w:r>
            <w:r>
              <w:rPr>
                <w:rFonts w:ascii="宋体" w:hAnsi="宋体" w:cs="宋体" w:eastAsia="宋体" w:hint="default"/>
                <w:spacing w:val="-102"/>
                <w:sz w:val="21"/>
                <w:szCs w:val="21"/>
              </w:rPr>
              <w:t> </w:t>
            </w:r>
            <w:r>
              <w:rPr>
                <w:rFonts w:ascii="宋体" w:hAnsi="宋体" w:cs="宋体" w:eastAsia="宋体" w:hint="default"/>
                <w:sz w:val="21"/>
                <w:szCs w:val="21"/>
              </w:rPr>
              <w:t>东名称</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40" w:lineRule="auto"/>
              <w:ind w:left="503" w:right="185" w:hanging="315"/>
              <w:jc w:val="left"/>
              <w:rPr>
                <w:rFonts w:ascii="宋体" w:hAnsi="宋体" w:cs="宋体" w:eastAsia="宋体" w:hint="default"/>
                <w:sz w:val="21"/>
                <w:szCs w:val="21"/>
              </w:rPr>
            </w:pPr>
            <w:r>
              <w:rPr>
                <w:rFonts w:ascii="宋体" w:hAnsi="宋体" w:cs="宋体" w:eastAsia="宋体" w:hint="default"/>
                <w:sz w:val="21"/>
                <w:szCs w:val="21"/>
              </w:rPr>
              <w:t>售条件股份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数量</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310" w:right="201" w:hanging="106"/>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430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468" w:hRule="exact"/>
        </w:trPr>
        <w:tc>
          <w:tcPr>
            <w:tcW w:w="62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w w:val="100"/>
                <w:sz w:val="21"/>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1,463,858,573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26,162,790</w:t>
            </w:r>
          </w:p>
        </w:tc>
        <w:tc>
          <w:tcPr>
            <w:tcW w:w="4309"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2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pacing w:val="21"/>
                <w:sz w:val="21"/>
                <w:szCs w:val="21"/>
              </w:rPr>
              <w:t>、认购公司</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票</w:t>
            </w:r>
          </w:p>
          <w:p>
            <w:pPr>
              <w:pStyle w:val="TableParagraph"/>
              <w:spacing w:line="230" w:lineRule="auto" w:before="1"/>
              <w:ind w:left="103" w:right="91"/>
              <w:jc w:val="both"/>
              <w:rPr>
                <w:rFonts w:ascii="宋体" w:hAnsi="宋体" w:cs="宋体" w:eastAsia="宋体" w:hint="default"/>
                <w:sz w:val="21"/>
                <w:szCs w:val="21"/>
              </w:rPr>
            </w:pPr>
            <w:r>
              <w:rPr>
                <w:rFonts w:ascii="Times New Roman" w:hAnsi="Times New Roman" w:cs="Times New Roman" w:eastAsia="Times New Roman" w:hint="default"/>
                <w:sz w:val="21"/>
                <w:szCs w:val="21"/>
              </w:rPr>
              <w:t>17,441,860 </w:t>
            </w:r>
            <w:r>
              <w:rPr>
                <w:rFonts w:ascii="宋体" w:hAnsi="宋体" w:cs="宋体" w:eastAsia="宋体" w:hint="default"/>
                <w:sz w:val="21"/>
                <w:szCs w:val="21"/>
              </w:rPr>
              <w:t>股，经公司实施完成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年度利</w:t>
            </w:r>
            <w:r>
              <w:rPr>
                <w:rFonts w:ascii="宋体" w:hAnsi="宋体" w:cs="宋体" w:eastAsia="宋体" w:hint="default"/>
                <w:w w:val="100"/>
                <w:sz w:val="21"/>
                <w:szCs w:val="21"/>
              </w:rPr>
              <w:t> </w:t>
            </w:r>
            <w:r>
              <w:rPr>
                <w:rFonts w:ascii="宋体" w:hAnsi="宋体" w:cs="宋体" w:eastAsia="宋体" w:hint="default"/>
                <w:spacing w:val="41"/>
                <w:sz w:val="21"/>
                <w:szCs w:val="21"/>
              </w:rPr>
              <w:t>润分配方案后，股</w:t>
            </w:r>
            <w:r>
              <w:rPr>
                <w:rFonts w:ascii="宋体" w:hAnsi="宋体" w:cs="宋体" w:eastAsia="宋体" w:hint="default"/>
                <w:spacing w:val="-51"/>
                <w:sz w:val="21"/>
                <w:szCs w:val="21"/>
              </w:rPr>
              <w:t> </w:t>
            </w:r>
            <w:r>
              <w:rPr>
                <w:rFonts w:ascii="宋体" w:hAnsi="宋体" w:cs="宋体" w:eastAsia="宋体" w:hint="default"/>
                <w:sz w:val="21"/>
                <w:szCs w:val="21"/>
              </w:rPr>
              <w:t>份</w:t>
            </w:r>
            <w:r>
              <w:rPr>
                <w:rFonts w:ascii="宋体" w:hAnsi="宋体" w:cs="宋体" w:eastAsia="宋体" w:hint="default"/>
                <w:spacing w:val="-51"/>
                <w:sz w:val="21"/>
                <w:szCs w:val="21"/>
              </w:rPr>
              <w:t> </w:t>
            </w:r>
            <w:r>
              <w:rPr>
                <w:rFonts w:ascii="宋体" w:hAnsi="宋体" w:cs="宋体" w:eastAsia="宋体" w:hint="default"/>
                <w:spacing w:val="39"/>
                <w:sz w:val="21"/>
                <w:szCs w:val="21"/>
              </w:rPr>
              <w:t>数量相应调整</w:t>
            </w:r>
            <w:r>
              <w:rPr>
                <w:rFonts w:ascii="宋体" w:hAnsi="宋体" w:cs="宋体" w:eastAsia="宋体" w:hint="default"/>
                <w:spacing w:val="-51"/>
                <w:sz w:val="21"/>
                <w:szCs w:val="21"/>
              </w:rPr>
              <w:t> </w:t>
            </w:r>
            <w:r>
              <w:rPr>
                <w:rFonts w:ascii="宋体" w:hAnsi="宋体" w:cs="宋体" w:eastAsia="宋体" w:hint="default"/>
                <w:sz w:val="21"/>
                <w:szCs w:val="21"/>
              </w:rPr>
              <w:t>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26,162,790 </w:t>
            </w:r>
            <w:r>
              <w:rPr>
                <w:rFonts w:ascii="宋体" w:hAnsi="宋体" w:cs="宋体" w:eastAsia="宋体" w:hint="default"/>
                <w:sz w:val="21"/>
                <w:szCs w:val="21"/>
              </w:rPr>
              <w:t>股，该部分股票自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月</w:t>
            </w:r>
          </w:p>
          <w:p>
            <w:pPr>
              <w:pStyle w:val="TableParagraph"/>
              <w:spacing w:line="26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日起至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日止限售</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w:t>
            </w:r>
          </w:p>
          <w:p>
            <w:pPr>
              <w:pStyle w:val="TableParagraph"/>
              <w:spacing w:line="230" w:lineRule="auto" w:before="1"/>
              <w:ind w:left="103" w:right="87" w:firstLine="211"/>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、作为公司董事长，其所持有的股份还需</w:t>
            </w:r>
            <w:r>
              <w:rPr>
                <w:rFonts w:ascii="宋体" w:hAnsi="宋体" w:cs="宋体" w:eastAsia="宋体" w:hint="default"/>
                <w:w w:val="100"/>
                <w:sz w:val="21"/>
                <w:szCs w:val="21"/>
              </w:rPr>
              <w:t> </w:t>
            </w:r>
            <w:r>
              <w:rPr>
                <w:rFonts w:ascii="宋体" w:hAnsi="宋体" w:cs="宋体" w:eastAsia="宋体" w:hint="default"/>
                <w:spacing w:val="2"/>
                <w:sz w:val="21"/>
                <w:szCs w:val="21"/>
              </w:rPr>
              <w:t>按照国家相关法律法规及规范性文件的要求</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以“高管股份”形式锁定，故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75"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日实际新增可上市交易股份数为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826" w:hRule="exact"/>
        </w:trPr>
        <w:tc>
          <w:tcPr>
            <w:tcW w:w="62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w w:val="100"/>
                <w:sz w:val="21"/>
              </w:rPr>
              <w:t>2</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tabs>
                <w:tab w:pos="525"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91,548,005</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91,548,005</w:t>
            </w:r>
          </w:p>
        </w:tc>
        <w:tc>
          <w:tcPr>
            <w:tcW w:w="430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5"/>
              <w:ind w:left="103" w:right="93" w:firstLine="180"/>
              <w:jc w:val="left"/>
              <w:rPr>
                <w:rFonts w:ascii="宋体" w:hAnsi="宋体" w:cs="宋体" w:eastAsia="宋体" w:hint="default"/>
                <w:sz w:val="21"/>
                <w:szCs w:val="21"/>
              </w:rPr>
            </w:pPr>
            <w:r>
              <w:rPr>
                <w:rFonts w:ascii="宋体" w:hAnsi="宋体" w:cs="宋体" w:eastAsia="宋体" w:hint="default"/>
                <w:spacing w:val="4"/>
                <w:sz w:val="21"/>
                <w:szCs w:val="21"/>
              </w:rPr>
              <w:t>按照国家相关法律法规及规范性的文件要</w:t>
            </w:r>
            <w:r>
              <w:rPr>
                <w:rFonts w:ascii="宋体" w:hAnsi="宋体" w:cs="宋体" w:eastAsia="宋体" w:hint="default"/>
                <w:w w:val="100"/>
                <w:sz w:val="21"/>
                <w:szCs w:val="21"/>
              </w:rPr>
              <w:t> </w:t>
            </w:r>
            <w:r>
              <w:rPr>
                <w:rFonts w:ascii="宋体" w:hAnsi="宋体" w:cs="宋体" w:eastAsia="宋体" w:hint="default"/>
                <w:sz w:val="21"/>
                <w:szCs w:val="21"/>
              </w:rPr>
              <w:t>求，以“高管股份”形式锁定。</w:t>
            </w:r>
          </w:p>
        </w:tc>
      </w:tr>
    </w:tbl>
    <w:p>
      <w:pPr>
        <w:spacing w:after="0" w:line="240" w:lineRule="auto"/>
        <w:jc w:val="left"/>
        <w:rPr>
          <w:rFonts w:ascii="宋体" w:hAnsi="宋体" w:cs="宋体" w:eastAsia="宋体" w:hint="default"/>
          <w:sz w:val="21"/>
          <w:szCs w:val="21"/>
        </w:rPr>
        <w:sectPr>
          <w:pgSz w:w="11910" w:h="16840"/>
          <w:pgMar w:header="748" w:footer="907" w:top="980" w:bottom="1100" w:left="460" w:right="0"/>
        </w:sectPr>
      </w:pPr>
    </w:p>
    <w:p>
      <w:pPr>
        <w:spacing w:line="240" w:lineRule="auto" w:before="6"/>
        <w:rPr>
          <w:rFonts w:ascii="宋体" w:hAnsi="宋体" w:cs="宋体" w:eastAsia="宋体" w:hint="default"/>
          <w:sz w:val="29"/>
          <w:szCs w:val="29"/>
        </w:rPr>
      </w:pPr>
    </w:p>
    <w:p>
      <w:pPr>
        <w:pStyle w:val="BodyText"/>
        <w:tabs>
          <w:tab w:pos="7952" w:val="left" w:leader="none"/>
        </w:tabs>
        <w:spacing w:line="240" w:lineRule="auto" w:before="26"/>
        <w:ind w:left="1000" w:right="0"/>
        <w:jc w:val="left"/>
        <w:rPr>
          <w:sz w:val="21"/>
          <w:szCs w:val="21"/>
        </w:rPr>
      </w:pPr>
      <w:r>
        <w:rPr/>
        <w:t>（</w:t>
      </w:r>
      <w:r>
        <w:rPr>
          <w:rFonts w:ascii="Times New Roman" w:hAnsi="Times New Roman" w:cs="Times New Roman" w:eastAsia="Times New Roman" w:hint="default"/>
        </w:rPr>
        <w:t>2</w:t>
      </w: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日有限售条件股份可上市交易时间</w:t>
        <w:tab/>
      </w:r>
      <w:r>
        <w:rPr>
          <w:sz w:val="21"/>
          <w:szCs w:val="21"/>
        </w:rPr>
        <w:t>（单位：股）</w:t>
      </w:r>
    </w:p>
    <w:p>
      <w:pPr>
        <w:spacing w:line="240" w:lineRule="auto" w:before="6"/>
        <w:rPr>
          <w:rFonts w:ascii="宋体" w:hAnsi="宋体" w:cs="宋体" w:eastAsia="宋体" w:hint="default"/>
          <w:sz w:val="13"/>
          <w:szCs w:val="13"/>
        </w:rPr>
      </w:pPr>
    </w:p>
    <w:tbl>
      <w:tblPr>
        <w:tblW w:w="0" w:type="auto"/>
        <w:jc w:val="left"/>
        <w:tblInd w:w="150" w:type="dxa"/>
        <w:tblLayout w:type="fixed"/>
        <w:tblCellMar>
          <w:top w:w="0" w:type="dxa"/>
          <w:left w:w="0" w:type="dxa"/>
          <w:bottom w:w="0" w:type="dxa"/>
          <w:right w:w="0" w:type="dxa"/>
        </w:tblCellMar>
        <w:tblLook w:val="01E0"/>
      </w:tblPr>
      <w:tblGrid>
        <w:gridCol w:w="1846"/>
        <w:gridCol w:w="1472"/>
        <w:gridCol w:w="1510"/>
        <w:gridCol w:w="1508"/>
        <w:gridCol w:w="3407"/>
      </w:tblGrid>
      <w:tr>
        <w:trPr>
          <w:trHeight w:val="835" w:hRule="exact"/>
        </w:trPr>
        <w:tc>
          <w:tcPr>
            <w:tcW w:w="184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时间</w:t>
            </w:r>
          </w:p>
        </w:tc>
        <w:tc>
          <w:tcPr>
            <w:tcW w:w="1472"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48"/>
              <w:ind w:left="203" w:right="202"/>
              <w:jc w:val="both"/>
              <w:rPr>
                <w:rFonts w:ascii="宋体" w:hAnsi="宋体" w:cs="宋体" w:eastAsia="宋体" w:hint="default"/>
                <w:sz w:val="21"/>
                <w:szCs w:val="21"/>
              </w:rPr>
            </w:pPr>
            <w:r>
              <w:rPr>
                <w:rFonts w:ascii="宋体" w:hAnsi="宋体" w:cs="宋体" w:eastAsia="宋体" w:hint="default"/>
                <w:sz w:val="21"/>
                <w:szCs w:val="21"/>
              </w:rPr>
              <w:t>限售期满新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增可上市交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易股份数量</w:t>
            </w:r>
          </w:p>
        </w:tc>
        <w:tc>
          <w:tcPr>
            <w:tcW w:w="151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68"/>
              <w:ind w:left="223" w:right="117" w:hanging="106"/>
              <w:jc w:val="left"/>
              <w:rPr>
                <w:rFonts w:ascii="宋体" w:hAnsi="宋体" w:cs="宋体" w:eastAsia="宋体" w:hint="default"/>
                <w:sz w:val="21"/>
                <w:szCs w:val="21"/>
              </w:rPr>
            </w:pPr>
            <w:r>
              <w:rPr>
                <w:rFonts w:ascii="宋体" w:hAnsi="宋体" w:cs="宋体" w:eastAsia="宋体" w:hint="default"/>
                <w:sz w:val="21"/>
                <w:szCs w:val="21"/>
              </w:rPr>
              <w:t>有限售条件股</w:t>
            </w:r>
            <w:r>
              <w:rPr>
                <w:rFonts w:ascii="宋体" w:hAnsi="宋体" w:cs="宋体" w:eastAsia="宋体" w:hint="default"/>
                <w:w w:val="100"/>
                <w:sz w:val="21"/>
                <w:szCs w:val="21"/>
              </w:rPr>
              <w:t> </w:t>
            </w:r>
            <w:r>
              <w:rPr>
                <w:rFonts w:ascii="宋体" w:hAnsi="宋体" w:cs="宋体" w:eastAsia="宋体" w:hint="default"/>
                <w:sz w:val="21"/>
                <w:szCs w:val="21"/>
              </w:rPr>
              <w:t>份数量余额</w:t>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68"/>
              <w:ind w:left="221" w:right="117" w:hanging="106"/>
              <w:jc w:val="left"/>
              <w:rPr>
                <w:rFonts w:ascii="宋体" w:hAnsi="宋体" w:cs="宋体" w:eastAsia="宋体" w:hint="default"/>
                <w:sz w:val="21"/>
                <w:szCs w:val="21"/>
              </w:rPr>
            </w:pPr>
            <w:r>
              <w:rPr>
                <w:rFonts w:ascii="宋体" w:hAnsi="宋体" w:cs="宋体" w:eastAsia="宋体" w:hint="default"/>
                <w:sz w:val="21"/>
                <w:szCs w:val="21"/>
              </w:rPr>
              <w:t>无限售条件股</w:t>
            </w:r>
            <w:r>
              <w:rPr>
                <w:rFonts w:ascii="宋体" w:hAnsi="宋体" w:cs="宋体" w:eastAsia="宋体" w:hint="default"/>
                <w:w w:val="100"/>
                <w:sz w:val="21"/>
                <w:szCs w:val="21"/>
              </w:rPr>
              <w:t> </w:t>
            </w:r>
            <w:r>
              <w:rPr>
                <w:rFonts w:ascii="宋体" w:hAnsi="宋体" w:cs="宋体" w:eastAsia="宋体" w:hint="default"/>
                <w:sz w:val="21"/>
                <w:szCs w:val="21"/>
              </w:rPr>
              <w:t>份数量余额</w:t>
            </w:r>
          </w:p>
        </w:tc>
        <w:tc>
          <w:tcPr>
            <w:tcW w:w="34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662" w:hRule="exact"/>
        </w:trPr>
        <w:tc>
          <w:tcPr>
            <w:tcW w:w="184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 w:right="0"/>
              <w:jc w:val="center"/>
              <w:rPr>
                <w:rFonts w:ascii="宋体" w:hAnsi="宋体" w:cs="宋体" w:eastAsia="宋体" w:hint="default"/>
                <w:sz w:val="21"/>
                <w:szCs w:val="21"/>
              </w:rPr>
            </w:pPr>
            <w:r>
              <w:rPr>
                <w:rFonts w:ascii="Times New Roman" w:hAnsi="Times New Roman" w:cs="Times New Roman" w:eastAsia="Times New Roman" w:hint="default"/>
                <w:spacing w:val="-9"/>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pacing w:val="-6"/>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6"/>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w w:val="100"/>
                <w:sz w:val="21"/>
              </w:rPr>
              <w:t>0</w:t>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87" w:right="0"/>
              <w:jc w:val="left"/>
              <w:rPr>
                <w:rFonts w:ascii="Times New Roman" w:hAnsi="Times New Roman" w:cs="Times New Roman" w:eastAsia="Times New Roman" w:hint="default"/>
                <w:sz w:val="21"/>
                <w:szCs w:val="21"/>
              </w:rPr>
            </w:pPr>
            <w:r>
              <w:rPr>
                <w:rFonts w:ascii="Times New Roman"/>
                <w:sz w:val="21"/>
              </w:rPr>
              <w:t>1,559,085,451</w:t>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85" w:right="0"/>
              <w:jc w:val="left"/>
              <w:rPr>
                <w:rFonts w:ascii="Times New Roman" w:hAnsi="Times New Roman" w:cs="Times New Roman" w:eastAsia="Times New Roman" w:hint="default"/>
                <w:sz w:val="21"/>
                <w:szCs w:val="21"/>
              </w:rPr>
            </w:pPr>
            <w:r>
              <w:rPr>
                <w:rFonts w:ascii="Times New Roman"/>
                <w:sz w:val="21"/>
              </w:rPr>
              <w:t>5,437,126,415</w:t>
            </w:r>
          </w:p>
        </w:tc>
        <w:tc>
          <w:tcPr>
            <w:tcW w:w="3407"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before="2"/>
              <w:ind w:left="103" w:right="87" w:firstLine="211"/>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、张近东先生认购的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年非</w:t>
            </w:r>
            <w:r>
              <w:rPr>
                <w:rFonts w:ascii="宋体" w:hAnsi="宋体" w:cs="宋体" w:eastAsia="宋体" w:hint="default"/>
                <w:w w:val="100"/>
                <w:sz w:val="21"/>
                <w:szCs w:val="21"/>
              </w:rPr>
              <w:t> </w:t>
            </w:r>
            <w:r>
              <w:rPr>
                <w:rFonts w:ascii="宋体" w:hAnsi="宋体" w:cs="宋体" w:eastAsia="宋体" w:hint="default"/>
                <w:sz w:val="21"/>
                <w:szCs w:val="21"/>
              </w:rPr>
              <w:t>公开发行股份限售期满，可上市交</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易；但同时，张近东先生持有的公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司股份还需以“高管股份”形式锁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定，故此次实际可上市交易的股份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pStyle w:val="TableParagraph"/>
              <w:spacing w:line="240" w:lineRule="exact"/>
              <w:ind w:left="103" w:right="84" w:firstLine="211"/>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、有限售条件股份余额为张近东</w:t>
            </w:r>
            <w:r>
              <w:rPr>
                <w:rFonts w:ascii="宋体" w:hAnsi="宋体" w:cs="宋体" w:eastAsia="宋体" w:hint="default"/>
                <w:w w:val="100"/>
                <w:sz w:val="21"/>
                <w:szCs w:val="21"/>
              </w:rPr>
              <w:t> </w:t>
            </w:r>
            <w:r>
              <w:rPr>
                <w:rFonts w:ascii="宋体" w:hAnsi="宋体" w:cs="宋体" w:eastAsia="宋体" w:hint="default"/>
                <w:sz w:val="21"/>
                <w:szCs w:val="21"/>
              </w:rPr>
              <w:t>先生、孙为民先生、金明先生、孟</w:t>
            </w:r>
          </w:p>
          <w:p>
            <w:pPr>
              <w:pStyle w:val="TableParagraph"/>
              <w:spacing w:line="240" w:lineRule="exact"/>
              <w:ind w:left="103" w:right="88"/>
              <w:jc w:val="both"/>
              <w:rPr>
                <w:rFonts w:ascii="宋体" w:hAnsi="宋体" w:cs="宋体" w:eastAsia="宋体" w:hint="default"/>
                <w:sz w:val="21"/>
                <w:szCs w:val="21"/>
              </w:rPr>
            </w:pPr>
            <w:r>
              <w:rPr>
                <w:rFonts w:ascii="宋体" w:hAnsi="宋体" w:cs="宋体" w:eastAsia="宋体" w:hint="default"/>
                <w:sz w:val="21"/>
                <w:szCs w:val="21"/>
              </w:rPr>
              <w:t>祥胜先生、任峻先生持有的以“高</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管股份”形式锁定的股份，该部分</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股份可上市交易的时间未知。</w:t>
            </w:r>
          </w:p>
        </w:tc>
      </w:tr>
    </w:tbl>
    <w:p>
      <w:pPr>
        <w:spacing w:line="240" w:lineRule="auto" w:before="9"/>
        <w:rPr>
          <w:rFonts w:ascii="宋体" w:hAnsi="宋体" w:cs="宋体" w:eastAsia="宋体" w:hint="default"/>
          <w:sz w:val="26"/>
          <w:szCs w:val="26"/>
        </w:rPr>
      </w:pPr>
    </w:p>
    <w:p>
      <w:pPr>
        <w:tabs>
          <w:tab w:pos="7721" w:val="left" w:leader="none"/>
        </w:tabs>
        <w:spacing w:before="26"/>
        <w:ind w:left="1000" w:right="0"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）有限售条件股份变动情况表</w:t>
        <w:tab/>
      </w:r>
      <w:r>
        <w:rPr>
          <w:rFonts w:ascii="宋体" w:hAnsi="宋体" w:cs="宋体" w:eastAsia="宋体" w:hint="default"/>
          <w:spacing w:val="-1"/>
          <w:sz w:val="21"/>
          <w:szCs w:val="21"/>
        </w:rPr>
        <w:t>（单位：股）</w:t>
      </w:r>
    </w:p>
    <w:p>
      <w:pPr>
        <w:spacing w:line="240" w:lineRule="auto" w:before="6"/>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132"/>
        <w:gridCol w:w="1309"/>
        <w:gridCol w:w="1140"/>
        <w:gridCol w:w="1143"/>
        <w:gridCol w:w="1306"/>
        <w:gridCol w:w="1373"/>
        <w:gridCol w:w="1433"/>
      </w:tblGrid>
      <w:tr>
        <w:trPr>
          <w:trHeight w:val="751" w:hRule="exact"/>
        </w:trPr>
        <w:tc>
          <w:tcPr>
            <w:tcW w:w="21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439" w:right="226" w:hanging="212"/>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143" w:right="141"/>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43"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146" w:right="142"/>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before="127"/>
              <w:ind w:left="439" w:right="223" w:hanging="212"/>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1692"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4"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1,463,858,573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1,463,858,573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exact"/>
              <w:ind w:left="24"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年非公开</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pacing w:val="-102"/>
                <w:sz w:val="21"/>
                <w:szCs w:val="21"/>
              </w:rPr>
              <w:t> </w:t>
            </w:r>
            <w:r>
              <w:rPr>
                <w:rFonts w:ascii="宋体" w:hAnsi="宋体" w:cs="宋体" w:eastAsia="宋体" w:hint="default"/>
                <w:sz w:val="21"/>
                <w:szCs w:val="21"/>
              </w:rPr>
              <w:t>高管股份锁定</w:t>
            </w:r>
          </w:p>
        </w:tc>
        <w:tc>
          <w:tcPr>
            <w:tcW w:w="1433" w:type="dxa"/>
            <w:tcBorders>
              <w:top w:val="single" w:sz="4" w:space="0" w:color="000000"/>
              <w:left w:val="single" w:sz="4" w:space="0" w:color="000000"/>
              <w:bottom w:val="single" w:sz="4" w:space="0" w:color="000000"/>
              <w:right w:val="single" w:sz="12" w:space="0" w:color="000000"/>
            </w:tcBorders>
          </w:tcPr>
          <w:p>
            <w:pPr>
              <w:pStyle w:val="TableParagraph"/>
              <w:spacing w:line="214" w:lineRule="exact"/>
              <w:ind w:left="21" w:right="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p>
          <w:p>
            <w:pPr>
              <w:pStyle w:val="TableParagraph"/>
              <w:spacing w:line="240" w:lineRule="exact"/>
              <w:ind w:left="21" w:right="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pacing w:val="-18"/>
                <w:sz w:val="21"/>
                <w:szCs w:val="21"/>
              </w:rPr>
              <w:t>日，认购的</w:t>
            </w:r>
            <w:r>
              <w:rPr>
                <w:rFonts w:ascii="宋体" w:hAnsi="宋体" w:cs="宋体" w:eastAsia="宋体" w:hint="default"/>
                <w:sz w:val="21"/>
                <w:szCs w:val="21"/>
              </w:rPr>
            </w:r>
          </w:p>
          <w:p>
            <w:pPr>
              <w:pStyle w:val="TableParagraph"/>
              <w:spacing w:line="206" w:lineRule="auto" w:before="9"/>
              <w:ind w:left="21" w:right="154"/>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2009</w:t>
            </w:r>
            <w:r>
              <w:rPr>
                <w:rFonts w:ascii="Times New Roman" w:hAnsi="Times New Roman" w:cs="Times New Roman" w:eastAsia="Times New Roman" w:hint="default"/>
                <w:spacing w:val="-21"/>
                <w:sz w:val="21"/>
                <w:szCs w:val="21"/>
              </w:rPr>
              <w:t> </w:t>
            </w:r>
            <w:r>
              <w:rPr>
                <w:rFonts w:ascii="宋体" w:hAnsi="宋体" w:cs="宋体" w:eastAsia="宋体" w:hint="default"/>
                <w:spacing w:val="-10"/>
                <w:sz w:val="21"/>
                <w:szCs w:val="21"/>
              </w:rPr>
              <w:t>年非公开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发行股份限售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解除。高管股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份锁定解除日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0"/>
                <w:sz w:val="21"/>
                <w:szCs w:val="21"/>
              </w:rPr>
              <w:t>期未知</w:t>
            </w:r>
          </w:p>
        </w:tc>
      </w:tr>
      <w:tr>
        <w:trPr>
          <w:trHeight w:val="487"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4"/>
              <w:ind w:left="14"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3"/>
              <w:jc w:val="right"/>
              <w:rPr>
                <w:rFonts w:ascii="Times New Roman" w:hAnsi="Times New Roman" w:cs="Times New Roman" w:eastAsia="Times New Roman" w:hint="default"/>
                <w:sz w:val="21"/>
                <w:szCs w:val="21"/>
              </w:rPr>
            </w:pPr>
            <w:r>
              <w:rPr>
                <w:rFonts w:ascii="Times New Roman"/>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1,309,324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1,309,324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高管股份锁定</w:t>
            </w:r>
          </w:p>
        </w:tc>
        <w:tc>
          <w:tcPr>
            <w:tcW w:w="14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52"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tabs>
                <w:tab w:pos="437" w:val="left" w:leader="none"/>
              </w:tabs>
              <w:spacing w:line="222" w:lineRule="exact"/>
              <w:ind w:left="14"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90,264,780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1,283,225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91,548,005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高管股份锁定</w:t>
            </w:r>
          </w:p>
        </w:tc>
        <w:tc>
          <w:tcPr>
            <w:tcW w:w="1433" w:type="dxa"/>
            <w:tcBorders>
              <w:top w:val="single" w:sz="4" w:space="0" w:color="000000"/>
              <w:left w:val="single" w:sz="4" w:space="0" w:color="000000"/>
              <w:bottom w:val="single" w:sz="4" w:space="0" w:color="000000"/>
              <w:right w:val="single" w:sz="12" w:space="0" w:color="000000"/>
            </w:tcBorders>
          </w:tcPr>
          <w:p>
            <w:pPr>
              <w:pStyle w:val="TableParagraph"/>
              <w:spacing w:line="222" w:lineRule="exact"/>
              <w:ind w:left="6"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84"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3"/>
              <w:jc w:val="right"/>
              <w:rPr>
                <w:rFonts w:ascii="Times New Roman" w:hAnsi="Times New Roman" w:cs="Times New Roman" w:eastAsia="Times New Roman" w:hint="default"/>
                <w:sz w:val="21"/>
                <w:szCs w:val="21"/>
              </w:rPr>
            </w:pPr>
            <w:r>
              <w:rPr>
                <w:rFonts w:ascii="Times New Roman"/>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pacing w:val="-1"/>
                <w:sz w:val="21"/>
              </w:rPr>
              <w:t>1,054,874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7"/>
              <w:jc w:val="right"/>
              <w:rPr>
                <w:rFonts w:ascii="Times New Roman" w:hAnsi="Times New Roman" w:cs="Times New Roman" w:eastAsia="Times New Roman" w:hint="default"/>
                <w:sz w:val="21"/>
                <w:szCs w:val="21"/>
              </w:rPr>
            </w:pPr>
            <w:r>
              <w:rPr>
                <w:rFonts w:ascii="Times New Roman"/>
                <w:spacing w:val="-1"/>
                <w:sz w:val="21"/>
              </w:rPr>
              <w:t>1,054,874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高管股份锁定</w:t>
            </w:r>
          </w:p>
        </w:tc>
        <w:tc>
          <w:tcPr>
            <w:tcW w:w="14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691" w:hRule="exact"/>
        </w:trPr>
        <w:tc>
          <w:tcPr>
            <w:tcW w:w="2132" w:type="dxa"/>
            <w:tcBorders>
              <w:top w:val="single" w:sz="4" w:space="0" w:color="000000"/>
              <w:left w:val="single" w:sz="12" w:space="0" w:color="000000"/>
              <w:bottom w:val="single" w:sz="4" w:space="0" w:color="000000"/>
              <w:right w:val="single" w:sz="4" w:space="0" w:color="000000"/>
            </w:tcBorders>
          </w:tcPr>
          <w:p>
            <w:pPr>
              <w:pStyle w:val="TableParagraph"/>
              <w:tabs>
                <w:tab w:pos="437" w:val="left" w:leader="none"/>
              </w:tabs>
              <w:spacing w:line="240" w:lineRule="auto" w:before="167"/>
              <w:ind w:left="14"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1,314,675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1,314,675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高管股份锁定</w:t>
            </w:r>
          </w:p>
        </w:tc>
        <w:tc>
          <w:tcPr>
            <w:tcW w:w="14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7"/>
              <w:ind w:left="6"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82" w:hRule="exact"/>
        </w:trPr>
        <w:tc>
          <w:tcPr>
            <w:tcW w:w="2132" w:type="dxa"/>
            <w:tcBorders>
              <w:top w:val="single" w:sz="4" w:space="0" w:color="000000"/>
              <w:left w:val="single" w:sz="12" w:space="0" w:color="000000"/>
              <w:bottom w:val="single" w:sz="12" w:space="0" w:color="000000"/>
              <w:right w:val="single" w:sz="4" w:space="0" w:color="000000"/>
            </w:tcBorders>
          </w:tcPr>
          <w:p>
            <w:pPr>
              <w:pStyle w:val="TableParagraph"/>
              <w:tabs>
                <w:tab w:pos="437" w:val="left" w:leader="none"/>
              </w:tabs>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1"/>
                <w:szCs w:val="21"/>
              </w:rPr>
            </w:pPr>
            <w:r>
              <w:rPr>
                <w:rFonts w:ascii="Times New Roman"/>
                <w:spacing w:val="-1"/>
                <w:sz w:val="21"/>
              </w:rPr>
              <w:t>1,554,123,353</w:t>
            </w:r>
          </w:p>
        </w:tc>
        <w:tc>
          <w:tcPr>
            <w:tcW w:w="1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21"/>
                <w:szCs w:val="21"/>
              </w:rPr>
            </w:pPr>
            <w:r>
              <w:rPr>
                <w:rFonts w:ascii="Times New Roman"/>
                <w:w w:val="100"/>
                <w:sz w:val="21"/>
              </w:rPr>
              <w:t>0</w:t>
            </w:r>
          </w:p>
        </w:tc>
        <w:tc>
          <w:tcPr>
            <w:tcW w:w="11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spacing w:val="-1"/>
                <w:sz w:val="21"/>
              </w:rPr>
              <w:t>4,962,098</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21"/>
                <w:szCs w:val="21"/>
              </w:rPr>
            </w:pPr>
            <w:r>
              <w:rPr>
                <w:rFonts w:ascii="Times New Roman"/>
                <w:spacing w:val="-1"/>
                <w:sz w:val="21"/>
              </w:rPr>
              <w:t>1,559,085,451</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center"/>
        <w:rPr>
          <w:rFonts w:ascii="宋体" w:hAnsi="宋体" w:cs="宋体" w:eastAsia="宋体" w:hint="default"/>
          <w:sz w:val="21"/>
          <w:szCs w:val="21"/>
        </w:rPr>
        <w:sectPr>
          <w:pgSz w:w="11910" w:h="16840"/>
          <w:pgMar w:header="748" w:footer="907" w:top="980" w:bottom="1100" w:left="920" w:right="0"/>
        </w:sectPr>
      </w:pPr>
    </w:p>
    <w:p>
      <w:pPr>
        <w:spacing w:line="240" w:lineRule="auto" w:before="0"/>
        <w:rPr>
          <w:rFonts w:ascii="宋体" w:hAnsi="宋体" w:cs="宋体" w:eastAsia="宋体" w:hint="default"/>
          <w:sz w:val="20"/>
          <w:szCs w:val="20"/>
        </w:rPr>
      </w:pPr>
    </w:p>
    <w:p>
      <w:pPr>
        <w:pStyle w:val="Heading1"/>
        <w:tabs>
          <w:tab w:pos="3113" w:val="left" w:leader="none"/>
        </w:tabs>
        <w:spacing w:line="240" w:lineRule="auto"/>
        <w:ind w:left="1833" w:right="0"/>
        <w:jc w:val="left"/>
        <w:rPr>
          <w:b w:val="0"/>
          <w:bCs w:val="0"/>
        </w:rPr>
      </w:pPr>
      <w:bookmarkStart w:name="_TOC_250007" w:id="4"/>
      <w:r>
        <w:rPr>
          <w:w w:val="95"/>
        </w:rPr>
        <w:t>第四节</w:t>
        <w:tab/>
      </w:r>
      <w:r>
        <w:rPr/>
        <w:t>董事、监事、高级管理人员和员工的情况</w:t>
      </w:r>
      <w:bookmarkEnd w:id="4"/>
      <w:r>
        <w:rPr>
          <w:b w:val="0"/>
          <w:bCs w:val="0"/>
        </w:rPr>
      </w:r>
    </w:p>
    <w:p>
      <w:pPr>
        <w:pStyle w:val="BodyText"/>
        <w:spacing w:line="240" w:lineRule="auto" w:before="217"/>
        <w:ind w:left="960" w:right="0"/>
        <w:jc w:val="left"/>
      </w:pPr>
      <w:r>
        <w:rPr/>
        <w:t>一、公司董事、监事和高级管理人员情况</w:t>
      </w:r>
    </w:p>
    <w:p>
      <w:pPr>
        <w:pStyle w:val="BodyText"/>
        <w:spacing w:line="240" w:lineRule="auto" w:before="154"/>
        <w:ind w:left="883" w:right="0"/>
        <w:jc w:val="left"/>
      </w:pPr>
      <w:r>
        <w:rPr>
          <w:rFonts w:ascii="Times New Roman" w:hAnsi="Times New Roman" w:cs="Times New Roman" w:eastAsia="Times New Roman" w:hint="default"/>
        </w:rPr>
        <w:t>1</w:t>
      </w:r>
      <w:r>
        <w:rPr/>
        <w:t>、基本情况</w:t>
      </w:r>
    </w:p>
    <w:p>
      <w:pPr>
        <w:spacing w:line="240" w:lineRule="auto" w:before="6"/>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62"/>
        <w:gridCol w:w="550"/>
        <w:gridCol w:w="518"/>
        <w:gridCol w:w="1426"/>
        <w:gridCol w:w="2523"/>
        <w:gridCol w:w="1260"/>
        <w:gridCol w:w="1441"/>
        <w:gridCol w:w="1407"/>
      </w:tblGrid>
      <w:tr>
        <w:trPr>
          <w:trHeight w:val="706" w:hRule="exact"/>
        </w:trPr>
        <w:tc>
          <w:tcPr>
            <w:tcW w:w="86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5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65"/>
              <w:ind w:left="496" w:right="284" w:hanging="209"/>
              <w:jc w:val="left"/>
              <w:rPr>
                <w:rFonts w:ascii="宋体" w:hAnsi="宋体" w:cs="宋体" w:eastAsia="宋体" w:hint="default"/>
                <w:sz w:val="21"/>
                <w:szCs w:val="21"/>
              </w:rPr>
            </w:pPr>
            <w:r>
              <w:rPr>
                <w:rFonts w:ascii="宋体" w:hAnsi="宋体" w:cs="宋体" w:eastAsia="宋体" w:hint="default"/>
                <w:b/>
                <w:bCs/>
                <w:sz w:val="21"/>
                <w:szCs w:val="21"/>
              </w:rPr>
              <w:t>股份公司</w:t>
            </w:r>
            <w:r>
              <w:rPr>
                <w:rFonts w:ascii="宋体" w:hAnsi="宋体" w:cs="宋体" w:eastAsia="宋体" w:hint="default"/>
                <w:b/>
                <w:bCs/>
                <w:w w:val="100"/>
                <w:sz w:val="21"/>
                <w:szCs w:val="21"/>
              </w:rPr>
              <w:t> </w:t>
            </w:r>
            <w:r>
              <w:rPr>
                <w:rFonts w:ascii="宋体" w:hAnsi="宋体" w:cs="宋体" w:eastAsia="宋体" w:hint="default"/>
                <w:b/>
                <w:bCs/>
                <w:sz w:val="21"/>
                <w:szCs w:val="21"/>
              </w:rPr>
              <w:t>任职</w:t>
            </w:r>
            <w:r>
              <w:rPr>
                <w:rFonts w:ascii="宋体" w:hAnsi="宋体" w:cs="宋体" w:eastAsia="宋体" w:hint="default"/>
                <w:sz w:val="21"/>
                <w:szCs w:val="21"/>
              </w:rPr>
            </w:r>
          </w:p>
        </w:tc>
        <w:tc>
          <w:tcPr>
            <w:tcW w:w="2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b/>
                <w:bCs/>
                <w:sz w:val="21"/>
                <w:szCs w:val="21"/>
              </w:rPr>
              <w:t>任期起止日期</w:t>
            </w:r>
            <w:r>
              <w:rPr>
                <w:rFonts w:ascii="宋体" w:hAnsi="宋体" w:cs="宋体" w:eastAsia="宋体" w:hint="default"/>
                <w:sz w:val="21"/>
                <w:szCs w:val="21"/>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exact" w:before="38"/>
              <w:ind w:right="0"/>
              <w:jc w:val="center"/>
              <w:rPr>
                <w:rFonts w:ascii="宋体" w:hAnsi="宋体" w:cs="宋体" w:eastAsia="宋体" w:hint="default"/>
                <w:sz w:val="21"/>
                <w:szCs w:val="21"/>
              </w:rPr>
            </w:pPr>
            <w:r>
              <w:rPr>
                <w:rFonts w:ascii="宋体" w:hAnsi="宋体" w:cs="宋体" w:eastAsia="宋体" w:hint="default"/>
                <w:b/>
                <w:bCs/>
                <w:sz w:val="21"/>
                <w:szCs w:val="21"/>
              </w:rPr>
              <w:t>年末持股数</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73" w:lineRule="exact" w:before="38"/>
              <w:ind w:left="1" w:right="0"/>
              <w:jc w:val="center"/>
              <w:rPr>
                <w:rFonts w:ascii="宋体" w:hAnsi="宋体" w:cs="宋体" w:eastAsia="宋体" w:hint="default"/>
                <w:sz w:val="21"/>
                <w:szCs w:val="21"/>
              </w:rPr>
            </w:pPr>
            <w:r>
              <w:rPr>
                <w:rFonts w:ascii="宋体" w:hAnsi="宋体" w:cs="宋体" w:eastAsia="宋体" w:hint="default"/>
                <w:b/>
                <w:bCs/>
                <w:sz w:val="21"/>
                <w:szCs w:val="21"/>
              </w:rPr>
              <w:t>年初持股数</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07" w:type="dxa"/>
            <w:tcBorders>
              <w:top w:val="single" w:sz="12" w:space="0" w:color="000000"/>
              <w:left w:val="single" w:sz="4" w:space="0" w:color="000000"/>
              <w:bottom w:val="single" w:sz="4" w:space="0" w:color="000000"/>
              <w:right w:val="single" w:sz="12" w:space="0" w:color="000000"/>
            </w:tcBorders>
          </w:tcPr>
          <w:p>
            <w:pPr>
              <w:pStyle w:val="TableParagraph"/>
              <w:spacing w:line="272" w:lineRule="exact" w:before="65"/>
              <w:ind w:left="482" w:right="269" w:hanging="209"/>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张近东</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2"/>
                <w:sz w:val="21"/>
              </w:rPr>
              <w:t>1,951,811,430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2"/>
                <w:sz w:val="21"/>
              </w:rPr>
              <w:t>1,951,811,430</w:t>
            </w:r>
          </w:p>
        </w:tc>
        <w:tc>
          <w:tcPr>
            <w:tcW w:w="1407"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孙为民</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1,745,765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增持公司股份</w:t>
            </w:r>
          </w:p>
        </w:tc>
      </w:tr>
      <w:tr>
        <w:trPr>
          <w:trHeight w:val="339"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明</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122,064,007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120,353,040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增持公司股份</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孟祥胜</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pacing w:val="-1"/>
                <w:sz w:val="21"/>
              </w:rPr>
              <w:t>1,406,498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增持公司股份</w:t>
            </w:r>
          </w:p>
        </w:tc>
      </w:tr>
      <w:tr>
        <w:trPr>
          <w:trHeight w:val="552"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董事、副总裁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董秘</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21"/>
                <w:szCs w:val="21"/>
              </w:rPr>
            </w:pPr>
            <w:r>
              <w:rPr>
                <w:rFonts w:ascii="Times New Roman"/>
                <w:spacing w:val="-1"/>
                <w:sz w:val="21"/>
              </w:rPr>
              <w:t>1,752,900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增持公司股份</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东</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8"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沈坤荣</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孙剑平</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8"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李建颖</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汪晓玲</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39</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86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肖忠祥</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50" w:hRule="exact"/>
        </w:trPr>
        <w:tc>
          <w:tcPr>
            <w:tcW w:w="862" w:type="dxa"/>
            <w:tcBorders>
              <w:top w:val="single" w:sz="4" w:space="0" w:color="000000"/>
              <w:left w:val="single" w:sz="12" w:space="0" w:color="000000"/>
              <w:bottom w:val="single" w:sz="12" w:space="0" w:color="000000"/>
              <w:right w:val="single" w:sz="4" w:space="0" w:color="000000"/>
            </w:tcBorders>
          </w:tcPr>
          <w:p>
            <w:pPr>
              <w:pStyle w:val="TableParagraph"/>
              <w:tabs>
                <w:tab w:pos="422"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朱</w:t>
              <w:tab/>
              <w:t>华</w:t>
            </w:r>
          </w:p>
        </w:tc>
        <w:tc>
          <w:tcPr>
            <w:tcW w:w="5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47</w:t>
            </w:r>
          </w:p>
        </w:tc>
        <w:tc>
          <w:tcPr>
            <w:tcW w:w="518"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523" w:type="dxa"/>
            <w:tcBorders>
              <w:top w:val="single" w:sz="4" w:space="0" w:color="000000"/>
              <w:left w:val="single" w:sz="4" w:space="0" w:color="000000"/>
              <w:bottom w:val="single" w:sz="12"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0</w:t>
            </w:r>
          </w:p>
        </w:tc>
        <w:tc>
          <w:tcPr>
            <w:tcW w:w="14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336" w:lineRule="auto" w:before="86"/>
        <w:ind w:left="600" w:right="0" w:firstLine="482"/>
        <w:jc w:val="left"/>
        <w:rPr>
          <w:rFonts w:ascii="宋体" w:hAnsi="宋体" w:cs="宋体" w:eastAsia="宋体" w:hint="default"/>
          <w:sz w:val="21"/>
          <w:szCs w:val="21"/>
        </w:rPr>
      </w:pPr>
      <w:r>
        <w:rPr>
          <w:rFonts w:ascii="宋体" w:hAnsi="宋体" w:cs="宋体" w:eastAsia="宋体" w:hint="default"/>
          <w:spacing w:val="-3"/>
          <w:sz w:val="21"/>
          <w:szCs w:val="21"/>
        </w:rPr>
        <w:t>注：董事、监事、高级管理人员持有股票期权情况详见下文第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点“公司董事、监事、高级管</w:t>
      </w:r>
      <w:r>
        <w:rPr>
          <w:rFonts w:ascii="宋体" w:hAnsi="宋体" w:cs="宋体" w:eastAsia="宋体" w:hint="default"/>
          <w:w w:val="100"/>
          <w:sz w:val="21"/>
          <w:szCs w:val="21"/>
        </w:rPr>
        <w:t> </w:t>
      </w:r>
      <w:r>
        <w:rPr>
          <w:rFonts w:ascii="宋体" w:hAnsi="宋体" w:cs="宋体" w:eastAsia="宋体" w:hint="default"/>
          <w:spacing w:val="-6"/>
          <w:w w:val="100"/>
          <w:sz w:val="21"/>
          <w:szCs w:val="21"/>
        </w:rPr>
        <w:t>理人员报告期内被授予的股票期权及相关行权情况”。</w:t>
      </w:r>
    </w:p>
    <w:p>
      <w:pPr>
        <w:pStyle w:val="BodyText"/>
        <w:spacing w:line="240" w:lineRule="auto" w:before="165"/>
        <w:ind w:left="1082" w:right="0"/>
        <w:jc w:val="left"/>
      </w:pPr>
      <w:r>
        <w:rPr>
          <w:rFonts w:ascii="Times New Roman" w:hAnsi="Times New Roman" w:cs="Times New Roman" w:eastAsia="Times New Roman" w:hint="default"/>
        </w:rPr>
        <w:t>2</w:t>
      </w:r>
      <w:r>
        <w:rPr/>
        <w:t>、公司的董事、监事不存在在股东单位任职的情况。</w:t>
      </w:r>
    </w:p>
    <w:p>
      <w:pPr>
        <w:pStyle w:val="BodyText"/>
        <w:spacing w:line="240" w:lineRule="auto"/>
        <w:ind w:left="1080" w:right="0"/>
        <w:jc w:val="left"/>
      </w:pPr>
      <w:r>
        <w:rPr>
          <w:rFonts w:ascii="Times New Roman" w:hAnsi="Times New Roman" w:cs="Times New Roman" w:eastAsia="Times New Roman" w:hint="default"/>
          <w:spacing w:val="-10"/>
        </w:rPr>
        <w:t>3</w:t>
      </w:r>
      <w:r>
        <w:rPr>
          <w:spacing w:val="-10"/>
        </w:rPr>
        <w:t>、现任董事、监事、高级管理人员的主要工作经历和在其他单位的任职或兼职情况：</w:t>
      </w:r>
    </w:p>
    <w:p>
      <w:pPr>
        <w:pStyle w:val="BodyText"/>
        <w:spacing w:line="240" w:lineRule="auto"/>
        <w:ind w:left="1080" w:right="0"/>
        <w:jc w:val="left"/>
      </w:pPr>
      <w:r>
        <w:rPr/>
        <w:t>（</w:t>
      </w:r>
      <w:r>
        <w:rPr>
          <w:rFonts w:ascii="Times New Roman" w:hAnsi="Times New Roman" w:cs="Times New Roman" w:eastAsia="Times New Roman" w:hint="default"/>
        </w:rPr>
        <w:t>1</w:t>
      </w:r>
      <w:r>
        <w:rPr/>
        <w:t>）董事</w:t>
      </w:r>
    </w:p>
    <w:p>
      <w:pPr>
        <w:pStyle w:val="BodyText"/>
        <w:spacing w:line="352" w:lineRule="auto" w:before="136"/>
        <w:ind w:left="600" w:right="1437" w:firstLine="480"/>
        <w:jc w:val="both"/>
      </w:pPr>
      <w:r>
        <w:rPr/>
        <w:t>张近东先生 公司实际控制人，</w:t>
      </w:r>
      <w:r>
        <w:rPr>
          <w:rFonts w:ascii="Times New Roman" w:hAnsi="Times New Roman" w:cs="Times New Roman" w:eastAsia="Times New Roman" w:hint="default"/>
        </w:rPr>
        <w:t>49</w:t>
      </w:r>
      <w:r>
        <w:rPr>
          <w:rFonts w:ascii="Times New Roman" w:hAnsi="Times New Roman" w:cs="Times New Roman" w:eastAsia="Times New Roman" w:hint="default"/>
          <w:spacing w:val="24"/>
        </w:rPr>
        <w:t> </w:t>
      </w:r>
      <w:r>
        <w:rPr/>
        <w:t>岁，汉族，本科学历，曾任江苏苏宁交家电有 </w:t>
      </w:r>
      <w:r>
        <w:rPr>
          <w:spacing w:val="-3"/>
        </w:rPr>
        <w:t>限公司董事长兼总经理、中国人民政治协商会议第十届全国委员会委员、中华全国工商</w:t>
      </w:r>
      <w:r>
        <w:rPr>
          <w:spacing w:val="-98"/>
        </w:rPr>
        <w:t> </w:t>
      </w:r>
      <w:r>
        <w:rPr>
          <w:spacing w:val="-98"/>
        </w:rPr>
      </w:r>
      <w:r>
        <w:rPr>
          <w:spacing w:val="-3"/>
        </w:rPr>
        <w:t>业联合会常委，现任苏宁电器股份有限公司董事长、中国人民政治协商会议第十一届全</w:t>
      </w:r>
      <w:r>
        <w:rPr>
          <w:spacing w:val="-98"/>
        </w:rPr>
        <w:t> </w:t>
      </w:r>
      <w:r>
        <w:rPr>
          <w:spacing w:val="-98"/>
        </w:rPr>
      </w:r>
      <w:r>
        <w:rPr>
          <w:spacing w:val="-3"/>
        </w:rPr>
        <w:t>国委员会委员、中华全国工商业联合会副主席、江苏省第十一届人民代表大会代表。无</w:t>
      </w:r>
      <w:r>
        <w:rPr>
          <w:spacing w:val="-102"/>
        </w:rPr>
        <w:t> </w:t>
      </w:r>
      <w:r>
        <w:rPr>
          <w:spacing w:val="-102"/>
        </w:rPr>
      </w:r>
      <w:r>
        <w:rPr/>
        <w:t>在其他单位任职或兼职情况。</w:t>
      </w:r>
    </w:p>
    <w:p>
      <w:pPr>
        <w:pStyle w:val="BodyText"/>
        <w:tabs>
          <w:tab w:pos="2522" w:val="left" w:leader="none"/>
        </w:tabs>
        <w:spacing w:line="240" w:lineRule="auto" w:before="41"/>
        <w:ind w:left="1078" w:right="0"/>
        <w:jc w:val="left"/>
      </w:pPr>
      <w:r>
        <w:rPr/>
        <w:t>孙为民先生</w:t>
        <w:tab/>
      </w:r>
      <w:r>
        <w:rPr>
          <w:rFonts w:ascii="Times New Roman" w:hAnsi="Times New Roman" w:cs="Times New Roman" w:eastAsia="Times New Roman" w:hint="default"/>
        </w:rPr>
        <w:t>49 </w:t>
      </w:r>
      <w:r>
        <w:rPr>
          <w:rFonts w:ascii="Times New Roman" w:hAnsi="Times New Roman" w:cs="Times New Roman" w:eastAsia="Times New Roman" w:hint="default"/>
          <w:spacing w:val="24"/>
        </w:rPr>
        <w:t> </w:t>
      </w:r>
      <w:r>
        <w:rPr/>
        <w:t>岁，汉族，硕士学历，曾在南京理工大学执教，曾任苏宁交家电</w:t>
      </w:r>
    </w:p>
    <w:p>
      <w:pPr>
        <w:pStyle w:val="BodyText"/>
        <w:spacing w:line="357" w:lineRule="auto"/>
        <w:ind w:left="600" w:right="1439"/>
        <w:jc w:val="both"/>
      </w:pPr>
      <w:r>
        <w:rPr>
          <w:spacing w:val="-3"/>
        </w:rPr>
        <w:t>（集团）有限公司副总裁、苏宁电器股份有限公司总裁，现任苏宁电器股份有限公司副</w:t>
      </w:r>
      <w:r>
        <w:rPr>
          <w:spacing w:val="-101"/>
        </w:rPr>
        <w:t> </w:t>
      </w:r>
      <w:r>
        <w:rPr>
          <w:spacing w:val="-101"/>
        </w:rPr>
      </w:r>
      <w:r>
        <w:rPr>
          <w:spacing w:val="-3"/>
        </w:rPr>
        <w:t>董事长、中国连锁经营协会副会长、清华大学中国零售研究院专家委员、南京市政协常</w:t>
      </w:r>
      <w:r>
        <w:rPr>
          <w:spacing w:val="-102"/>
        </w:rPr>
        <w:t> </w:t>
      </w:r>
      <w:r>
        <w:rPr>
          <w:spacing w:val="-102"/>
        </w:rPr>
      </w:r>
      <w:r>
        <w:rPr>
          <w:spacing w:val="-3"/>
        </w:rPr>
        <w:t>委、北京苏宁电器有限公司法人代表、陕西苏宁电器有限责任公司法人代表、深圳市苏</w:t>
      </w:r>
      <w:r>
        <w:rPr>
          <w:spacing w:val="-102"/>
        </w:rPr>
        <w:t> </w:t>
      </w:r>
      <w:r>
        <w:rPr>
          <w:spacing w:val="-102"/>
        </w:rPr>
      </w:r>
      <w:r>
        <w:rPr/>
        <w:t>宁电器有限公司法人代表、江苏苏宁地铁商业管理有限公司法人代表。</w:t>
      </w:r>
    </w:p>
    <w:p>
      <w:pPr>
        <w:pStyle w:val="BodyText"/>
        <w:tabs>
          <w:tab w:pos="1560" w:val="left" w:leader="none"/>
          <w:tab w:pos="2525" w:val="left" w:leader="none"/>
        </w:tabs>
        <w:spacing w:line="240" w:lineRule="auto" w:before="36"/>
        <w:ind w:left="1080" w:right="0"/>
        <w:jc w:val="left"/>
      </w:pPr>
      <w:r>
        <w:rPr/>
        <w:t>金</w:t>
        <w:tab/>
        <w:t>明先生</w:t>
        <w:tab/>
      </w:r>
      <w:r>
        <w:rPr>
          <w:rFonts w:ascii="Times New Roman" w:hAnsi="Times New Roman" w:cs="Times New Roman" w:eastAsia="Times New Roman" w:hint="default"/>
        </w:rPr>
        <w:t>41 </w:t>
      </w:r>
      <w:r>
        <w:rPr>
          <w:rFonts w:ascii="Times New Roman" w:hAnsi="Times New Roman" w:cs="Times New Roman" w:eastAsia="Times New Roman" w:hint="default"/>
          <w:spacing w:val="17"/>
        </w:rPr>
        <w:t> </w:t>
      </w:r>
      <w:r>
        <w:rPr/>
        <w:t>岁，汉族，本科学历，曾任苏宁交家电（集团）有限公司营销管</w:t>
      </w:r>
    </w:p>
    <w:p>
      <w:pPr>
        <w:spacing w:after="0" w:line="240" w:lineRule="auto"/>
        <w:jc w:val="left"/>
        <w:sectPr>
          <w:footerReference w:type="default" r:id="rId11"/>
          <w:pgSz w:w="11910" w:h="16840"/>
          <w:pgMar w:footer="804" w:header="748" w:top="980" w:bottom="1000" w:left="840" w:right="0"/>
        </w:sectPr>
      </w:pPr>
    </w:p>
    <w:p>
      <w:pPr>
        <w:spacing w:line="240" w:lineRule="auto" w:before="6"/>
        <w:rPr>
          <w:rFonts w:ascii="宋体" w:hAnsi="宋体" w:cs="宋体" w:eastAsia="宋体" w:hint="default"/>
          <w:sz w:val="29"/>
          <w:szCs w:val="29"/>
        </w:rPr>
      </w:pPr>
    </w:p>
    <w:p>
      <w:pPr>
        <w:pStyle w:val="BodyText"/>
        <w:spacing w:line="357" w:lineRule="auto" w:before="26"/>
        <w:ind w:right="1328"/>
        <w:jc w:val="left"/>
      </w:pPr>
      <w:r>
        <w:rPr/>
        <w:t>理中心总监，苏宁电器股份有限公司副总裁，现任苏宁电器股份有限公司董事、总裁、 </w:t>
      </w:r>
      <w:r>
        <w:rPr>
          <w:spacing w:val="-3"/>
        </w:rPr>
        <w:t>南京电子商务协会理事长、江苏苏宁贸易有限公司法人代表、南京苏宁工程设备销售有</w:t>
      </w:r>
      <w:r>
        <w:rPr>
          <w:spacing w:val="-98"/>
        </w:rPr>
        <w:t> </w:t>
      </w:r>
      <w:r>
        <w:rPr>
          <w:spacing w:val="-98"/>
        </w:rPr>
      </w:r>
      <w:r>
        <w:rPr>
          <w:spacing w:val="-3"/>
        </w:rPr>
        <w:t>限公司法人代表、江苏松桥电器有限公司法人代表、江苏苏宁中央空调工程有限公司法</w:t>
      </w:r>
      <w:r>
        <w:rPr>
          <w:spacing w:val="-98"/>
        </w:rPr>
        <w:t> </w:t>
      </w:r>
      <w:r>
        <w:rPr>
          <w:spacing w:val="-98"/>
        </w:rPr>
      </w:r>
      <w:r>
        <w:rPr>
          <w:spacing w:val="-3"/>
        </w:rPr>
        <w:t>人代表、江苏酷博睿电器有限公司法人代表、南京苏宁电器有限公司法人代表、香港苏</w:t>
      </w:r>
      <w:r>
        <w:rPr>
          <w:spacing w:val="-102"/>
        </w:rPr>
        <w:t> </w:t>
      </w:r>
      <w:r>
        <w:rPr>
          <w:spacing w:val="-102"/>
        </w:rPr>
      </w:r>
      <w:r>
        <w:rPr/>
        <w:t>宁电器有限公司董事、</w:t>
      </w:r>
      <w:r>
        <w:rPr>
          <w:rFonts w:ascii="Times New Roman" w:hAnsi="Times New Roman" w:cs="Times New Roman" w:eastAsia="Times New Roman" w:hint="default"/>
        </w:rPr>
        <w:t>GRANDA MAGIC LIMITED  </w:t>
      </w:r>
      <w:r>
        <w:rPr>
          <w:spacing w:val="-4"/>
        </w:rPr>
        <w:t>董事、</w:t>
      </w:r>
      <w:r>
        <w:rPr>
          <w:rFonts w:ascii="Times New Roman" w:hAnsi="Times New Roman" w:cs="Times New Roman" w:eastAsia="Times New Roman" w:hint="default"/>
          <w:spacing w:val="-4"/>
        </w:rPr>
        <w:t>GREAT </w:t>
      </w:r>
      <w:r>
        <w:rPr>
          <w:rFonts w:ascii="Times New Roman" w:hAnsi="Times New Roman" w:cs="Times New Roman" w:eastAsia="Times New Roman" w:hint="default"/>
        </w:rPr>
        <w:t>ELITE LIMITED</w:t>
      </w:r>
      <w:r>
        <w:rPr>
          <w:rFonts w:ascii="Times New Roman" w:hAnsi="Times New Roman" w:cs="Times New Roman" w:eastAsia="Times New Roman" w:hint="default"/>
          <w:spacing w:val="7"/>
        </w:rPr>
        <w:t> </w:t>
      </w:r>
      <w:r>
        <w:rPr/>
        <w:t>董</w:t>
      </w:r>
    </w:p>
    <w:p>
      <w:pPr>
        <w:pStyle w:val="BodyText"/>
        <w:spacing w:line="357" w:lineRule="auto" w:before="5"/>
        <w:ind w:right="1437"/>
        <w:jc w:val="both"/>
      </w:pPr>
      <w:r>
        <w:rPr>
          <w:spacing w:val="-3"/>
        </w:rPr>
        <w:t>事、香港苏宁采购有限公司董事、香港苏宁镭射电器有限公司董事、香港港宁广告有限</w:t>
      </w:r>
      <w:r>
        <w:rPr>
          <w:spacing w:val="-100"/>
        </w:rPr>
        <w:t> </w:t>
      </w:r>
      <w:r>
        <w:rPr>
          <w:spacing w:val="-100"/>
        </w:rPr>
      </w:r>
      <w:r>
        <w:rPr>
          <w:spacing w:val="-3"/>
        </w:rPr>
        <w:t>公司董事、超霸发展有限公司董事、南京白下苏宁电器有限公司法人代表、江苏法迪欧</w:t>
      </w:r>
      <w:r>
        <w:rPr>
          <w:spacing w:val="-102"/>
        </w:rPr>
        <w:t> </w:t>
      </w:r>
      <w:r>
        <w:rPr>
          <w:spacing w:val="-102"/>
        </w:rPr>
      </w:r>
      <w:r>
        <w:rPr>
          <w:spacing w:val="-3"/>
        </w:rPr>
        <w:t>电器有限公司法人代表、江苏苏宁易购电子商务有限公司法人代表，南京苏宁易付宝网</w:t>
      </w:r>
      <w:r>
        <w:rPr>
          <w:spacing w:val="-98"/>
        </w:rPr>
        <w:t> </w:t>
      </w:r>
      <w:r>
        <w:rPr>
          <w:spacing w:val="-98"/>
        </w:rPr>
      </w:r>
      <w:r>
        <w:rPr/>
        <w:t>络科技有限公司法人代表。</w:t>
      </w:r>
    </w:p>
    <w:p>
      <w:pPr>
        <w:pStyle w:val="BodyText"/>
        <w:spacing w:line="348" w:lineRule="auto" w:before="36"/>
        <w:ind w:right="1439" w:firstLine="480"/>
        <w:jc w:val="both"/>
      </w:pPr>
      <w:r>
        <w:rPr/>
        <w:t>孟祥胜先生 </w:t>
      </w:r>
      <w:r>
        <w:rPr>
          <w:rFonts w:ascii="Times New Roman" w:hAnsi="Times New Roman" w:cs="Times New Roman" w:eastAsia="Times New Roman" w:hint="default"/>
        </w:rPr>
        <w:t>40</w:t>
      </w:r>
      <w:r>
        <w:rPr>
          <w:rFonts w:ascii="Times New Roman" w:hAnsi="Times New Roman" w:cs="Times New Roman" w:eastAsia="Times New Roman" w:hint="default"/>
          <w:spacing w:val="22"/>
        </w:rPr>
        <w:t> </w:t>
      </w:r>
      <w:r>
        <w:rPr/>
        <w:t>岁，汉族，本科学历，曾任海尔药业浙江市场部经理、南京东方 </w:t>
      </w:r>
      <w:r>
        <w:rPr>
          <w:spacing w:val="-3"/>
        </w:rPr>
        <w:t>智业管理咨询顾问公司管理顾问，现任苏宁电器股份有限公司董事、副总裁。无在其他</w:t>
      </w:r>
      <w:r>
        <w:rPr>
          <w:spacing w:val="-102"/>
        </w:rPr>
        <w:t> </w:t>
      </w:r>
      <w:r>
        <w:rPr>
          <w:spacing w:val="-102"/>
        </w:rPr>
      </w:r>
      <w:r>
        <w:rPr/>
        <w:t>单位任职或兼职情况。</w:t>
      </w:r>
    </w:p>
    <w:p>
      <w:pPr>
        <w:pStyle w:val="BodyText"/>
        <w:tabs>
          <w:tab w:pos="1100" w:val="left" w:leader="none"/>
          <w:tab w:pos="2060" w:val="left" w:leader="none"/>
        </w:tabs>
        <w:spacing w:line="338" w:lineRule="auto" w:before="46"/>
        <w:ind w:right="1314" w:firstLine="480"/>
        <w:jc w:val="left"/>
      </w:pPr>
      <w:r>
        <w:rPr/>
        <w:t>任</w:t>
        <w:tab/>
        <w:t>峻先生</w:t>
        <w:tab/>
      </w:r>
      <w:r>
        <w:rPr>
          <w:rFonts w:ascii="Times New Roman" w:hAnsi="Times New Roman" w:cs="Times New Roman" w:eastAsia="Times New Roman" w:hint="default"/>
        </w:rPr>
        <w:t>35</w:t>
      </w:r>
      <w:r>
        <w:rPr>
          <w:rFonts w:ascii="Times New Roman" w:hAnsi="Times New Roman" w:cs="Times New Roman" w:eastAsia="Times New Roman" w:hint="default"/>
          <w:spacing w:val="-32"/>
        </w:rPr>
        <w:t> </w:t>
      </w:r>
      <w:r>
        <w:rPr/>
        <w:t>岁，汉族，本科学历，现任苏宁电器股份有限公司董事、副总裁、 董事会秘书。无在其他单位任职或兼职情况。</w:t>
      </w:r>
    </w:p>
    <w:p>
      <w:pPr>
        <w:pStyle w:val="BodyText"/>
        <w:tabs>
          <w:tab w:pos="1100" w:val="left" w:leader="none"/>
          <w:tab w:pos="2065" w:val="left" w:leader="none"/>
        </w:tabs>
        <w:spacing w:line="348" w:lineRule="auto" w:before="56"/>
        <w:ind w:right="1346" w:firstLine="480"/>
        <w:jc w:val="left"/>
      </w:pPr>
      <w:r>
        <w:rPr/>
        <w:t>李</w:t>
        <w:tab/>
        <w:t>东先生</w:t>
        <w:tab/>
      </w:r>
      <w:r>
        <w:rPr>
          <w:rFonts w:ascii="Times New Roman" w:hAnsi="Times New Roman" w:cs="Times New Roman" w:eastAsia="Times New Roman" w:hint="default"/>
        </w:rPr>
        <w:t>51 </w:t>
      </w:r>
      <w:r>
        <w:rPr>
          <w:rFonts w:ascii="Times New Roman" w:hAnsi="Times New Roman" w:cs="Times New Roman" w:eastAsia="Times New Roman" w:hint="default"/>
          <w:spacing w:val="17"/>
        </w:rPr>
        <w:t> </w:t>
      </w:r>
      <w:r>
        <w:rPr/>
        <w:t>岁，汉族，管理学博士，曾在石油部地球物理勘查局、金陵石化 等单位任职，现任江苏省注册管理顾问师协会理事长，东南大学经济管理学院副院长、 博士生导师，本公司董事。</w:t>
      </w:r>
    </w:p>
    <w:p>
      <w:pPr>
        <w:pStyle w:val="BodyText"/>
        <w:tabs>
          <w:tab w:pos="2062" w:val="left" w:leader="none"/>
        </w:tabs>
        <w:spacing w:line="348" w:lineRule="auto" w:before="46"/>
        <w:ind w:right="1346" w:firstLine="480"/>
        <w:jc w:val="left"/>
      </w:pPr>
      <w:r>
        <w:rPr/>
        <w:t>沈坤荣先生</w:t>
        <w:tab/>
      </w:r>
      <w:r>
        <w:rPr>
          <w:rFonts w:ascii="Times New Roman" w:hAnsi="Times New Roman" w:cs="Times New Roman" w:eastAsia="Times New Roman" w:hint="default"/>
        </w:rPr>
        <w:t>49 </w:t>
      </w:r>
      <w:r>
        <w:rPr>
          <w:rFonts w:ascii="Times New Roman" w:hAnsi="Times New Roman" w:cs="Times New Roman" w:eastAsia="Times New Roman" w:hint="default"/>
          <w:spacing w:val="20"/>
        </w:rPr>
        <w:t> </w:t>
      </w:r>
      <w:r>
        <w:rPr/>
        <w:t>岁，汉族，研究生学历，曾任中国社科院博士后，南京大学经济 系教授、博导，美国斯坦福大学高级研究学者，现任南京大学经济学院副院长、教授、 博导，江苏交通经济研究会会长，本公司独立董事。</w:t>
      </w:r>
    </w:p>
    <w:p>
      <w:pPr>
        <w:pStyle w:val="BodyText"/>
        <w:spacing w:line="348" w:lineRule="auto" w:before="46"/>
        <w:ind w:right="1434" w:firstLine="480"/>
        <w:jc w:val="both"/>
      </w:pPr>
      <w:r>
        <w:rPr/>
        <w:t>孙剑平先生 </w:t>
      </w:r>
      <w:r>
        <w:rPr>
          <w:rFonts w:ascii="Times New Roman" w:hAnsi="Times New Roman" w:cs="Times New Roman" w:eastAsia="Times New Roman" w:hint="default"/>
        </w:rPr>
        <w:t>59</w:t>
      </w:r>
      <w:r>
        <w:rPr>
          <w:rFonts w:ascii="Times New Roman" w:hAnsi="Times New Roman" w:cs="Times New Roman" w:eastAsia="Times New Roman" w:hint="default"/>
          <w:spacing w:val="22"/>
        </w:rPr>
        <w:t> </w:t>
      </w:r>
      <w:r>
        <w:rPr/>
        <w:t>岁，汉族，管理学博士，曾任南京理工大学经济学系主任、人文 </w:t>
      </w:r>
      <w:r>
        <w:rPr>
          <w:spacing w:val="-3"/>
        </w:rPr>
        <w:t>学院副院长，现任南京理工大学人力资源管理研究中心主任、教授、博士生导师，本公</w:t>
      </w:r>
      <w:r>
        <w:rPr>
          <w:spacing w:val="-96"/>
        </w:rPr>
        <w:t> </w:t>
      </w:r>
      <w:r>
        <w:rPr>
          <w:spacing w:val="-96"/>
        </w:rPr>
      </w:r>
      <w:r>
        <w:rPr/>
        <w:t>司独立董事。</w:t>
      </w:r>
    </w:p>
    <w:p>
      <w:pPr>
        <w:pStyle w:val="BodyText"/>
        <w:tabs>
          <w:tab w:pos="2062" w:val="left" w:leader="none"/>
        </w:tabs>
        <w:spacing w:line="338" w:lineRule="auto" w:before="46"/>
        <w:ind w:right="1439" w:firstLine="480"/>
        <w:jc w:val="left"/>
      </w:pPr>
      <w:r>
        <w:rPr/>
        <w:t>戴新民先生</w:t>
        <w:tab/>
      </w:r>
      <w:r>
        <w:rPr>
          <w:rFonts w:ascii="Times New Roman" w:hAnsi="Times New Roman" w:cs="Times New Roman" w:eastAsia="Times New Roman" w:hint="default"/>
        </w:rPr>
        <w:t>50 </w:t>
      </w:r>
      <w:r>
        <w:rPr>
          <w:rFonts w:ascii="Times New Roman" w:hAnsi="Times New Roman" w:cs="Times New Roman" w:eastAsia="Times New Roman" w:hint="default"/>
          <w:spacing w:val="20"/>
        </w:rPr>
        <w:t> </w:t>
      </w:r>
      <w:r>
        <w:rPr/>
        <w:t>岁，汉族，本科学历，注册会计师，曾任安徽工业大学管理学院 教师，现任南京理工大学经济管理学院会计系教授，本公司独立董事。</w:t>
      </w:r>
    </w:p>
    <w:p>
      <w:pPr>
        <w:pStyle w:val="BodyText"/>
        <w:spacing w:line="240" w:lineRule="auto" w:before="55"/>
        <w:ind w:left="620" w:right="1314"/>
        <w:jc w:val="left"/>
      </w:pPr>
      <w:r>
        <w:rPr/>
        <w:t>（</w:t>
      </w:r>
      <w:r>
        <w:rPr>
          <w:rFonts w:ascii="Times New Roman" w:hAnsi="Times New Roman" w:cs="Times New Roman" w:eastAsia="Times New Roman" w:hint="default"/>
        </w:rPr>
        <w:t>2</w:t>
      </w:r>
      <w:r>
        <w:rPr/>
        <w:t>）监事</w:t>
      </w:r>
    </w:p>
    <w:p>
      <w:pPr>
        <w:pStyle w:val="BodyText"/>
        <w:tabs>
          <w:tab w:pos="2009" w:val="left" w:leader="none"/>
        </w:tabs>
        <w:spacing w:line="338" w:lineRule="auto"/>
        <w:ind w:right="1438" w:firstLine="480"/>
        <w:jc w:val="left"/>
      </w:pPr>
      <w:r>
        <w:rPr>
          <w:spacing w:val="-8"/>
        </w:rPr>
        <w:t>李建颖女士</w:t>
        <w:tab/>
      </w:r>
      <w:r>
        <w:rPr>
          <w:rFonts w:ascii="Times New Roman" w:hAnsi="Times New Roman" w:cs="Times New Roman" w:eastAsia="Times New Roman" w:hint="default"/>
        </w:rPr>
        <w:t>43</w:t>
      </w:r>
      <w:r>
        <w:rPr>
          <w:rFonts w:ascii="Times New Roman" w:hAnsi="Times New Roman" w:cs="Times New Roman" w:eastAsia="Times New Roman" w:hint="default"/>
          <w:spacing w:val="18"/>
        </w:rPr>
        <w:t> </w:t>
      </w:r>
      <w:r>
        <w:rPr>
          <w:spacing w:val="-12"/>
        </w:rPr>
        <w:t>岁，汉族，本科学历，曾在南京市紫金无线电厂任职，现任苏宁电器 股份有限公司结算管理中心总监，公司监事会主席。无在其他单位任职或兼职情况。</w:t>
      </w:r>
      <w:r>
        <w:rPr/>
      </w:r>
    </w:p>
    <w:p>
      <w:pPr>
        <w:pStyle w:val="BodyText"/>
        <w:tabs>
          <w:tab w:pos="2002" w:val="left" w:leader="none"/>
        </w:tabs>
        <w:spacing w:line="338" w:lineRule="auto" w:before="55"/>
        <w:ind w:right="1312" w:firstLine="480"/>
        <w:jc w:val="left"/>
      </w:pPr>
      <w:r>
        <w:rPr>
          <w:spacing w:val="-8"/>
        </w:rPr>
        <w:t>汪晓玲女士</w:t>
        <w:tab/>
      </w:r>
      <w:r>
        <w:rPr>
          <w:rFonts w:ascii="Times New Roman" w:hAnsi="Times New Roman" w:cs="Times New Roman" w:eastAsia="Times New Roman" w:hint="default"/>
        </w:rPr>
        <w:t>39</w:t>
      </w:r>
      <w:r>
        <w:rPr>
          <w:rFonts w:ascii="Times New Roman" w:hAnsi="Times New Roman" w:cs="Times New Roman" w:eastAsia="Times New Roman" w:hint="default"/>
          <w:spacing w:val="18"/>
        </w:rPr>
        <w:t> </w:t>
      </w:r>
      <w:r>
        <w:rPr>
          <w:spacing w:val="-12"/>
        </w:rPr>
        <w:t>岁，汉族，本科学历，曾任南京新闻发展公司办公室主任，现任苏宁</w:t>
      </w:r>
      <w:r>
        <w:rPr/>
        <w:t> </w:t>
      </w:r>
      <w:r>
        <w:rPr>
          <w:spacing w:val="-12"/>
        </w:rPr>
        <w:t>电器股份有限公司财务管理中心预算中心总监、公司监事。无在其他单位任职或兼职情况。</w:t>
      </w:r>
    </w:p>
    <w:p>
      <w:pPr>
        <w:pStyle w:val="BodyText"/>
        <w:tabs>
          <w:tab w:pos="2062" w:val="left" w:leader="none"/>
        </w:tabs>
        <w:spacing w:line="240" w:lineRule="auto" w:before="55"/>
        <w:ind w:left="620" w:right="1314"/>
        <w:jc w:val="left"/>
      </w:pPr>
      <w:r>
        <w:rPr/>
        <w:t>肖忠祥先生</w:t>
        <w:tab/>
      </w:r>
      <w:r>
        <w:rPr>
          <w:rFonts w:ascii="Times New Roman" w:hAnsi="Times New Roman" w:cs="Times New Roman" w:eastAsia="Times New Roman" w:hint="default"/>
        </w:rPr>
        <w:t>41 </w:t>
      </w:r>
      <w:r>
        <w:rPr>
          <w:rFonts w:ascii="Times New Roman" w:hAnsi="Times New Roman" w:cs="Times New Roman" w:eastAsia="Times New Roman" w:hint="default"/>
          <w:spacing w:val="21"/>
        </w:rPr>
        <w:t> </w:t>
      </w:r>
      <w:r>
        <w:rPr/>
        <w:t>岁，汉族，本科学历，曾任南京无线电八厂会计、苏宁电器股份</w:t>
      </w:r>
    </w:p>
    <w:p>
      <w:pPr>
        <w:spacing w:after="0" w:line="240" w:lineRule="auto"/>
        <w:jc w:val="left"/>
        <w:sectPr>
          <w:footerReference w:type="default" r:id="rId12"/>
          <w:pgSz w:w="11910" w:h="16840"/>
          <w:pgMar w:footer="844" w:header="748" w:top="980" w:bottom="1040" w:left="1300" w:right="0"/>
          <w:pgNumType w:start="15"/>
        </w:sectPr>
      </w:pPr>
    </w:p>
    <w:p>
      <w:pPr>
        <w:spacing w:line="240" w:lineRule="auto" w:before="6"/>
        <w:rPr>
          <w:rFonts w:ascii="宋体" w:hAnsi="宋体" w:cs="宋体" w:eastAsia="宋体" w:hint="default"/>
          <w:sz w:val="29"/>
          <w:szCs w:val="29"/>
        </w:rPr>
      </w:pPr>
    </w:p>
    <w:p>
      <w:pPr>
        <w:pStyle w:val="BodyText"/>
        <w:spacing w:line="357" w:lineRule="auto" w:before="26"/>
        <w:ind w:left="240" w:right="1422"/>
        <w:jc w:val="left"/>
      </w:pPr>
      <w:r>
        <w:rPr>
          <w:spacing w:val="-3"/>
        </w:rPr>
        <w:t>有限公司财务部经理，现任公司财务服务中心总监、会计机构负责人、公司监事。无在</w:t>
      </w:r>
      <w:r>
        <w:rPr>
          <w:spacing w:val="-94"/>
        </w:rPr>
        <w:t> </w:t>
      </w:r>
      <w:r>
        <w:rPr>
          <w:spacing w:val="-94"/>
        </w:rPr>
      </w:r>
      <w:r>
        <w:rPr/>
        <w:t>其他单位任职或兼职情况。</w:t>
      </w:r>
    </w:p>
    <w:p>
      <w:pPr>
        <w:pStyle w:val="BodyText"/>
        <w:spacing w:line="240" w:lineRule="auto" w:before="36"/>
        <w:ind w:left="720" w:right="3386"/>
        <w:jc w:val="left"/>
      </w:pPr>
      <w:r>
        <w:rPr/>
        <w:t>（</w:t>
      </w:r>
      <w:r>
        <w:rPr>
          <w:rFonts w:ascii="Times New Roman" w:hAnsi="Times New Roman" w:cs="Times New Roman" w:eastAsia="Times New Roman" w:hint="default"/>
        </w:rPr>
        <w:t>3</w:t>
      </w:r>
      <w:r>
        <w:rPr/>
        <w:t>）高级管理人员</w:t>
      </w:r>
    </w:p>
    <w:p>
      <w:pPr>
        <w:pStyle w:val="BodyText"/>
        <w:tabs>
          <w:tab w:pos="1200" w:val="left" w:leader="none"/>
          <w:tab w:pos="2160" w:val="left" w:leader="none"/>
        </w:tabs>
        <w:spacing w:line="357" w:lineRule="auto"/>
        <w:ind w:left="720" w:right="5066"/>
        <w:jc w:val="left"/>
      </w:pPr>
      <w:r>
        <w:rPr/>
        <w:t>金</w:t>
        <w:tab/>
        <w:t>明先生</w:t>
        <w:tab/>
        <w:t>总裁</w:t>
      </w:r>
      <w:r>
        <w:rPr>
          <w:spacing w:val="-120"/>
        </w:rPr>
        <w:t>。</w:t>
      </w:r>
      <w:r>
        <w:rPr/>
        <w:t>（简历见前述董事介绍）</w:t>
      </w:r>
      <w:r>
        <w:rPr/>
        <w:t> 孟祥胜先生</w:t>
        <w:tab/>
        <w:t>副总裁</w:t>
      </w:r>
      <w:r>
        <w:rPr>
          <w:spacing w:val="-120"/>
        </w:rPr>
        <w:t>。</w:t>
      </w:r>
      <w:r>
        <w:rPr/>
        <w:t>（简历见前述董事介绍）</w:t>
      </w:r>
    </w:p>
    <w:p>
      <w:pPr>
        <w:pStyle w:val="BodyText"/>
        <w:tabs>
          <w:tab w:pos="1200" w:val="left" w:leader="none"/>
          <w:tab w:pos="2160" w:val="left" w:leader="none"/>
        </w:tabs>
        <w:spacing w:line="240" w:lineRule="auto" w:before="36"/>
        <w:ind w:left="720" w:right="3386"/>
        <w:jc w:val="left"/>
      </w:pPr>
      <w:r>
        <w:rPr/>
        <w:t>任</w:t>
        <w:tab/>
        <w:t>峻先生</w:t>
        <w:tab/>
        <w:t>副总裁、董事会秘书</w:t>
      </w:r>
      <w:r>
        <w:rPr>
          <w:spacing w:val="-120"/>
        </w:rPr>
        <w:t>。</w:t>
      </w:r>
      <w:r>
        <w:rPr/>
        <w:t>（简历见前述董事介绍）</w:t>
      </w:r>
    </w:p>
    <w:p>
      <w:pPr>
        <w:pStyle w:val="BodyText"/>
        <w:tabs>
          <w:tab w:pos="1200" w:val="left" w:leader="none"/>
          <w:tab w:pos="2165" w:val="left" w:leader="none"/>
        </w:tabs>
        <w:spacing w:line="338" w:lineRule="auto" w:before="154"/>
        <w:ind w:left="240" w:right="1441" w:firstLine="480"/>
        <w:jc w:val="left"/>
      </w:pPr>
      <w:r>
        <w:rPr/>
        <w:t>朱</w:t>
        <w:tab/>
        <w:t>华女士</w:t>
        <w:tab/>
      </w:r>
      <w:r>
        <w:rPr>
          <w:rFonts w:ascii="Times New Roman" w:hAnsi="Times New Roman" w:cs="Times New Roman" w:eastAsia="Times New Roman" w:hint="default"/>
        </w:rPr>
        <w:t>47 </w:t>
      </w:r>
      <w:r>
        <w:rPr>
          <w:rFonts w:ascii="Times New Roman" w:hAnsi="Times New Roman" w:cs="Times New Roman" w:eastAsia="Times New Roman" w:hint="default"/>
          <w:spacing w:val="17"/>
        </w:rPr>
        <w:t> </w:t>
      </w:r>
      <w:r>
        <w:rPr/>
        <w:t>岁，汉族，大专学历，曾任中外合作乐富来实业有限公司财务部 经理，现任公司财务负责人。无在其他单位任职或兼职情况。</w:t>
      </w:r>
    </w:p>
    <w:p>
      <w:pPr>
        <w:pStyle w:val="BodyText"/>
        <w:spacing w:line="240" w:lineRule="auto" w:before="55"/>
        <w:ind w:left="720" w:right="3386"/>
        <w:jc w:val="left"/>
      </w:pPr>
      <w:r>
        <w:rPr>
          <w:rFonts w:ascii="Times New Roman" w:hAnsi="Times New Roman" w:cs="Times New Roman" w:eastAsia="Times New Roman" w:hint="default"/>
        </w:rPr>
        <w:t>4</w:t>
      </w:r>
      <w:r>
        <w:rPr/>
        <w:t>、年度报酬情况：</w:t>
      </w:r>
    </w:p>
    <w:p>
      <w:pPr>
        <w:pStyle w:val="BodyText"/>
        <w:spacing w:line="240" w:lineRule="auto"/>
        <w:ind w:left="720" w:right="3386"/>
        <w:jc w:val="left"/>
      </w:pPr>
      <w:r>
        <w:rPr/>
        <w:t>（</w:t>
      </w:r>
      <w:r>
        <w:rPr>
          <w:rFonts w:ascii="Times New Roman" w:hAnsi="Times New Roman" w:cs="Times New Roman" w:eastAsia="Times New Roman" w:hint="default"/>
        </w:rPr>
        <w:t>1</w:t>
      </w:r>
      <w:r>
        <w:rPr/>
        <w:t>）薪酬决策程序及确定依据</w:t>
      </w:r>
    </w:p>
    <w:p>
      <w:pPr>
        <w:pStyle w:val="BodyText"/>
        <w:spacing w:line="348" w:lineRule="auto"/>
        <w:ind w:left="240" w:right="1438" w:firstLine="480"/>
        <w:jc w:val="both"/>
      </w:pPr>
      <w:r>
        <w:rPr/>
        <w:t>① 公司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spacing w:val="-4"/>
        </w:rPr>
        <w:t>年年度股东大会审议通过《关于调整公司董事、高级管理人员薪酬及</w:t>
      </w:r>
      <w:r>
        <w:rPr/>
        <w:t> </w:t>
      </w:r>
      <w:r>
        <w:rPr>
          <w:spacing w:val="-3"/>
        </w:rPr>
        <w:t>津贴的议案》及《关于调整公司监事薪酬的议案》，对公司董事、高级管理人员及公司</w:t>
      </w:r>
      <w:r>
        <w:rPr>
          <w:spacing w:val="-107"/>
        </w:rPr>
        <w:t> </w:t>
      </w:r>
      <w:r>
        <w:rPr>
          <w:spacing w:val="-107"/>
        </w:rPr>
      </w:r>
      <w:r>
        <w:rPr/>
        <w:t>监事李建颖女士、汪晓玲女士自</w:t>
      </w:r>
      <w:r>
        <w:rPr>
          <w:spacing w:val="-60"/>
        </w:rPr>
        <w:t> </w:t>
      </w:r>
      <w:r>
        <w:rPr>
          <w:rFonts w:ascii="Times New Roman" w:hAnsi="Times New Roman" w:cs="Times New Roman" w:eastAsia="Times New Roman" w:hint="default"/>
        </w:rPr>
        <w:t>2010 </w:t>
      </w:r>
      <w:r>
        <w:rPr/>
        <w:t>年起的薪酬及津贴进行调整；</w:t>
      </w:r>
    </w:p>
    <w:p>
      <w:pPr>
        <w:pStyle w:val="BodyText"/>
        <w:spacing w:line="338" w:lineRule="auto" w:before="16"/>
        <w:ind w:left="240" w:right="1422" w:firstLine="480"/>
        <w:jc w:val="left"/>
      </w:pPr>
      <w:r>
        <w:rPr/>
        <w:t>② 经公司 </w:t>
      </w:r>
      <w:r>
        <w:rPr>
          <w:rFonts w:ascii="Times New Roman" w:hAnsi="Times New Roman" w:cs="Times New Roman" w:eastAsia="Times New Roman" w:hint="default"/>
        </w:rPr>
        <w:t>2010</w:t>
      </w:r>
      <w:r>
        <w:rPr>
          <w:rFonts w:ascii="Times New Roman" w:hAnsi="Times New Roman" w:cs="Times New Roman" w:eastAsia="Times New Roman" w:hint="default"/>
          <w:spacing w:val="-38"/>
        </w:rPr>
        <w:t> </w:t>
      </w:r>
      <w:r>
        <w:rPr>
          <w:spacing w:val="-4"/>
        </w:rPr>
        <w:t>年第一次职工代表大会审议通过，对公司职工代表监事肖忠祥先生</w:t>
      </w:r>
      <w:r>
        <w:rPr/>
        <w:t> 自</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年起的薪酬及津贴进行调整。</w:t>
      </w:r>
    </w:p>
    <w:p>
      <w:pPr>
        <w:pStyle w:val="BodyText"/>
        <w:tabs>
          <w:tab w:pos="7912" w:val="left" w:leader="none"/>
        </w:tabs>
        <w:spacing w:line="338" w:lineRule="auto" w:before="27"/>
        <w:ind w:left="240" w:right="1328" w:firstLine="480"/>
        <w:jc w:val="left"/>
        <w:rPr>
          <w:sz w:val="21"/>
          <w:szCs w:val="21"/>
        </w:rPr>
      </w:pPr>
      <w:r>
        <w:rPr/>
        <w:t>（</w:t>
      </w:r>
      <w:r>
        <w:rPr>
          <w:rFonts w:ascii="Times New Roman" w:hAnsi="Times New Roman" w:cs="Times New Roman" w:eastAsia="Times New Roman" w:hint="default"/>
        </w:rPr>
        <w:t>2</w:t>
      </w:r>
      <w:r>
        <w:rPr/>
        <w:t>）报告期内，公司董事、监事、高级管理人员从公司获得的应付报酬总额（包</w:t>
      </w:r>
      <w:r>
        <w:rPr>
          <w:spacing w:val="-3"/>
        </w:rPr>
        <w:t> </w:t>
      </w:r>
      <w:r>
        <w:rPr>
          <w:spacing w:val="-4"/>
        </w:rPr>
        <w:t>括基本工资、各项奖金、福利、住房津贴及其他津贴）分别是：</w:t>
        <w:tab/>
      </w:r>
      <w:r>
        <w:rPr>
          <w:spacing w:val="-2"/>
          <w:sz w:val="21"/>
          <w:szCs w:val="21"/>
        </w:rPr>
        <w:t>（单位：万元）</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612"/>
        <w:gridCol w:w="2211"/>
        <w:gridCol w:w="2074"/>
        <w:gridCol w:w="2350"/>
      </w:tblGrid>
      <w:tr>
        <w:trPr>
          <w:trHeight w:val="847" w:hRule="exact"/>
        </w:trPr>
        <w:tc>
          <w:tcPr>
            <w:tcW w:w="261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姓名</w:t>
            </w:r>
          </w:p>
        </w:tc>
        <w:tc>
          <w:tcPr>
            <w:tcW w:w="2211"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应付报酬总额</w:t>
            </w:r>
          </w:p>
          <w:p>
            <w:pPr>
              <w:pStyle w:val="TableParagraph"/>
              <w:spacing w:line="273" w:lineRule="exact"/>
              <w:ind w:left="103" w:right="-5"/>
              <w:jc w:val="center"/>
              <w:rPr>
                <w:rFonts w:ascii="宋体" w:hAnsi="宋体" w:cs="宋体" w:eastAsia="宋体" w:hint="default"/>
                <w:sz w:val="21"/>
                <w:szCs w:val="21"/>
              </w:rPr>
            </w:pPr>
            <w:r>
              <w:rPr>
                <w:rFonts w:ascii="宋体" w:hAnsi="宋体" w:cs="宋体" w:eastAsia="宋体" w:hint="default"/>
                <w:spacing w:val="-2"/>
                <w:sz w:val="21"/>
                <w:szCs w:val="21"/>
              </w:rPr>
              <w:t>（单位：万元，税前）</w:t>
            </w:r>
          </w:p>
        </w:tc>
        <w:tc>
          <w:tcPr>
            <w:tcW w:w="2074" w:type="dxa"/>
            <w:tcBorders>
              <w:top w:val="single" w:sz="12" w:space="0" w:color="000000"/>
              <w:left w:val="single" w:sz="4" w:space="0" w:color="000000"/>
              <w:bottom w:val="single" w:sz="4" w:space="0" w:color="000000"/>
              <w:right w:val="single" w:sz="4" w:space="0" w:color="000000"/>
            </w:tcBorders>
          </w:tcPr>
          <w:p>
            <w:pPr>
              <w:pStyle w:val="TableParagraph"/>
              <w:spacing w:line="248" w:lineRule="exact"/>
              <w:ind w:left="400" w:right="0" w:firstLine="52"/>
              <w:jc w:val="left"/>
              <w:rPr>
                <w:rFonts w:ascii="宋体" w:hAnsi="宋体" w:cs="宋体" w:eastAsia="宋体" w:hint="default"/>
                <w:sz w:val="21"/>
                <w:szCs w:val="21"/>
              </w:rPr>
            </w:pPr>
            <w:r>
              <w:rPr>
                <w:rFonts w:ascii="宋体" w:hAnsi="宋体" w:cs="宋体" w:eastAsia="宋体" w:hint="default"/>
                <w:sz w:val="21"/>
                <w:szCs w:val="21"/>
              </w:rPr>
              <w:t>较</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pStyle w:val="TableParagraph"/>
              <w:spacing w:line="274" w:lineRule="exact" w:before="17"/>
              <w:ind w:left="611" w:right="398" w:hanging="212"/>
              <w:jc w:val="left"/>
              <w:rPr>
                <w:rFonts w:ascii="宋体" w:hAnsi="宋体" w:cs="宋体" w:eastAsia="宋体" w:hint="default"/>
                <w:sz w:val="21"/>
                <w:szCs w:val="21"/>
              </w:rPr>
            </w:pPr>
            <w:r>
              <w:rPr>
                <w:rFonts w:ascii="宋体" w:hAnsi="宋体" w:cs="宋体" w:eastAsia="宋体" w:hint="default"/>
                <w:sz w:val="21"/>
                <w:szCs w:val="21"/>
              </w:rPr>
              <w:t>应付报酬总额</w:t>
            </w:r>
            <w:r>
              <w:rPr>
                <w:rFonts w:ascii="宋体" w:hAnsi="宋体" w:cs="宋体" w:eastAsia="宋体" w:hint="default"/>
                <w:w w:val="100"/>
                <w:sz w:val="21"/>
                <w:szCs w:val="21"/>
              </w:rPr>
              <w:t> </w:t>
            </w:r>
            <w:r>
              <w:rPr>
                <w:rFonts w:ascii="宋体" w:hAnsi="宋体" w:cs="宋体" w:eastAsia="宋体" w:hint="default"/>
                <w:sz w:val="21"/>
                <w:szCs w:val="21"/>
              </w:rPr>
              <w:t>增减变动</w:t>
            </w:r>
          </w:p>
        </w:tc>
        <w:tc>
          <w:tcPr>
            <w:tcW w:w="23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7"/>
              <w:ind w:left="329" w:right="105" w:hanging="209"/>
              <w:jc w:val="left"/>
              <w:rPr>
                <w:rFonts w:ascii="宋体" w:hAnsi="宋体" w:cs="宋体" w:eastAsia="宋体" w:hint="default"/>
                <w:sz w:val="21"/>
                <w:szCs w:val="21"/>
              </w:rPr>
            </w:pPr>
            <w:r>
              <w:rPr>
                <w:rFonts w:ascii="宋体" w:hAnsi="宋体" w:cs="宋体" w:eastAsia="宋体" w:hint="default"/>
                <w:sz w:val="21"/>
                <w:szCs w:val="21"/>
              </w:rPr>
              <w:t>是否在股东单位或其他</w:t>
            </w:r>
            <w:r>
              <w:rPr>
                <w:rFonts w:ascii="宋体" w:hAnsi="宋体" w:cs="宋体" w:eastAsia="宋体" w:hint="default"/>
                <w:w w:val="100"/>
                <w:sz w:val="21"/>
                <w:szCs w:val="21"/>
              </w:rPr>
              <w:t> </w:t>
            </w:r>
            <w:r>
              <w:rPr>
                <w:rFonts w:ascii="宋体" w:hAnsi="宋体" w:cs="宋体" w:eastAsia="宋体" w:hint="default"/>
                <w:sz w:val="21"/>
                <w:szCs w:val="21"/>
              </w:rPr>
              <w:t>关联单位领取薪酬</w:t>
            </w:r>
          </w:p>
        </w:tc>
      </w:tr>
      <w:tr>
        <w:trPr>
          <w:trHeight w:val="338"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张近东</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180.00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孙为民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100.00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金</w:t>
              <w:tab/>
              <w:t>明</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8"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孟祥胜</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80.00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60.00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李</w:t>
              <w:tab/>
              <w:t>东</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8"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沈坤荣</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孙剑平</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戴新民</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8.00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8"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李建颖</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30.00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汪晓玲</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15.00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1"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肖忠祥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15.00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8" w:hRule="exact"/>
        </w:trPr>
        <w:tc>
          <w:tcPr>
            <w:tcW w:w="2612" w:type="dxa"/>
            <w:tcBorders>
              <w:top w:val="single" w:sz="4" w:space="0" w:color="000000"/>
              <w:left w:val="single" w:sz="12" w:space="0" w:color="000000"/>
              <w:bottom w:val="single" w:sz="4" w:space="0" w:color="000000"/>
              <w:right w:val="single" w:sz="4" w:space="0" w:color="000000"/>
            </w:tcBorders>
          </w:tcPr>
          <w:p>
            <w:pPr>
              <w:pStyle w:val="TableParagraph"/>
              <w:tabs>
                <w:tab w:pos="422" w:val="left" w:leader="none"/>
              </w:tabs>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朱</w:t>
              <w:tab/>
              <w:t>华</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30.00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4"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2612" w:type="dxa"/>
            <w:tcBorders>
              <w:top w:val="single" w:sz="4" w:space="0" w:color="000000"/>
              <w:left w:val="single" w:sz="12" w:space="0" w:color="000000"/>
              <w:bottom w:val="single" w:sz="12" w:space="0" w:color="000000"/>
              <w:right w:val="single" w:sz="4" w:space="0" w:color="000000"/>
            </w:tcBorders>
          </w:tcPr>
          <w:p>
            <w:pPr>
              <w:pStyle w:val="TableParagraph"/>
              <w:tabs>
                <w:tab w:pos="422" w:val="left" w:leader="none"/>
              </w:tabs>
              <w:spacing w:line="270" w:lineRule="exact"/>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622.00</w:t>
            </w:r>
          </w:p>
        </w:tc>
        <w:tc>
          <w:tcPr>
            <w:tcW w:w="20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w w:val="100"/>
                <w:sz w:val="21"/>
              </w:rPr>
              <w:t>0</w:t>
            </w:r>
          </w:p>
        </w:tc>
        <w:tc>
          <w:tcPr>
            <w:tcW w:w="2350" w:type="dxa"/>
            <w:tcBorders>
              <w:top w:val="single" w:sz="4" w:space="0" w:color="000000"/>
              <w:left w:val="single" w:sz="4" w:space="0" w:color="000000"/>
              <w:bottom w:val="single" w:sz="12" w:space="0" w:color="000000"/>
              <w:right w:val="single" w:sz="12"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70" w:lineRule="exact"/>
        <w:jc w:val="center"/>
        <w:rPr>
          <w:rFonts w:ascii="宋体" w:hAnsi="宋体" w:cs="宋体" w:eastAsia="宋体" w:hint="default"/>
          <w:sz w:val="21"/>
          <w:szCs w:val="21"/>
        </w:rPr>
        <w:sectPr>
          <w:pgSz w:w="11910" w:h="16840"/>
          <w:pgMar w:header="748" w:footer="844" w:top="980" w:bottom="1040" w:left="1200" w:right="0"/>
        </w:sectPr>
      </w:pPr>
    </w:p>
    <w:p>
      <w:pPr>
        <w:spacing w:line="240" w:lineRule="auto" w:before="6"/>
        <w:rPr>
          <w:rFonts w:ascii="宋体" w:hAnsi="宋体" w:cs="宋体" w:eastAsia="宋体" w:hint="default"/>
          <w:sz w:val="29"/>
          <w:szCs w:val="29"/>
        </w:rPr>
      </w:pPr>
    </w:p>
    <w:p>
      <w:pPr>
        <w:pStyle w:val="BodyText"/>
        <w:spacing w:line="240" w:lineRule="auto" w:before="26"/>
        <w:ind w:left="720" w:right="1422"/>
        <w:jc w:val="left"/>
      </w:pPr>
      <w:r>
        <w:rPr>
          <w:rFonts w:ascii="Times New Roman" w:hAnsi="Times New Roman" w:cs="Times New Roman" w:eastAsia="Times New Roman" w:hint="default"/>
        </w:rPr>
        <w:t>5</w:t>
      </w:r>
      <w:r>
        <w:rPr/>
        <w:t>、报告期内董事、监事、高级管理人员获授股票期权及相关行权情况</w:t>
      </w:r>
    </w:p>
    <w:p>
      <w:pPr>
        <w:pStyle w:val="BodyText"/>
        <w:spacing w:line="240" w:lineRule="auto"/>
        <w:ind w:left="720" w:right="3386"/>
        <w:jc w:val="left"/>
      </w:pPr>
      <w:r>
        <w:rPr/>
        <w:t>（</w:t>
      </w:r>
      <w:r>
        <w:rPr>
          <w:rFonts w:ascii="Times New Roman" w:hAnsi="Times New Roman" w:cs="Times New Roman" w:eastAsia="Times New Roman" w:hint="default"/>
        </w:rPr>
        <w:t>1</w:t>
      </w:r>
      <w:r>
        <w:rPr/>
        <w:t>）授予数量股票</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29"/>
        <w:gridCol w:w="1039"/>
        <w:gridCol w:w="2720"/>
        <w:gridCol w:w="1488"/>
        <w:gridCol w:w="1793"/>
        <w:gridCol w:w="1548"/>
      </w:tblGrid>
      <w:tr>
        <w:trPr>
          <w:trHeight w:val="871" w:hRule="exact"/>
        </w:trPr>
        <w:tc>
          <w:tcPr>
            <w:tcW w:w="62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9"/>
              <w:ind w:left="194" w:right="203"/>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0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tabs>
                <w:tab w:pos="1618" w:val="left" w:leader="none"/>
              </w:tabs>
              <w:spacing w:line="240" w:lineRule="auto"/>
              <w:ind w:left="881" w:right="0"/>
              <w:jc w:val="left"/>
              <w:rPr>
                <w:rFonts w:ascii="宋体" w:hAnsi="宋体" w:cs="宋体" w:eastAsia="宋体" w:hint="default"/>
                <w:sz w:val="21"/>
                <w:szCs w:val="21"/>
              </w:rPr>
            </w:pPr>
            <w:r>
              <w:rPr>
                <w:rFonts w:ascii="宋体" w:hAnsi="宋体" w:cs="宋体" w:eastAsia="宋体" w:hint="default"/>
                <w:b/>
                <w:bCs/>
                <w:sz w:val="21"/>
                <w:szCs w:val="21"/>
              </w:rPr>
              <w:t>职</w:t>
              <w:tab/>
              <w:t>务</w:t>
            </w:r>
            <w:r>
              <w:rPr>
                <w:rFonts w:ascii="宋体" w:hAnsi="宋体" w:cs="宋体" w:eastAsia="宋体" w:hint="default"/>
                <w:sz w:val="21"/>
                <w:szCs w:val="21"/>
              </w:rPr>
            </w:r>
          </w:p>
        </w:tc>
        <w:tc>
          <w:tcPr>
            <w:tcW w:w="148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8"/>
              <w:ind w:left="528" w:right="314" w:hanging="209"/>
              <w:jc w:val="left"/>
              <w:rPr>
                <w:rFonts w:ascii="宋体" w:hAnsi="宋体" w:cs="宋体" w:eastAsia="宋体" w:hint="default"/>
                <w:sz w:val="21"/>
                <w:szCs w:val="21"/>
              </w:rPr>
            </w:pPr>
            <w:r>
              <w:rPr>
                <w:rFonts w:ascii="宋体" w:hAnsi="宋体" w:cs="宋体" w:eastAsia="宋体" w:hint="default"/>
                <w:b/>
                <w:bCs/>
                <w:sz w:val="21"/>
                <w:szCs w:val="21"/>
              </w:rPr>
              <w:t>获授期权</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p>
            <w:pPr>
              <w:pStyle w:val="TableParagraph"/>
              <w:spacing w:line="248"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（万份）</w:t>
            </w:r>
            <w:r>
              <w:rPr>
                <w:rFonts w:ascii="宋体" w:hAnsi="宋体" w:cs="宋体" w:eastAsia="宋体" w:hint="default"/>
                <w:sz w:val="21"/>
                <w:szCs w:val="21"/>
              </w:rPr>
            </w:r>
          </w:p>
        </w:tc>
        <w:tc>
          <w:tcPr>
            <w:tcW w:w="1793"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8"/>
              <w:ind w:left="153" w:right="154"/>
              <w:jc w:val="both"/>
              <w:rPr>
                <w:rFonts w:ascii="宋体" w:hAnsi="宋体" w:cs="宋体" w:eastAsia="宋体" w:hint="default"/>
                <w:sz w:val="21"/>
                <w:szCs w:val="21"/>
              </w:rPr>
            </w:pPr>
            <w:r>
              <w:rPr>
                <w:rFonts w:ascii="宋体" w:hAnsi="宋体" w:cs="宋体" w:eastAsia="宋体" w:hint="default"/>
                <w:b/>
                <w:bCs/>
                <w:sz w:val="21"/>
                <w:szCs w:val="21"/>
              </w:rPr>
              <w:t>期权数量占本激</w:t>
            </w:r>
            <w:r>
              <w:rPr>
                <w:rFonts w:ascii="宋体" w:hAnsi="宋体" w:cs="宋体" w:eastAsia="宋体" w:hint="default"/>
                <w:b/>
                <w:bCs/>
                <w:w w:val="100"/>
                <w:sz w:val="21"/>
                <w:szCs w:val="21"/>
              </w:rPr>
              <w:t> </w:t>
            </w:r>
            <w:r>
              <w:rPr>
                <w:rFonts w:ascii="宋体" w:hAnsi="宋体" w:cs="宋体" w:eastAsia="宋体" w:hint="default"/>
                <w:b/>
                <w:bCs/>
                <w:sz w:val="21"/>
                <w:szCs w:val="21"/>
              </w:rPr>
              <w:t>励计划期权总量</w:t>
            </w:r>
            <w:r>
              <w:rPr>
                <w:rFonts w:ascii="宋体" w:hAnsi="宋体" w:cs="宋体" w:eastAsia="宋体" w:hint="default"/>
                <w:b/>
                <w:bCs/>
                <w:w w:val="100"/>
                <w:sz w:val="21"/>
                <w:szCs w:val="21"/>
              </w:rPr>
              <w:t> </w:t>
            </w:r>
            <w:r>
              <w:rPr>
                <w:rFonts w:ascii="宋体" w:hAnsi="宋体" w:cs="宋体" w:eastAsia="宋体" w:hint="default"/>
                <w:b/>
                <w:bCs/>
                <w:sz w:val="21"/>
                <w:szCs w:val="21"/>
              </w:rPr>
              <w:t>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48"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before="8"/>
              <w:ind w:left="103" w:right="-13" w:firstLine="33"/>
              <w:jc w:val="left"/>
              <w:rPr>
                <w:rFonts w:ascii="宋体" w:hAnsi="宋体" w:cs="宋体" w:eastAsia="宋体" w:hint="default"/>
                <w:sz w:val="21"/>
                <w:szCs w:val="21"/>
              </w:rPr>
            </w:pPr>
            <w:r>
              <w:rPr>
                <w:rFonts w:ascii="宋体" w:hAnsi="宋体" w:cs="宋体" w:eastAsia="宋体" w:hint="default"/>
                <w:b/>
                <w:bCs/>
                <w:sz w:val="21"/>
                <w:szCs w:val="21"/>
              </w:rPr>
              <w:t>标的股票占授</w:t>
            </w:r>
            <w:r>
              <w:rPr>
                <w:rFonts w:ascii="宋体" w:hAnsi="宋体" w:cs="宋体" w:eastAsia="宋体" w:hint="default"/>
                <w:b/>
                <w:bCs/>
                <w:w w:val="100"/>
                <w:sz w:val="21"/>
                <w:szCs w:val="21"/>
              </w:rPr>
              <w:t> </w:t>
            </w:r>
            <w:r>
              <w:rPr>
                <w:rFonts w:ascii="宋体" w:hAnsi="宋体" w:cs="宋体" w:eastAsia="宋体" w:hint="default"/>
                <w:b/>
                <w:bCs/>
                <w:sz w:val="21"/>
                <w:szCs w:val="21"/>
              </w:rPr>
              <w:t>予时公司总股</w:t>
            </w:r>
            <w:r>
              <w:rPr>
                <w:rFonts w:ascii="宋体" w:hAnsi="宋体" w:cs="宋体" w:eastAsia="宋体" w:hint="default"/>
                <w:b/>
                <w:bCs/>
                <w:w w:val="100"/>
                <w:sz w:val="21"/>
                <w:szCs w:val="21"/>
              </w:rPr>
              <w:t> </w:t>
            </w:r>
            <w:r>
              <w:rPr>
                <w:rFonts w:ascii="宋体" w:hAnsi="宋体" w:cs="宋体" w:eastAsia="宋体" w:hint="default"/>
                <w:b/>
                <w:bCs/>
                <w:spacing w:val="-7"/>
                <w:sz w:val="21"/>
                <w:szCs w:val="21"/>
              </w:rPr>
              <w:t>本的比例（</w:t>
            </w:r>
            <w:r>
              <w:rPr>
                <w:rFonts w:ascii="Times New Roman" w:hAnsi="Times New Roman" w:cs="Times New Roman" w:eastAsia="Times New Roman" w:hint="default"/>
                <w:b/>
                <w:bCs/>
                <w:spacing w:val="-7"/>
                <w:sz w:val="21"/>
                <w:szCs w:val="21"/>
              </w:rPr>
              <w:t>%</w:t>
            </w:r>
            <w:r>
              <w:rPr>
                <w:rFonts w:ascii="宋体" w:hAnsi="宋体" w:cs="宋体" w:eastAsia="宋体" w:hint="default"/>
                <w:b/>
                <w:bCs/>
                <w:spacing w:val="-7"/>
                <w:sz w:val="21"/>
                <w:szCs w:val="21"/>
              </w:rPr>
              <w:t>）</w:t>
            </w:r>
            <w:r>
              <w:rPr>
                <w:rFonts w:ascii="宋体" w:hAnsi="宋体" w:cs="宋体" w:eastAsia="宋体" w:hint="default"/>
                <w:spacing w:val="-7"/>
                <w:sz w:val="21"/>
                <w:szCs w:val="21"/>
              </w:rPr>
            </w:r>
          </w:p>
        </w:tc>
      </w:tr>
      <w:tr>
        <w:trPr>
          <w:trHeight w:val="384"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47" w:right="0"/>
              <w:jc w:val="left"/>
              <w:rPr>
                <w:rFonts w:ascii="Times New Roman" w:hAnsi="Times New Roman" w:cs="Times New Roman" w:eastAsia="Times New Roman" w:hint="default"/>
                <w:sz w:val="21"/>
                <w:szCs w:val="21"/>
              </w:rPr>
            </w:pPr>
            <w:r>
              <w:rPr>
                <w:rFonts w:ascii="Times New Roman"/>
                <w:w w:val="100"/>
                <w:sz w:val="21"/>
              </w:rPr>
              <w:t>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孙为民</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1" w:right="0"/>
              <w:jc w:val="left"/>
              <w:rPr>
                <w:rFonts w:ascii="Times New Roman" w:hAnsi="Times New Roman" w:cs="Times New Roman" w:eastAsia="Times New Roman" w:hint="default"/>
                <w:sz w:val="21"/>
                <w:szCs w:val="21"/>
              </w:rPr>
            </w:pPr>
            <w:r>
              <w:rPr>
                <w:rFonts w:ascii="Times New Roman"/>
                <w:sz w:val="21"/>
              </w:rPr>
              <w:t>300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3.5423%</w:t>
            </w:r>
          </w:p>
        </w:tc>
        <w:tc>
          <w:tcPr>
            <w:tcW w:w="15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391" w:right="0"/>
              <w:jc w:val="left"/>
              <w:rPr>
                <w:rFonts w:ascii="Times New Roman" w:hAnsi="Times New Roman" w:cs="Times New Roman" w:eastAsia="Times New Roman" w:hint="default"/>
                <w:sz w:val="21"/>
                <w:szCs w:val="21"/>
              </w:rPr>
            </w:pPr>
            <w:r>
              <w:rPr>
                <w:rFonts w:ascii="Times New Roman"/>
                <w:sz w:val="21"/>
              </w:rPr>
              <w:t>0.0429%</w:t>
            </w:r>
          </w:p>
        </w:tc>
      </w:tr>
      <w:tr>
        <w:trPr>
          <w:trHeight w:val="386"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3"/>
              <w:ind w:left="247" w:right="0"/>
              <w:jc w:val="left"/>
              <w:rPr>
                <w:rFonts w:ascii="Times New Roman" w:hAnsi="Times New Roman" w:cs="Times New Roman" w:eastAsia="Times New Roman" w:hint="default"/>
                <w:sz w:val="21"/>
                <w:szCs w:val="21"/>
              </w:rPr>
            </w:pPr>
            <w:r>
              <w:rPr>
                <w:rFonts w:ascii="Times New Roman"/>
                <w:w w:val="100"/>
                <w:sz w:val="21"/>
              </w:rPr>
              <w:t>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金</w:t>
              <w:tab/>
              <w:t>明</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1" w:right="0"/>
              <w:jc w:val="left"/>
              <w:rPr>
                <w:rFonts w:ascii="Times New Roman" w:hAnsi="Times New Roman" w:cs="Times New Roman" w:eastAsia="Times New Roman" w:hint="default"/>
                <w:sz w:val="21"/>
                <w:szCs w:val="21"/>
              </w:rPr>
            </w:pPr>
            <w:r>
              <w:rPr>
                <w:rFonts w:ascii="Times New Roman"/>
                <w:sz w:val="21"/>
              </w:rPr>
              <w:t>300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3.5423%</w:t>
            </w:r>
          </w:p>
        </w:tc>
        <w:tc>
          <w:tcPr>
            <w:tcW w:w="15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left="391" w:right="0"/>
              <w:jc w:val="left"/>
              <w:rPr>
                <w:rFonts w:ascii="Times New Roman" w:hAnsi="Times New Roman" w:cs="Times New Roman" w:eastAsia="Times New Roman" w:hint="default"/>
                <w:sz w:val="21"/>
                <w:szCs w:val="21"/>
              </w:rPr>
            </w:pPr>
            <w:r>
              <w:rPr>
                <w:rFonts w:ascii="Times New Roman"/>
                <w:sz w:val="21"/>
              </w:rPr>
              <w:t>0.0429%</w:t>
            </w:r>
          </w:p>
        </w:tc>
      </w:tr>
      <w:tr>
        <w:trPr>
          <w:trHeight w:val="384"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47" w:right="0"/>
              <w:jc w:val="left"/>
              <w:rPr>
                <w:rFonts w:ascii="Times New Roman" w:hAnsi="Times New Roman" w:cs="Times New Roman" w:eastAsia="Times New Roman" w:hint="default"/>
                <w:sz w:val="21"/>
                <w:szCs w:val="21"/>
              </w:rPr>
            </w:pPr>
            <w:r>
              <w:rPr>
                <w:rFonts w:ascii="Times New Roman"/>
                <w:w w:val="100"/>
                <w:sz w:val="21"/>
              </w:rPr>
              <w:t>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孟祥胜</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1" w:right="0"/>
              <w:jc w:val="left"/>
              <w:rPr>
                <w:rFonts w:ascii="Times New Roman" w:hAnsi="Times New Roman" w:cs="Times New Roman" w:eastAsia="Times New Roman" w:hint="default"/>
                <w:sz w:val="21"/>
                <w:szCs w:val="21"/>
              </w:rPr>
            </w:pPr>
            <w:r>
              <w:rPr>
                <w:rFonts w:ascii="Times New Roman"/>
                <w:sz w:val="21"/>
              </w:rPr>
              <w:t>280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3.3062%</w:t>
            </w:r>
          </w:p>
        </w:tc>
        <w:tc>
          <w:tcPr>
            <w:tcW w:w="15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391" w:right="0"/>
              <w:jc w:val="left"/>
              <w:rPr>
                <w:rFonts w:ascii="Times New Roman" w:hAnsi="Times New Roman" w:cs="Times New Roman" w:eastAsia="Times New Roman" w:hint="default"/>
                <w:sz w:val="21"/>
                <w:szCs w:val="21"/>
              </w:rPr>
            </w:pPr>
            <w:r>
              <w:rPr>
                <w:rFonts w:ascii="Times New Roman"/>
                <w:sz w:val="21"/>
              </w:rPr>
              <w:t>0.0400%</w:t>
            </w:r>
          </w:p>
        </w:tc>
      </w:tr>
      <w:tr>
        <w:trPr>
          <w:trHeight w:val="387" w:hRule="exact"/>
        </w:trPr>
        <w:tc>
          <w:tcPr>
            <w:tcW w:w="62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47" w:right="0"/>
              <w:jc w:val="left"/>
              <w:rPr>
                <w:rFonts w:ascii="Times New Roman" w:hAnsi="Times New Roman" w:cs="Times New Roman" w:eastAsia="Times New Roman" w:hint="default"/>
                <w:sz w:val="21"/>
                <w:szCs w:val="21"/>
              </w:rPr>
            </w:pPr>
            <w:r>
              <w:rPr>
                <w:rFonts w:ascii="Times New Roman"/>
                <w:w w:val="100"/>
                <w:sz w:val="21"/>
              </w:rPr>
              <w:t>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任</w:t>
              <w:tab/>
              <w:t>峻</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董事、副总裁、董事会秘书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1" w:right="0"/>
              <w:jc w:val="left"/>
              <w:rPr>
                <w:rFonts w:ascii="Times New Roman" w:hAnsi="Times New Roman" w:cs="Times New Roman" w:eastAsia="Times New Roman" w:hint="default"/>
                <w:sz w:val="21"/>
                <w:szCs w:val="21"/>
              </w:rPr>
            </w:pPr>
            <w:r>
              <w:rPr>
                <w:rFonts w:ascii="Times New Roman"/>
                <w:sz w:val="21"/>
              </w:rPr>
              <w:t>280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3.3062%</w:t>
            </w:r>
          </w:p>
        </w:tc>
        <w:tc>
          <w:tcPr>
            <w:tcW w:w="15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391" w:right="0"/>
              <w:jc w:val="left"/>
              <w:rPr>
                <w:rFonts w:ascii="Times New Roman" w:hAnsi="Times New Roman" w:cs="Times New Roman" w:eastAsia="Times New Roman" w:hint="default"/>
                <w:sz w:val="21"/>
                <w:szCs w:val="21"/>
              </w:rPr>
            </w:pPr>
            <w:r>
              <w:rPr>
                <w:rFonts w:ascii="Times New Roman"/>
                <w:sz w:val="21"/>
              </w:rPr>
              <w:t>0.0400%</w:t>
            </w:r>
          </w:p>
        </w:tc>
      </w:tr>
      <w:tr>
        <w:trPr>
          <w:trHeight w:val="396" w:hRule="exact"/>
        </w:trPr>
        <w:tc>
          <w:tcPr>
            <w:tcW w:w="62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left="247" w:right="0"/>
              <w:jc w:val="left"/>
              <w:rPr>
                <w:rFonts w:ascii="Times New Roman" w:hAnsi="Times New Roman" w:cs="Times New Roman" w:eastAsia="Times New Roman" w:hint="default"/>
                <w:sz w:val="21"/>
                <w:szCs w:val="21"/>
              </w:rPr>
            </w:pPr>
            <w:r>
              <w:rPr>
                <w:rFonts w:ascii="Times New Roman"/>
                <w:w w:val="100"/>
                <w:sz w:val="21"/>
              </w:rPr>
              <w:t>5</w:t>
            </w:r>
          </w:p>
        </w:tc>
        <w:tc>
          <w:tcPr>
            <w:tcW w:w="1039" w:type="dxa"/>
            <w:tcBorders>
              <w:top w:val="single" w:sz="4" w:space="0" w:color="000000"/>
              <w:left w:val="single" w:sz="4" w:space="0" w:color="000000"/>
              <w:bottom w:val="single" w:sz="12" w:space="0" w:color="000000"/>
              <w:right w:val="single" w:sz="4" w:space="0" w:color="000000"/>
            </w:tcBorders>
          </w:tcPr>
          <w:p>
            <w:pPr>
              <w:pStyle w:val="TableParagraph"/>
              <w:tabs>
                <w:tab w:pos="424" w:val="left" w:leader="none"/>
              </w:tabs>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朱</w:t>
              <w:tab/>
              <w:t>华</w:t>
            </w:r>
          </w:p>
        </w:tc>
        <w:tc>
          <w:tcPr>
            <w:tcW w:w="2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633" w:right="0"/>
              <w:jc w:val="left"/>
              <w:rPr>
                <w:rFonts w:ascii="Times New Roman" w:hAnsi="Times New Roman" w:cs="Times New Roman" w:eastAsia="Times New Roman" w:hint="default"/>
                <w:sz w:val="21"/>
                <w:szCs w:val="21"/>
              </w:rPr>
            </w:pPr>
            <w:r>
              <w:rPr>
                <w:rFonts w:ascii="Times New Roman"/>
                <w:sz w:val="21"/>
              </w:rPr>
              <w:t>50</w:t>
            </w:r>
          </w:p>
        </w:tc>
        <w:tc>
          <w:tcPr>
            <w:tcW w:w="17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0.5904%</w:t>
            </w:r>
          </w:p>
        </w:tc>
        <w:tc>
          <w:tcPr>
            <w:tcW w:w="15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left="391" w:right="0"/>
              <w:jc w:val="left"/>
              <w:rPr>
                <w:rFonts w:ascii="Times New Roman" w:hAnsi="Times New Roman" w:cs="Times New Roman" w:eastAsia="Times New Roman" w:hint="default"/>
                <w:sz w:val="21"/>
                <w:szCs w:val="21"/>
              </w:rPr>
            </w:pPr>
            <w:r>
              <w:rPr>
                <w:rFonts w:ascii="Times New Roman"/>
                <w:sz w:val="21"/>
              </w:rPr>
              <w:t>0.0071%</w:t>
            </w:r>
          </w:p>
        </w:tc>
      </w:tr>
    </w:tbl>
    <w:p>
      <w:pPr>
        <w:pStyle w:val="BodyText"/>
        <w:spacing w:line="292" w:lineRule="exact" w:before="0"/>
        <w:ind w:left="720" w:right="3386"/>
        <w:jc w:val="left"/>
      </w:pPr>
      <w:r>
        <w:rPr/>
        <w:t>（</w:t>
      </w:r>
      <w:r>
        <w:rPr>
          <w:rFonts w:ascii="Times New Roman" w:hAnsi="Times New Roman" w:cs="Times New Roman" w:eastAsia="Times New Roman" w:hint="default"/>
        </w:rPr>
        <w:t>2</w:t>
      </w:r>
      <w:r>
        <w:rPr/>
        <w:t>）股票期权的授权日：</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pStyle w:val="BodyText"/>
        <w:spacing w:line="240" w:lineRule="auto"/>
        <w:ind w:left="720" w:right="3386"/>
        <w:jc w:val="left"/>
      </w:pPr>
      <w:r>
        <w:rPr/>
        <w:t>（</w:t>
      </w:r>
      <w:r>
        <w:rPr>
          <w:rFonts w:ascii="Times New Roman" w:hAnsi="Times New Roman" w:cs="Times New Roman" w:eastAsia="Times New Roman" w:hint="default"/>
        </w:rPr>
        <w:t>3</w:t>
      </w:r>
      <w:r>
        <w:rPr/>
        <w:t>）股票期权的行权价格：</w:t>
      </w:r>
      <w:r>
        <w:rPr>
          <w:rFonts w:ascii="Times New Roman" w:hAnsi="Times New Roman" w:cs="Times New Roman" w:eastAsia="Times New Roman" w:hint="default"/>
        </w:rPr>
        <w:t>14.40</w:t>
      </w:r>
      <w:r>
        <w:rPr>
          <w:rFonts w:ascii="Times New Roman" w:hAnsi="Times New Roman" w:cs="Times New Roman" w:eastAsia="Times New Roman" w:hint="default"/>
          <w:spacing w:val="-1"/>
        </w:rPr>
        <w:t> </w:t>
      </w:r>
      <w:r>
        <w:rPr/>
        <w:t>元</w:t>
      </w:r>
    </w:p>
    <w:p>
      <w:pPr>
        <w:pStyle w:val="BodyText"/>
        <w:spacing w:line="338" w:lineRule="auto"/>
        <w:ind w:left="720" w:right="3729"/>
        <w:jc w:val="left"/>
      </w:pPr>
      <w:r>
        <w:rPr/>
        <w:t>（</w:t>
      </w:r>
      <w:r>
        <w:rPr>
          <w:rFonts w:ascii="Times New Roman" w:hAnsi="Times New Roman" w:cs="Times New Roman" w:eastAsia="Times New Roman" w:hint="default"/>
        </w:rPr>
        <w:t>4</w:t>
      </w:r>
      <w:r>
        <w:rPr/>
        <w:t>）报告期内，上述获授的股票期权均未行权。 </w:t>
      </w:r>
      <w:r>
        <w:rPr>
          <w:rFonts w:ascii="Times New Roman" w:hAnsi="Times New Roman" w:cs="Times New Roman" w:eastAsia="Times New Roman" w:hint="default"/>
        </w:rPr>
        <w:t>6</w:t>
      </w:r>
      <w:r>
        <w:rPr/>
        <w:t>、报告期内，</w:t>
      </w:r>
      <w:r>
        <w:rPr>
          <w:spacing w:val="-1"/>
        </w:rPr>
        <w:t> </w:t>
      </w:r>
      <w:r>
        <w:rPr/>
        <w:t>公司董事、监事和高级管理人员无变动情况 二、公司员工情况</w:t>
      </w:r>
    </w:p>
    <w:p>
      <w:pPr>
        <w:pStyle w:val="BodyText"/>
        <w:spacing w:line="240" w:lineRule="auto" w:before="55"/>
        <w:ind w:left="720" w:right="1422"/>
        <w:jc w:val="left"/>
      </w:pPr>
      <w:r>
        <w:rPr>
          <w:rFonts w:ascii="Times New Roman" w:hAnsi="Times New Roman" w:cs="Times New Roman" w:eastAsia="Times New Roman" w:hint="default"/>
        </w:rPr>
        <w:t>1</w:t>
      </w:r>
      <w:r>
        <w:rPr/>
        <w:t>、截止到</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日，公司母公司共有在册员工</w:t>
      </w:r>
      <w:r>
        <w:rPr>
          <w:spacing w:val="-60"/>
        </w:rPr>
        <w:t> </w:t>
      </w:r>
      <w:r>
        <w:rPr>
          <w:rFonts w:ascii="Times New Roman" w:hAnsi="Times New Roman" w:cs="Times New Roman" w:eastAsia="Times New Roman" w:hint="default"/>
        </w:rPr>
        <w:t>7751 </w:t>
      </w:r>
      <w:r>
        <w:rPr/>
        <w:t>名。</w:t>
      </w:r>
    </w:p>
    <w:p>
      <w:pPr>
        <w:pStyle w:val="BodyText"/>
        <w:spacing w:line="240" w:lineRule="auto" w:before="136"/>
        <w:ind w:left="720" w:right="3386"/>
        <w:jc w:val="left"/>
      </w:pPr>
      <w:r>
        <w:rPr/>
        <w:t>（</w:t>
      </w:r>
      <w:r>
        <w:rPr>
          <w:rFonts w:ascii="Times New Roman" w:hAnsi="Times New Roman" w:cs="Times New Roman" w:eastAsia="Times New Roman" w:hint="default"/>
        </w:rPr>
        <w:t>1</w:t>
      </w:r>
      <w:r>
        <w:rPr/>
        <w:t>）按专业结构分：</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082"/>
        <w:gridCol w:w="3082"/>
        <w:gridCol w:w="3082"/>
      </w:tblGrid>
      <w:tr>
        <w:trPr>
          <w:trHeight w:val="358" w:hRule="exact"/>
        </w:trPr>
        <w:tc>
          <w:tcPr>
            <w:tcW w:w="3082" w:type="dxa"/>
            <w:tcBorders>
              <w:top w:val="single" w:sz="12" w:space="0" w:color="000000"/>
              <w:left w:val="single" w:sz="12" w:space="0" w:color="000000"/>
              <w:bottom w:val="single" w:sz="4" w:space="0" w:color="000000"/>
              <w:right w:val="single" w:sz="4" w:space="0" w:color="000000"/>
            </w:tcBorders>
          </w:tcPr>
          <w:p>
            <w:pPr>
              <w:pStyle w:val="TableParagraph"/>
              <w:spacing w:line="274" w:lineRule="exact"/>
              <w:ind w:right="8"/>
              <w:jc w:val="center"/>
              <w:rPr>
                <w:rFonts w:ascii="宋体" w:hAnsi="宋体" w:cs="宋体" w:eastAsia="宋体" w:hint="default"/>
                <w:sz w:val="21"/>
                <w:szCs w:val="21"/>
              </w:rPr>
            </w:pPr>
            <w:r>
              <w:rPr>
                <w:rFonts w:ascii="宋体" w:hAnsi="宋体" w:cs="宋体" w:eastAsia="宋体" w:hint="default"/>
                <w:sz w:val="21"/>
                <w:szCs w:val="21"/>
              </w:rPr>
              <w:t>分工</w:t>
            </w:r>
          </w:p>
        </w:tc>
        <w:tc>
          <w:tcPr>
            <w:tcW w:w="3082"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082"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采购体系人员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874</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10" w:right="0"/>
              <w:jc w:val="center"/>
              <w:rPr>
                <w:rFonts w:ascii="Times New Roman" w:hAnsi="Times New Roman" w:cs="Times New Roman" w:eastAsia="Times New Roman" w:hint="default"/>
                <w:sz w:val="21"/>
                <w:szCs w:val="21"/>
              </w:rPr>
            </w:pPr>
            <w:r>
              <w:rPr>
                <w:rFonts w:ascii="Times New Roman"/>
                <w:sz w:val="21"/>
              </w:rPr>
              <w:t>11.28%</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运营体系人员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974</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12.57%</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财务体系人员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963</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12.42%</w:t>
            </w:r>
          </w:p>
        </w:tc>
      </w:tr>
      <w:tr>
        <w:trPr>
          <w:trHeight w:val="367"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职能体系人员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1065</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13.74%</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服务体系人员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446</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13" w:right="0"/>
              <w:jc w:val="center"/>
              <w:rPr>
                <w:rFonts w:ascii="Times New Roman" w:hAnsi="Times New Roman" w:cs="Times New Roman" w:eastAsia="Times New Roman" w:hint="default"/>
                <w:sz w:val="21"/>
                <w:szCs w:val="21"/>
              </w:rPr>
            </w:pPr>
            <w:r>
              <w:rPr>
                <w:rFonts w:ascii="Times New Roman"/>
                <w:sz w:val="21"/>
              </w:rPr>
              <w:t>5.75%</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22"/>
                <w:szCs w:val="22"/>
              </w:rPr>
            </w:pPr>
            <w:r>
              <w:rPr>
                <w:rFonts w:ascii="宋体" w:hAnsi="宋体" w:cs="宋体" w:eastAsia="宋体" w:hint="default"/>
                <w:sz w:val="22"/>
                <w:szCs w:val="22"/>
              </w:rPr>
              <w:t>信息体系人员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979</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12.63%</w:t>
            </w:r>
          </w:p>
        </w:tc>
      </w:tr>
      <w:tr>
        <w:trPr>
          <w:trHeight w:val="370"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6"/>
              <w:ind w:left="866" w:right="0"/>
              <w:jc w:val="left"/>
              <w:rPr>
                <w:rFonts w:ascii="宋体" w:hAnsi="宋体" w:cs="宋体" w:eastAsia="宋体" w:hint="default"/>
                <w:sz w:val="22"/>
                <w:szCs w:val="22"/>
              </w:rPr>
            </w:pPr>
            <w:r>
              <w:rPr>
                <w:rFonts w:ascii="宋体" w:hAnsi="宋体" w:cs="宋体" w:eastAsia="宋体" w:hint="default"/>
                <w:sz w:val="22"/>
                <w:szCs w:val="22"/>
              </w:rPr>
              <w:t>管理人员小计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5301</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13" w:right="0"/>
              <w:jc w:val="center"/>
              <w:rPr>
                <w:rFonts w:ascii="Times New Roman" w:hAnsi="Times New Roman" w:cs="Times New Roman" w:eastAsia="Times New Roman" w:hint="default"/>
                <w:sz w:val="21"/>
                <w:szCs w:val="21"/>
              </w:rPr>
            </w:pPr>
            <w:r>
              <w:rPr>
                <w:rFonts w:ascii="Times New Roman"/>
                <w:sz w:val="21"/>
              </w:rPr>
              <w:t>68.39%</w:t>
            </w:r>
          </w:p>
        </w:tc>
      </w:tr>
      <w:tr>
        <w:trPr>
          <w:trHeight w:val="367" w:hRule="exact"/>
        </w:trPr>
        <w:tc>
          <w:tcPr>
            <w:tcW w:w="30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93" w:right="0"/>
              <w:jc w:val="left"/>
              <w:rPr>
                <w:rFonts w:ascii="宋体" w:hAnsi="宋体" w:cs="宋体" w:eastAsia="宋体" w:hint="default"/>
                <w:sz w:val="21"/>
                <w:szCs w:val="21"/>
              </w:rPr>
            </w:pPr>
            <w:r>
              <w:rPr>
                <w:rFonts w:ascii="宋体" w:hAnsi="宋体" w:cs="宋体" w:eastAsia="宋体" w:hint="default"/>
                <w:sz w:val="21"/>
                <w:szCs w:val="21"/>
              </w:rPr>
              <w:t>终端作业人员</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2450</w:t>
            </w:r>
          </w:p>
        </w:tc>
        <w:tc>
          <w:tcPr>
            <w:tcW w:w="30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3" w:right="0"/>
              <w:jc w:val="center"/>
              <w:rPr>
                <w:rFonts w:ascii="Times New Roman" w:hAnsi="Times New Roman" w:cs="Times New Roman" w:eastAsia="Times New Roman" w:hint="default"/>
                <w:sz w:val="21"/>
                <w:szCs w:val="21"/>
              </w:rPr>
            </w:pPr>
            <w:r>
              <w:rPr>
                <w:rFonts w:ascii="Times New Roman"/>
                <w:sz w:val="21"/>
              </w:rPr>
              <w:t>31.61%</w:t>
            </w:r>
          </w:p>
        </w:tc>
      </w:tr>
      <w:tr>
        <w:trPr>
          <w:trHeight w:val="382" w:hRule="exact"/>
        </w:trPr>
        <w:tc>
          <w:tcPr>
            <w:tcW w:w="30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7751</w:t>
            </w:r>
          </w:p>
        </w:tc>
        <w:tc>
          <w:tcPr>
            <w:tcW w:w="30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3"/>
              <w:ind w:left="13"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footerReference w:type="default" r:id="rId13"/>
          <w:pgSz w:w="11910" w:h="16840"/>
          <w:pgMar w:footer="857" w:header="748" w:top="980" w:bottom="1040" w:left="1200" w:right="0"/>
          <w:pgNumType w:start="1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8" w:footer="857" w:top="980" w:bottom="1140" w:left="120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spacing w:line="226" w:lineRule="exact" w:before="0"/>
        <w:ind w:left="2319" w:right="0" w:hanging="255"/>
        <w:jc w:val="left"/>
        <w:rPr>
          <w:rFonts w:ascii="宋体" w:hAnsi="宋体" w:cs="宋体" w:eastAsia="宋体" w:hint="default"/>
          <w:sz w:val="18"/>
          <w:szCs w:val="18"/>
        </w:rPr>
      </w:pPr>
      <w:r>
        <w:rPr/>
        <w:pict>
          <v:shape style="position:absolute;margin-left:202.854019pt;margin-top:5.51816pt;width:238.378603pt;height:94.76466pt;mso-position-horizontal-relative:page;mso-position-vertical-relative:paragraph;z-index:-1360576" type="#_x0000_t75" stroked="false">
            <v:imagedata r:id="rId14" o:title=""/>
          </v:shape>
        </w:pict>
      </w:r>
      <w:r>
        <w:rPr>
          <w:rFonts w:ascii="宋体" w:hAnsi="宋体" w:cs="宋体" w:eastAsia="宋体" w:hint="default"/>
          <w:sz w:val="18"/>
          <w:szCs w:val="18"/>
        </w:rPr>
        <w:t>终端作业人员</w:t>
      </w:r>
      <w:r>
        <w:rPr>
          <w:rFonts w:ascii="宋体" w:hAnsi="宋体" w:cs="宋体" w:eastAsia="宋体" w:hint="default"/>
          <w:spacing w:val="-66"/>
          <w:sz w:val="18"/>
          <w:szCs w:val="18"/>
        </w:rPr>
        <w:t> </w:t>
      </w:r>
      <w:r>
        <w:rPr>
          <w:rFonts w:ascii="宋体" w:hAnsi="宋体" w:cs="宋体" w:eastAsia="宋体" w:hint="default"/>
          <w:spacing w:val="5"/>
          <w:sz w:val="18"/>
          <w:szCs w:val="18"/>
        </w:rPr>
        <w:t>31.61%</w:t>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spacing w:line="226" w:lineRule="exact" w:before="0"/>
        <w:ind w:left="2319" w:right="0" w:hanging="255"/>
        <w:jc w:val="left"/>
        <w:rPr>
          <w:rFonts w:ascii="宋体" w:hAnsi="宋体" w:cs="宋体" w:eastAsia="宋体" w:hint="default"/>
          <w:sz w:val="18"/>
          <w:szCs w:val="18"/>
        </w:rPr>
      </w:pPr>
      <w:r>
        <w:rPr>
          <w:rFonts w:ascii="宋体" w:hAnsi="宋体" w:cs="宋体" w:eastAsia="宋体" w:hint="default"/>
          <w:sz w:val="18"/>
          <w:szCs w:val="18"/>
        </w:rPr>
        <w:t>采购体系人员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11.28%</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line="226" w:lineRule="exact" w:before="0"/>
        <w:ind w:left="453" w:right="1639" w:hanging="255"/>
        <w:jc w:val="left"/>
        <w:rPr>
          <w:rFonts w:ascii="宋体" w:hAnsi="宋体" w:cs="宋体" w:eastAsia="宋体" w:hint="default"/>
          <w:sz w:val="18"/>
          <w:szCs w:val="18"/>
        </w:rPr>
      </w:pPr>
      <w:r>
        <w:rPr>
          <w:rFonts w:ascii="宋体" w:hAnsi="宋体" w:cs="宋体" w:eastAsia="宋体" w:hint="default"/>
          <w:sz w:val="18"/>
          <w:szCs w:val="18"/>
        </w:rPr>
        <w:t>运营体系人员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12.57%</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980" w:bottom="1100" w:left="1200" w:right="0"/>
          <w:cols w:num="3" w:equalWidth="0">
            <w:col w:w="3170" w:space="862"/>
            <w:col w:w="3170" w:space="40"/>
            <w:col w:w="34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980" w:bottom="1100" w:left="1200" w:right="0"/>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line="226" w:lineRule="exact" w:before="0"/>
        <w:ind w:left="2701" w:right="0" w:hanging="255"/>
        <w:jc w:val="left"/>
        <w:rPr>
          <w:rFonts w:ascii="宋体" w:hAnsi="宋体" w:cs="宋体" w:eastAsia="宋体" w:hint="default"/>
          <w:sz w:val="18"/>
          <w:szCs w:val="18"/>
        </w:rPr>
      </w:pPr>
      <w:r>
        <w:rPr>
          <w:rFonts w:ascii="宋体" w:hAnsi="宋体" w:cs="宋体" w:eastAsia="宋体" w:hint="default"/>
          <w:sz w:val="18"/>
          <w:szCs w:val="18"/>
        </w:rPr>
        <w:t>信息体系人员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12.63%</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line="226" w:lineRule="exact" w:before="0"/>
        <w:ind w:left="666" w:right="0" w:hanging="312"/>
        <w:jc w:val="left"/>
        <w:rPr>
          <w:rFonts w:ascii="宋体" w:hAnsi="宋体" w:cs="宋体" w:eastAsia="宋体" w:hint="default"/>
          <w:sz w:val="18"/>
          <w:szCs w:val="18"/>
        </w:rPr>
      </w:pPr>
      <w:r>
        <w:rPr>
          <w:rFonts w:ascii="宋体" w:hAnsi="宋体" w:cs="宋体" w:eastAsia="宋体" w:hint="default"/>
          <w:sz w:val="18"/>
          <w:szCs w:val="18"/>
        </w:rPr>
        <w:t>服务体系人员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5.75%</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26" w:lineRule="exact" w:before="157"/>
        <w:ind w:left="1444" w:right="0" w:hanging="255"/>
        <w:jc w:val="left"/>
        <w:rPr>
          <w:rFonts w:ascii="宋体" w:hAnsi="宋体" w:cs="宋体" w:eastAsia="宋体" w:hint="default"/>
          <w:sz w:val="18"/>
          <w:szCs w:val="18"/>
        </w:rPr>
      </w:pPr>
      <w:r>
        <w:rPr>
          <w:rFonts w:ascii="宋体" w:hAnsi="宋体" w:cs="宋体" w:eastAsia="宋体" w:hint="default"/>
          <w:sz w:val="18"/>
          <w:szCs w:val="18"/>
        </w:rPr>
        <w:t>职能体系人员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13.74%</w:t>
      </w:r>
      <w:r>
        <w:rPr>
          <w:rFonts w:ascii="宋体" w:hAnsi="宋体" w:cs="宋体" w:eastAsia="宋体" w:hint="default"/>
          <w:sz w:val="18"/>
          <w:szCs w:val="18"/>
        </w:rPr>
      </w:r>
    </w:p>
    <w:p>
      <w:pPr>
        <w:spacing w:line="226" w:lineRule="exact" w:before="77"/>
        <w:ind w:left="426" w:right="1482" w:hanging="255"/>
        <w:jc w:val="left"/>
        <w:rPr>
          <w:rFonts w:ascii="宋体" w:hAnsi="宋体" w:cs="宋体" w:eastAsia="宋体" w:hint="default"/>
          <w:sz w:val="18"/>
          <w:szCs w:val="18"/>
        </w:rPr>
      </w:pPr>
      <w:r>
        <w:rPr/>
        <w:br w:type="column"/>
      </w:r>
      <w:r>
        <w:rPr>
          <w:rFonts w:ascii="宋体" w:hAnsi="宋体" w:cs="宋体" w:eastAsia="宋体" w:hint="default"/>
          <w:sz w:val="18"/>
          <w:szCs w:val="18"/>
        </w:rPr>
        <w:t>财务体系人员</w:t>
      </w:r>
      <w:r>
        <w:rPr>
          <w:rFonts w:ascii="宋体" w:hAnsi="宋体" w:cs="宋体" w:eastAsia="宋体" w:hint="default"/>
          <w:spacing w:val="-66"/>
          <w:sz w:val="18"/>
          <w:szCs w:val="18"/>
        </w:rPr>
        <w:t> </w:t>
      </w:r>
      <w:r>
        <w:rPr>
          <w:rFonts w:ascii="宋体" w:hAnsi="宋体" w:cs="宋体" w:eastAsia="宋体" w:hint="default"/>
          <w:spacing w:val="5"/>
          <w:sz w:val="18"/>
          <w:szCs w:val="18"/>
        </w:rPr>
        <w:t>12.42%</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980" w:bottom="1100" w:left="1200" w:right="0"/>
          <w:cols w:num="4" w:equalWidth="0">
            <w:col w:w="3552" w:space="40"/>
            <w:col w:w="1460" w:space="40"/>
            <w:col w:w="2295" w:space="40"/>
            <w:col w:w="328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26"/>
        <w:ind w:left="720" w:right="3386"/>
        <w:jc w:val="left"/>
      </w:pPr>
      <w:r>
        <w:rPr/>
        <w:t>（</w:t>
      </w:r>
      <w:r>
        <w:rPr>
          <w:rFonts w:ascii="Times New Roman" w:hAnsi="Times New Roman" w:cs="Times New Roman" w:eastAsia="Times New Roman" w:hint="default"/>
        </w:rPr>
        <w:t>2</w:t>
      </w:r>
      <w:r>
        <w:rPr/>
        <w:t>）按受教育程度分：</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603"/>
        <w:gridCol w:w="1834"/>
        <w:gridCol w:w="1832"/>
        <w:gridCol w:w="1832"/>
        <w:gridCol w:w="2146"/>
      </w:tblGrid>
      <w:tr>
        <w:trPr>
          <w:trHeight w:val="360" w:hRule="exact"/>
        </w:trPr>
        <w:tc>
          <w:tcPr>
            <w:tcW w:w="160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right="7"/>
              <w:jc w:val="center"/>
              <w:rPr>
                <w:rFonts w:ascii="宋体" w:hAnsi="宋体" w:cs="宋体" w:eastAsia="宋体" w:hint="default"/>
                <w:sz w:val="21"/>
                <w:szCs w:val="21"/>
              </w:rPr>
            </w:pPr>
            <w:r>
              <w:rPr>
                <w:rFonts w:ascii="宋体" w:hAnsi="宋体" w:cs="宋体" w:eastAsia="宋体" w:hint="default"/>
                <w:sz w:val="21"/>
                <w:szCs w:val="21"/>
              </w:rPr>
              <w:t>学历</w:t>
            </w:r>
          </w:p>
        </w:tc>
        <w:tc>
          <w:tcPr>
            <w:tcW w:w="18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管理岗位</w:t>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作业岗位</w:t>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70"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3298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74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3372</w:t>
            </w:r>
          </w:p>
        </w:tc>
        <w:tc>
          <w:tcPr>
            <w:tcW w:w="21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43.50%</w:t>
            </w:r>
          </w:p>
        </w:tc>
      </w:tr>
      <w:tr>
        <w:trPr>
          <w:trHeight w:val="370"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1509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805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2314</w:t>
            </w:r>
          </w:p>
        </w:tc>
        <w:tc>
          <w:tcPr>
            <w:tcW w:w="21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29.85%</w:t>
            </w:r>
          </w:p>
        </w:tc>
      </w:tr>
      <w:tr>
        <w:trPr>
          <w:trHeight w:val="367"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Times New Roman" w:hAnsi="Times New Roman" w:cs="Times New Roman" w:eastAsia="Times New Roman" w:hint="default"/>
                <w:sz w:val="21"/>
                <w:szCs w:val="21"/>
              </w:rPr>
              <w:t>/</w:t>
            </w:r>
            <w:r>
              <w:rPr>
                <w:rFonts w:ascii="宋体" w:hAnsi="宋体" w:cs="宋体" w:eastAsia="宋体" w:hint="default"/>
                <w:sz w:val="21"/>
                <w:szCs w:val="21"/>
              </w:rPr>
              <w:t>高中</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251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1286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1537</w:t>
            </w:r>
          </w:p>
        </w:tc>
        <w:tc>
          <w:tcPr>
            <w:tcW w:w="21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19.83%</w:t>
            </w:r>
          </w:p>
        </w:tc>
      </w:tr>
      <w:tr>
        <w:trPr>
          <w:trHeight w:val="370" w:hRule="exact"/>
        </w:trPr>
        <w:tc>
          <w:tcPr>
            <w:tcW w:w="160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sz w:val="21"/>
              </w:rPr>
              <w:t>12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516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528</w:t>
            </w:r>
          </w:p>
        </w:tc>
        <w:tc>
          <w:tcPr>
            <w:tcW w:w="21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left="7" w:right="0"/>
              <w:jc w:val="center"/>
              <w:rPr>
                <w:rFonts w:ascii="Times New Roman" w:hAnsi="Times New Roman" w:cs="Times New Roman" w:eastAsia="Times New Roman" w:hint="default"/>
                <w:sz w:val="21"/>
                <w:szCs w:val="21"/>
              </w:rPr>
            </w:pPr>
            <w:r>
              <w:rPr>
                <w:rFonts w:ascii="Times New Roman"/>
                <w:sz w:val="21"/>
              </w:rPr>
              <w:t>6.82%</w:t>
            </w:r>
          </w:p>
        </w:tc>
      </w:tr>
      <w:tr>
        <w:trPr>
          <w:trHeight w:val="379" w:hRule="exact"/>
        </w:trPr>
        <w:tc>
          <w:tcPr>
            <w:tcW w:w="160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right="2"/>
              <w:jc w:val="center"/>
              <w:rPr>
                <w:rFonts w:ascii="Times New Roman" w:hAnsi="Times New Roman" w:cs="Times New Roman" w:eastAsia="Times New Roman" w:hint="default"/>
                <w:sz w:val="21"/>
                <w:szCs w:val="21"/>
              </w:rPr>
            </w:pPr>
            <w:r>
              <w:rPr>
                <w:rFonts w:ascii="Times New Roman"/>
                <w:sz w:val="21"/>
              </w:rPr>
              <w:t>5070</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2681</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7751</w:t>
            </w:r>
          </w:p>
        </w:tc>
        <w:tc>
          <w:tcPr>
            <w:tcW w:w="21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1"/>
              <w:ind w:left="7"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42"/>
        <w:ind w:left="221" w:right="2012" w:firstLine="0"/>
        <w:jc w:val="center"/>
        <w:rPr>
          <w:rFonts w:ascii="宋体" w:hAnsi="宋体" w:cs="宋体" w:eastAsia="宋体" w:hint="default"/>
          <w:sz w:val="19"/>
          <w:szCs w:val="19"/>
        </w:rPr>
      </w:pPr>
      <w:r>
        <w:rPr>
          <w:rFonts w:ascii="宋体" w:hAnsi="宋体" w:cs="宋体" w:eastAsia="宋体" w:hint="default"/>
          <w:sz w:val="19"/>
          <w:szCs w:val="19"/>
        </w:rPr>
        <w:t>其他</w:t>
      </w:r>
      <w:r>
        <w:rPr>
          <w:rFonts w:ascii="宋体" w:hAnsi="宋体" w:cs="宋体" w:eastAsia="宋体" w:hint="default"/>
          <w:spacing w:val="14"/>
          <w:sz w:val="19"/>
          <w:szCs w:val="19"/>
        </w:rPr>
        <w:t> </w:t>
      </w:r>
      <w:r>
        <w:rPr>
          <w:rFonts w:ascii="宋体" w:hAnsi="宋体" w:cs="宋体" w:eastAsia="宋体" w:hint="default"/>
          <w:spacing w:val="4"/>
          <w:sz w:val="19"/>
          <w:szCs w:val="19"/>
        </w:rPr>
        <w:t>6.82%</w:t>
      </w:r>
    </w:p>
    <w:p>
      <w:pPr>
        <w:spacing w:line="242" w:lineRule="exact" w:before="133"/>
        <w:ind w:left="1586" w:right="3386" w:firstLine="0"/>
        <w:jc w:val="left"/>
        <w:rPr>
          <w:rFonts w:ascii="宋体" w:hAnsi="宋体" w:cs="宋体" w:eastAsia="宋体" w:hint="default"/>
          <w:sz w:val="19"/>
          <w:szCs w:val="19"/>
        </w:rPr>
      </w:pPr>
      <w:r>
        <w:rPr/>
        <w:pict>
          <v:shape style="position:absolute;margin-left:206.806396pt;margin-top:2.34428pt;width:247.200698pt;height:98.258349pt;mso-position-horizontal-relative:page;mso-position-vertical-relative:paragraph;z-index:-1360552" type="#_x0000_t75" stroked="false">
            <v:imagedata r:id="rId15" o:title=""/>
          </v:shape>
        </w:pict>
      </w:r>
      <w:r>
        <w:rPr>
          <w:rFonts w:ascii="宋体" w:hAnsi="宋体" w:cs="宋体" w:eastAsia="宋体" w:hint="default"/>
          <w:sz w:val="19"/>
          <w:szCs w:val="19"/>
        </w:rPr>
        <w:t>中专/高中</w:t>
      </w:r>
      <w:r>
        <w:rPr>
          <w:rFonts w:ascii="宋体" w:hAnsi="宋体" w:cs="宋体" w:eastAsia="宋体" w:hint="default"/>
          <w:spacing w:val="25"/>
          <w:sz w:val="19"/>
          <w:szCs w:val="19"/>
        </w:rPr>
        <w:t> </w:t>
      </w:r>
      <w:r>
        <w:rPr>
          <w:rFonts w:ascii="宋体" w:hAnsi="宋体" w:cs="宋体" w:eastAsia="宋体" w:hint="default"/>
          <w:spacing w:val="4"/>
          <w:sz w:val="19"/>
          <w:szCs w:val="19"/>
        </w:rPr>
        <w:t>19.83%</w:t>
      </w:r>
    </w:p>
    <w:p>
      <w:pPr>
        <w:spacing w:line="242" w:lineRule="exact" w:before="0"/>
        <w:ind w:left="0" w:right="1133" w:firstLine="0"/>
        <w:jc w:val="right"/>
        <w:rPr>
          <w:rFonts w:ascii="宋体" w:hAnsi="宋体" w:cs="宋体" w:eastAsia="宋体" w:hint="default"/>
          <w:sz w:val="19"/>
          <w:szCs w:val="19"/>
        </w:rPr>
      </w:pPr>
      <w:r>
        <w:rPr>
          <w:rFonts w:ascii="宋体" w:hAnsi="宋体" w:cs="宋体" w:eastAsia="宋体" w:hint="default"/>
          <w:sz w:val="19"/>
          <w:szCs w:val="19"/>
        </w:rPr>
        <w:t>本科及以上</w:t>
      </w:r>
      <w:r>
        <w:rPr>
          <w:rFonts w:ascii="宋体" w:hAnsi="宋体" w:cs="宋体" w:eastAsia="宋体" w:hint="default"/>
          <w:spacing w:val="20"/>
          <w:sz w:val="19"/>
          <w:szCs w:val="19"/>
        </w:rPr>
        <w:t> </w:t>
      </w:r>
      <w:r>
        <w:rPr>
          <w:rFonts w:ascii="宋体" w:hAnsi="宋体" w:cs="宋体" w:eastAsia="宋体" w:hint="default"/>
          <w:spacing w:val="4"/>
          <w:sz w:val="19"/>
          <w:szCs w:val="19"/>
        </w:rPr>
        <w:t>43.50%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2"/>
        <w:ind w:left="3009" w:right="3386" w:firstLine="0"/>
        <w:jc w:val="left"/>
        <w:rPr>
          <w:rFonts w:ascii="宋体" w:hAnsi="宋体" w:cs="宋体" w:eastAsia="宋体" w:hint="default"/>
          <w:sz w:val="19"/>
          <w:szCs w:val="19"/>
        </w:rPr>
      </w:pPr>
      <w:r>
        <w:rPr>
          <w:rFonts w:ascii="宋体" w:hAnsi="宋体" w:cs="宋体" w:eastAsia="宋体" w:hint="default"/>
          <w:sz w:val="19"/>
          <w:szCs w:val="19"/>
        </w:rPr>
        <w:t>大专</w:t>
      </w:r>
      <w:r>
        <w:rPr>
          <w:rFonts w:ascii="宋体" w:hAnsi="宋体" w:cs="宋体" w:eastAsia="宋体" w:hint="default"/>
          <w:spacing w:val="17"/>
          <w:sz w:val="19"/>
          <w:szCs w:val="19"/>
        </w:rPr>
        <w:t> </w:t>
      </w:r>
      <w:r>
        <w:rPr>
          <w:rFonts w:ascii="宋体" w:hAnsi="宋体" w:cs="宋体" w:eastAsia="宋体" w:hint="default"/>
          <w:spacing w:val="4"/>
          <w:sz w:val="19"/>
          <w:szCs w:val="19"/>
        </w:rPr>
        <w:t>29.85%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722" w:right="3386"/>
        <w:jc w:val="left"/>
      </w:pPr>
      <w:r>
        <w:rPr>
          <w:rFonts w:ascii="Times New Roman" w:hAnsi="Times New Roman" w:cs="Times New Roman" w:eastAsia="Times New Roman" w:hint="default"/>
        </w:rPr>
        <w:t>2</w:t>
      </w:r>
      <w:r>
        <w:rPr/>
        <w:t>、公司不存在需要承担的离退休职工。</w:t>
      </w:r>
    </w:p>
    <w:p>
      <w:pPr>
        <w:spacing w:after="0" w:line="240" w:lineRule="auto"/>
        <w:jc w:val="left"/>
        <w:sectPr>
          <w:type w:val="continuous"/>
          <w:pgSz w:w="11910" w:h="16840"/>
          <w:pgMar w:top="980" w:bottom="1100" w:left="1200" w:right="0"/>
        </w:sectPr>
      </w:pPr>
    </w:p>
    <w:p>
      <w:pPr>
        <w:spacing w:line="240" w:lineRule="auto" w:before="0"/>
        <w:rPr>
          <w:rFonts w:ascii="宋体" w:hAnsi="宋体" w:cs="宋体" w:eastAsia="宋体" w:hint="default"/>
          <w:sz w:val="20"/>
          <w:szCs w:val="20"/>
        </w:rPr>
      </w:pPr>
    </w:p>
    <w:p>
      <w:pPr>
        <w:pStyle w:val="Heading1"/>
        <w:tabs>
          <w:tab w:pos="4333" w:val="left" w:leader="none"/>
        </w:tabs>
        <w:spacing w:line="240" w:lineRule="auto"/>
        <w:ind w:left="3054" w:right="1314"/>
        <w:jc w:val="left"/>
        <w:rPr>
          <w:b w:val="0"/>
          <w:bCs w:val="0"/>
        </w:rPr>
      </w:pPr>
      <w:bookmarkStart w:name="_TOC_250006" w:id="5"/>
      <w:r>
        <w:rPr>
          <w:w w:val="95"/>
        </w:rPr>
        <w:t>第五节</w:t>
        <w:tab/>
      </w:r>
      <w:r>
        <w:rPr/>
        <w:t>公司治理结构</w:t>
      </w:r>
      <w:bookmarkEnd w:id="5"/>
      <w:r>
        <w:rPr>
          <w:b w:val="0"/>
          <w:bCs w:val="0"/>
        </w:rPr>
      </w:r>
    </w:p>
    <w:p>
      <w:pPr>
        <w:pStyle w:val="BodyText"/>
        <w:spacing w:line="357" w:lineRule="auto" w:before="217"/>
        <w:ind w:left="560" w:right="1314" w:firstLine="60"/>
        <w:jc w:val="left"/>
      </w:pPr>
      <w:r>
        <w:rPr/>
        <w:t>一、公司治理 </w:t>
      </w:r>
      <w:r>
        <w:rPr>
          <w:spacing w:val="-14"/>
        </w:rPr>
        <w:t>公司严格按照《公司法》、《证券法》、《上市公司治理准则》和《深圳证券交易所股</w:t>
      </w:r>
    </w:p>
    <w:p>
      <w:pPr>
        <w:pStyle w:val="BodyText"/>
        <w:spacing w:line="357" w:lineRule="auto" w:before="36"/>
        <w:ind w:right="1345"/>
        <w:jc w:val="both"/>
      </w:pPr>
      <w:r>
        <w:rPr/>
        <w:t>票上市规则》等法律、法规的规定，不断完善公司法人治理结构，健全内部控制体系， 进一步规范公司运作。</w:t>
      </w:r>
    </w:p>
    <w:p>
      <w:pPr>
        <w:pStyle w:val="BodyText"/>
        <w:spacing w:line="357" w:lineRule="auto" w:before="36"/>
        <w:ind w:right="1315" w:firstLine="420"/>
        <w:jc w:val="both"/>
      </w:pPr>
      <w:r>
        <w:rPr/>
        <w:t>前期</w:t>
      </w:r>
      <w:r>
        <w:rPr>
          <w:spacing w:val="-92"/>
        </w:rPr>
        <w:t>，</w:t>
      </w:r>
      <w:r>
        <w:rPr/>
        <w:t>公司已经制定了公</w:t>
      </w:r>
      <w:r>
        <w:rPr>
          <w:spacing w:val="-92"/>
        </w:rPr>
        <w:t>司</w:t>
      </w:r>
      <w:r>
        <w:rPr/>
        <w:t>《章程</w:t>
      </w:r>
      <w:r>
        <w:rPr>
          <w:spacing w:val="-120"/>
        </w:rPr>
        <w:t>》</w:t>
      </w:r>
      <w:r>
        <w:rPr>
          <w:spacing w:val="-212"/>
        </w:rPr>
        <w:t>、</w:t>
      </w:r>
      <w:r>
        <w:rPr/>
        <w:t>《股东</w:t>
      </w:r>
      <w:r>
        <w:rPr>
          <w:spacing w:val="2"/>
        </w:rPr>
        <w:t>大</w:t>
      </w:r>
      <w:r>
        <w:rPr/>
        <w:t>会议事规则</w:t>
      </w:r>
      <w:r>
        <w:rPr>
          <w:spacing w:val="-120"/>
        </w:rPr>
        <w:t>》、</w:t>
      </w:r>
      <w:r>
        <w:rPr/>
        <w:t>《董事会议事规则</w:t>
      </w:r>
      <w:r>
        <w:rPr>
          <w:spacing w:val="-120"/>
        </w:rPr>
        <w:t>》、</w:t>
      </w:r>
      <w:r>
        <w:rPr/>
        <w:t>《监</w:t>
      </w:r>
      <w:r>
        <w:rPr/>
        <w:t> </w:t>
      </w:r>
      <w:r>
        <w:rPr>
          <w:spacing w:val="9"/>
        </w:rPr>
        <w:t>事会</w:t>
      </w:r>
      <w:r>
        <w:rPr>
          <w:spacing w:val="11"/>
        </w:rPr>
        <w:t>议</w:t>
      </w:r>
      <w:r>
        <w:rPr>
          <w:spacing w:val="9"/>
        </w:rPr>
        <w:t>事规</w:t>
      </w:r>
      <w:r>
        <w:rPr>
          <w:spacing w:val="11"/>
        </w:rPr>
        <w:t>则</w:t>
      </w:r>
      <w:r>
        <w:rPr>
          <w:spacing w:val="-111"/>
        </w:rPr>
        <w:t>》</w:t>
      </w:r>
      <w:r>
        <w:rPr>
          <w:spacing w:val="-108"/>
        </w:rPr>
        <w:t>、</w:t>
      </w:r>
      <w:r>
        <w:rPr>
          <w:spacing w:val="9"/>
        </w:rPr>
        <w:t>《</w:t>
      </w:r>
      <w:r>
        <w:rPr>
          <w:spacing w:val="11"/>
        </w:rPr>
        <w:t>董</w:t>
      </w:r>
      <w:r>
        <w:rPr>
          <w:spacing w:val="9"/>
        </w:rPr>
        <w:t>事会</w:t>
      </w:r>
      <w:r>
        <w:rPr>
          <w:spacing w:val="11"/>
        </w:rPr>
        <w:t>薪</w:t>
      </w:r>
      <w:r>
        <w:rPr>
          <w:spacing w:val="9"/>
        </w:rPr>
        <w:t>酬与</w:t>
      </w:r>
      <w:r>
        <w:rPr>
          <w:spacing w:val="11"/>
        </w:rPr>
        <w:t>考</w:t>
      </w:r>
      <w:r>
        <w:rPr>
          <w:spacing w:val="13"/>
        </w:rPr>
        <w:t>核</w:t>
      </w:r>
      <w:r>
        <w:rPr>
          <w:spacing w:val="9"/>
        </w:rPr>
        <w:t>委</w:t>
      </w:r>
      <w:r>
        <w:rPr>
          <w:spacing w:val="11"/>
        </w:rPr>
        <w:t>员</w:t>
      </w:r>
      <w:r>
        <w:rPr>
          <w:spacing w:val="9"/>
        </w:rPr>
        <w:t>会工</w:t>
      </w:r>
      <w:r>
        <w:rPr>
          <w:spacing w:val="11"/>
        </w:rPr>
        <w:t>作</w:t>
      </w:r>
      <w:r>
        <w:rPr>
          <w:spacing w:val="9"/>
        </w:rPr>
        <w:t>细则</w:t>
      </w:r>
      <w:r>
        <w:rPr>
          <w:spacing w:val="-108"/>
        </w:rPr>
        <w:t>》</w:t>
      </w:r>
      <w:r>
        <w:rPr>
          <w:spacing w:val="-111"/>
        </w:rPr>
        <w:t>、</w:t>
      </w:r>
      <w:r>
        <w:rPr>
          <w:spacing w:val="9"/>
        </w:rPr>
        <w:t>《</w:t>
      </w:r>
      <w:r>
        <w:rPr>
          <w:spacing w:val="11"/>
        </w:rPr>
        <w:t>董事</w:t>
      </w:r>
      <w:r>
        <w:rPr>
          <w:spacing w:val="9"/>
        </w:rPr>
        <w:t>会提</w:t>
      </w:r>
      <w:r>
        <w:rPr>
          <w:spacing w:val="11"/>
        </w:rPr>
        <w:t>名</w:t>
      </w:r>
      <w:r>
        <w:rPr>
          <w:spacing w:val="9"/>
        </w:rPr>
        <w:t>委员</w:t>
      </w:r>
      <w:r>
        <w:rPr>
          <w:spacing w:val="11"/>
        </w:rPr>
        <w:t>会</w:t>
      </w:r>
      <w:r>
        <w:rPr>
          <w:spacing w:val="9"/>
        </w:rPr>
        <w:t>工作</w:t>
      </w:r>
      <w:r>
        <w:rPr/>
        <w:t>细</w:t>
      </w:r>
      <w:r>
        <w:rPr/>
        <w:t> </w:t>
      </w:r>
      <w:r>
        <w:rPr>
          <w:spacing w:val="6"/>
        </w:rPr>
        <w:t>则</w:t>
      </w:r>
      <w:r>
        <w:rPr>
          <w:spacing w:val="-113"/>
        </w:rPr>
        <w:t>》、</w:t>
      </w:r>
      <w:r>
        <w:rPr>
          <w:spacing w:val="6"/>
        </w:rPr>
        <w:t>《董事</w:t>
      </w:r>
      <w:r>
        <w:rPr>
          <w:spacing w:val="4"/>
        </w:rPr>
        <w:t>会</w:t>
      </w:r>
      <w:r>
        <w:rPr>
          <w:spacing w:val="6"/>
        </w:rPr>
        <w:t>审计</w:t>
      </w:r>
      <w:r>
        <w:rPr>
          <w:spacing w:val="4"/>
        </w:rPr>
        <w:t>委</w:t>
      </w:r>
      <w:r>
        <w:rPr>
          <w:spacing w:val="6"/>
        </w:rPr>
        <w:t>员会工作细则</w:t>
      </w:r>
      <w:r>
        <w:rPr>
          <w:spacing w:val="-116"/>
        </w:rPr>
        <w:t>》</w:t>
      </w:r>
      <w:r>
        <w:rPr>
          <w:spacing w:val="-113"/>
        </w:rPr>
        <w:t>、</w:t>
      </w:r>
      <w:r>
        <w:rPr>
          <w:spacing w:val="6"/>
        </w:rPr>
        <w:t>《</w:t>
      </w:r>
      <w:r>
        <w:rPr>
          <w:spacing w:val="4"/>
        </w:rPr>
        <w:t>独</w:t>
      </w:r>
      <w:r>
        <w:rPr>
          <w:spacing w:val="6"/>
        </w:rPr>
        <w:t>立董事年报工</w:t>
      </w:r>
      <w:r>
        <w:rPr>
          <w:spacing w:val="4"/>
        </w:rPr>
        <w:t>作</w:t>
      </w:r>
      <w:r>
        <w:rPr>
          <w:spacing w:val="6"/>
        </w:rPr>
        <w:t>制</w:t>
      </w:r>
      <w:r>
        <w:rPr/>
        <w:t>度</w:t>
      </w:r>
      <w:r>
        <w:rPr>
          <w:spacing w:val="18"/>
        </w:rPr>
        <w:t> </w:t>
      </w:r>
      <w:r>
        <w:rPr>
          <w:spacing w:val="-113"/>
        </w:rPr>
        <w:t>》、</w:t>
      </w:r>
      <w:r>
        <w:rPr>
          <w:spacing w:val="6"/>
        </w:rPr>
        <w:t>《独立董</w:t>
      </w:r>
      <w:r>
        <w:rPr>
          <w:spacing w:val="4"/>
        </w:rPr>
        <w:t>事</w:t>
      </w:r>
      <w:r>
        <w:rPr>
          <w:spacing w:val="6"/>
        </w:rPr>
        <w:t>制度</w:t>
      </w:r>
      <w:r>
        <w:rPr>
          <w:spacing w:val="-113"/>
        </w:rPr>
        <w:t>》</w:t>
      </w:r>
      <w:r>
        <w:rPr/>
        <w:t>、</w:t>
      </w:r>
    </w:p>
    <w:p>
      <w:pPr>
        <w:pStyle w:val="BodyText"/>
        <w:spacing w:line="357" w:lineRule="auto" w:before="36"/>
        <w:ind w:right="1323"/>
        <w:jc w:val="both"/>
      </w:pPr>
      <w:r>
        <w:rPr>
          <w:spacing w:val="4"/>
        </w:rPr>
        <w:t>《董事</w:t>
      </w:r>
      <w:r>
        <w:rPr>
          <w:spacing w:val="2"/>
        </w:rPr>
        <w:t>、</w:t>
      </w:r>
      <w:r>
        <w:rPr>
          <w:spacing w:val="4"/>
        </w:rPr>
        <w:t>监事</w:t>
      </w:r>
      <w:r>
        <w:rPr>
          <w:spacing w:val="2"/>
        </w:rPr>
        <w:t>和</w:t>
      </w:r>
      <w:r>
        <w:rPr>
          <w:spacing w:val="4"/>
        </w:rPr>
        <w:t>高级</w:t>
      </w:r>
      <w:r>
        <w:rPr>
          <w:spacing w:val="2"/>
        </w:rPr>
        <w:t>管</w:t>
      </w:r>
      <w:r>
        <w:rPr>
          <w:spacing w:val="4"/>
        </w:rPr>
        <w:t>理人员</w:t>
      </w:r>
      <w:r>
        <w:rPr>
          <w:spacing w:val="2"/>
        </w:rPr>
        <w:t>所</w:t>
      </w:r>
      <w:r>
        <w:rPr>
          <w:spacing w:val="4"/>
        </w:rPr>
        <w:t>持公</w:t>
      </w:r>
      <w:r>
        <w:rPr>
          <w:spacing w:val="2"/>
        </w:rPr>
        <w:t>司</w:t>
      </w:r>
      <w:r>
        <w:rPr>
          <w:spacing w:val="4"/>
        </w:rPr>
        <w:t>股份</w:t>
      </w:r>
      <w:r>
        <w:rPr>
          <w:spacing w:val="2"/>
        </w:rPr>
        <w:t>及</w:t>
      </w:r>
      <w:r>
        <w:rPr>
          <w:spacing w:val="4"/>
        </w:rPr>
        <w:t>其变动</w:t>
      </w:r>
      <w:r>
        <w:rPr>
          <w:spacing w:val="2"/>
        </w:rPr>
        <w:t>管</w:t>
      </w:r>
      <w:r>
        <w:rPr>
          <w:spacing w:val="4"/>
        </w:rPr>
        <w:t>理规</w:t>
      </w:r>
      <w:r>
        <w:rPr>
          <w:spacing w:val="2"/>
        </w:rPr>
        <w:t>则</w:t>
      </w:r>
      <w:r>
        <w:rPr>
          <w:spacing w:val="-116"/>
        </w:rPr>
        <w:t>》、</w:t>
      </w:r>
      <w:r>
        <w:rPr>
          <w:spacing w:val="4"/>
        </w:rPr>
        <w:t>《</w:t>
      </w:r>
      <w:r>
        <w:rPr>
          <w:spacing w:val="2"/>
        </w:rPr>
        <w:t>董</w:t>
      </w:r>
      <w:r>
        <w:rPr>
          <w:spacing w:val="4"/>
        </w:rPr>
        <w:t>事会秘</w:t>
      </w:r>
      <w:r>
        <w:rPr>
          <w:spacing w:val="2"/>
        </w:rPr>
        <w:t>书</w:t>
      </w:r>
      <w:r>
        <w:rPr>
          <w:spacing w:val="4"/>
        </w:rPr>
        <w:t>工作</w:t>
      </w:r>
      <w:r>
        <w:rPr/>
        <w:t>细</w:t>
      </w:r>
      <w:r>
        <w:rPr/>
        <w:t> </w:t>
      </w:r>
      <w:r>
        <w:rPr>
          <w:spacing w:val="4"/>
        </w:rPr>
        <w:t>则</w:t>
      </w:r>
      <w:r>
        <w:rPr>
          <w:spacing w:val="-116"/>
        </w:rPr>
        <w:t>》</w:t>
      </w:r>
      <w:r>
        <w:rPr>
          <w:spacing w:val="-118"/>
        </w:rPr>
        <w:t>、</w:t>
      </w:r>
      <w:r>
        <w:rPr>
          <w:spacing w:val="4"/>
        </w:rPr>
        <w:t>《</w:t>
      </w:r>
      <w:r>
        <w:rPr>
          <w:spacing w:val="2"/>
        </w:rPr>
        <w:t>总</w:t>
      </w:r>
      <w:r>
        <w:rPr>
          <w:spacing w:val="4"/>
        </w:rPr>
        <w:t>裁</w:t>
      </w:r>
      <w:r>
        <w:rPr>
          <w:spacing w:val="2"/>
        </w:rPr>
        <w:t>工</w:t>
      </w:r>
      <w:r>
        <w:rPr>
          <w:spacing w:val="4"/>
        </w:rPr>
        <w:t>作细</w:t>
      </w:r>
      <w:r>
        <w:rPr>
          <w:spacing w:val="2"/>
        </w:rPr>
        <w:t>则</w:t>
      </w:r>
      <w:r>
        <w:rPr>
          <w:spacing w:val="-116"/>
        </w:rPr>
        <w:t>》</w:t>
      </w:r>
      <w:r>
        <w:rPr>
          <w:spacing w:val="-118"/>
        </w:rPr>
        <w:t>、</w:t>
      </w:r>
      <w:r>
        <w:rPr>
          <w:spacing w:val="4"/>
        </w:rPr>
        <w:t>《审</w:t>
      </w:r>
      <w:r>
        <w:rPr>
          <w:spacing w:val="2"/>
        </w:rPr>
        <w:t>计</w:t>
      </w:r>
      <w:r>
        <w:rPr>
          <w:spacing w:val="4"/>
        </w:rPr>
        <w:t>委</w:t>
      </w:r>
      <w:r>
        <w:rPr>
          <w:spacing w:val="2"/>
        </w:rPr>
        <w:t>员</w:t>
      </w:r>
      <w:r>
        <w:rPr>
          <w:spacing w:val="4"/>
        </w:rPr>
        <w:t>会</w:t>
      </w:r>
      <w:r>
        <w:rPr>
          <w:spacing w:val="2"/>
        </w:rPr>
        <w:t>年</w:t>
      </w:r>
      <w:r>
        <w:rPr>
          <w:spacing w:val="4"/>
        </w:rPr>
        <w:t>报工</w:t>
      </w:r>
      <w:r>
        <w:rPr>
          <w:spacing w:val="2"/>
        </w:rPr>
        <w:t>作</w:t>
      </w:r>
      <w:r>
        <w:rPr>
          <w:spacing w:val="4"/>
        </w:rPr>
        <w:t>规则</w:t>
      </w:r>
      <w:r>
        <w:rPr>
          <w:spacing w:val="-118"/>
        </w:rPr>
        <w:t>》</w:t>
      </w:r>
      <w:r>
        <w:rPr>
          <w:spacing w:val="-116"/>
        </w:rPr>
        <w:t>、</w:t>
      </w:r>
      <w:r>
        <w:rPr>
          <w:spacing w:val="2"/>
        </w:rPr>
        <w:t>《</w:t>
      </w:r>
      <w:r>
        <w:rPr>
          <w:spacing w:val="4"/>
        </w:rPr>
        <w:t>内</w:t>
      </w:r>
      <w:r>
        <w:rPr>
          <w:spacing w:val="2"/>
        </w:rPr>
        <w:t>部</w:t>
      </w:r>
      <w:r>
        <w:rPr>
          <w:spacing w:val="4"/>
        </w:rPr>
        <w:t>审计</w:t>
      </w:r>
      <w:r>
        <w:rPr>
          <w:spacing w:val="2"/>
        </w:rPr>
        <w:t>制度</w:t>
      </w:r>
      <w:r>
        <w:rPr>
          <w:spacing w:val="-116"/>
        </w:rPr>
        <w:t>》、</w:t>
      </w:r>
      <w:r>
        <w:rPr>
          <w:spacing w:val="2"/>
        </w:rPr>
        <w:t>《</w:t>
      </w:r>
      <w:r>
        <w:rPr>
          <w:spacing w:val="4"/>
        </w:rPr>
        <w:t>重</w:t>
      </w:r>
      <w:r>
        <w:rPr>
          <w:spacing w:val="2"/>
        </w:rPr>
        <w:t>大</w:t>
      </w:r>
      <w:r>
        <w:rPr>
          <w:spacing w:val="4"/>
        </w:rPr>
        <w:t>投资</w:t>
      </w:r>
      <w:r>
        <w:rPr/>
        <w:t>与</w:t>
      </w:r>
      <w:r>
        <w:rPr/>
        <w:t> </w:t>
      </w:r>
      <w:r>
        <w:rPr>
          <w:spacing w:val="4"/>
        </w:rPr>
        <w:t>财务</w:t>
      </w:r>
      <w:r>
        <w:rPr>
          <w:spacing w:val="2"/>
        </w:rPr>
        <w:t>决</w:t>
      </w:r>
      <w:r>
        <w:rPr>
          <w:spacing w:val="4"/>
        </w:rPr>
        <w:t>策</w:t>
      </w:r>
      <w:r>
        <w:rPr>
          <w:spacing w:val="2"/>
        </w:rPr>
        <w:t>制</w:t>
      </w:r>
      <w:r>
        <w:rPr>
          <w:spacing w:val="4"/>
        </w:rPr>
        <w:t>度</w:t>
      </w:r>
      <w:r>
        <w:rPr>
          <w:spacing w:val="-118"/>
        </w:rPr>
        <w:t>》</w:t>
      </w:r>
      <w:r>
        <w:rPr>
          <w:spacing w:val="-116"/>
        </w:rPr>
        <w:t>、</w:t>
      </w:r>
      <w:r>
        <w:rPr>
          <w:spacing w:val="4"/>
        </w:rPr>
        <w:t>《</w:t>
      </w:r>
      <w:r>
        <w:rPr>
          <w:spacing w:val="2"/>
        </w:rPr>
        <w:t>对外</w:t>
      </w:r>
      <w:r>
        <w:rPr>
          <w:spacing w:val="4"/>
        </w:rPr>
        <w:t>捐赠</w:t>
      </w:r>
      <w:r>
        <w:rPr>
          <w:spacing w:val="2"/>
        </w:rPr>
        <w:t>管</w:t>
      </w:r>
      <w:r>
        <w:rPr>
          <w:spacing w:val="4"/>
        </w:rPr>
        <w:t>理</w:t>
      </w:r>
      <w:r>
        <w:rPr>
          <w:spacing w:val="2"/>
        </w:rPr>
        <w:t>制</w:t>
      </w:r>
      <w:r>
        <w:rPr>
          <w:spacing w:val="4"/>
        </w:rPr>
        <w:t>度</w:t>
      </w:r>
      <w:r>
        <w:rPr>
          <w:spacing w:val="-118"/>
        </w:rPr>
        <w:t>》</w:t>
      </w:r>
      <w:r>
        <w:rPr>
          <w:spacing w:val="-116"/>
        </w:rPr>
        <w:t>、</w:t>
      </w:r>
      <w:r>
        <w:rPr>
          <w:spacing w:val="4"/>
        </w:rPr>
        <w:t>《</w:t>
      </w:r>
      <w:r>
        <w:rPr>
          <w:spacing w:val="2"/>
        </w:rPr>
        <w:t>募集</w:t>
      </w:r>
      <w:r>
        <w:rPr>
          <w:spacing w:val="4"/>
        </w:rPr>
        <w:t>资金</w:t>
      </w:r>
      <w:r>
        <w:rPr>
          <w:spacing w:val="2"/>
        </w:rPr>
        <w:t>管</w:t>
      </w:r>
      <w:r>
        <w:rPr>
          <w:spacing w:val="4"/>
        </w:rPr>
        <w:t>理</w:t>
      </w:r>
      <w:r>
        <w:rPr>
          <w:spacing w:val="2"/>
        </w:rPr>
        <w:t>制</w:t>
      </w:r>
      <w:r>
        <w:rPr>
          <w:spacing w:val="4"/>
        </w:rPr>
        <w:t>度</w:t>
      </w:r>
      <w:r>
        <w:rPr>
          <w:spacing w:val="-118"/>
        </w:rPr>
        <w:t>》</w:t>
      </w:r>
      <w:r>
        <w:rPr>
          <w:spacing w:val="-116"/>
        </w:rPr>
        <w:t>、</w:t>
      </w:r>
      <w:r>
        <w:rPr>
          <w:spacing w:val="4"/>
        </w:rPr>
        <w:t>《</w:t>
      </w:r>
      <w:r>
        <w:rPr>
          <w:spacing w:val="2"/>
        </w:rPr>
        <w:t>关联</w:t>
      </w:r>
      <w:r>
        <w:rPr>
          <w:spacing w:val="4"/>
        </w:rPr>
        <w:t>交易</w:t>
      </w:r>
      <w:r>
        <w:rPr>
          <w:spacing w:val="2"/>
        </w:rPr>
        <w:t>决</w:t>
      </w:r>
      <w:r>
        <w:rPr>
          <w:spacing w:val="4"/>
        </w:rPr>
        <w:t>策</w:t>
      </w:r>
      <w:r>
        <w:rPr>
          <w:spacing w:val="2"/>
        </w:rPr>
        <w:t>制</w:t>
      </w:r>
      <w:r>
        <w:rPr>
          <w:spacing w:val="4"/>
        </w:rPr>
        <w:t>度</w:t>
      </w:r>
      <w:r>
        <w:rPr>
          <w:spacing w:val="-116"/>
        </w:rPr>
        <w:t>》</w:t>
      </w:r>
      <w:r>
        <w:rPr/>
        <w:t>、</w:t>
      </w:r>
    </w:p>
    <w:p>
      <w:pPr>
        <w:pStyle w:val="BodyText"/>
        <w:spacing w:line="357" w:lineRule="auto" w:before="36"/>
        <w:ind w:right="1443"/>
        <w:jc w:val="both"/>
      </w:pPr>
      <w:r>
        <w:rPr>
          <w:spacing w:val="-10"/>
        </w:rPr>
        <w:t>《年报信息披露重大差错责任追究制度》、《信息披露管理制度》、《投资者关系管理制</w:t>
      </w:r>
      <w:r>
        <w:rPr>
          <w:spacing w:val="-85"/>
        </w:rPr>
        <w:t> </w:t>
      </w:r>
      <w:r>
        <w:rPr>
          <w:spacing w:val="-85"/>
        </w:rPr>
      </w:r>
      <w:r>
        <w:rPr/>
        <w:t>度》等内部规范制度。</w:t>
      </w:r>
    </w:p>
    <w:p>
      <w:pPr>
        <w:pStyle w:val="BodyText"/>
        <w:spacing w:line="357" w:lineRule="auto" w:before="36"/>
        <w:ind w:right="1433" w:firstLine="420"/>
        <w:jc w:val="both"/>
      </w:pPr>
      <w:r>
        <w:rPr>
          <w:spacing w:val="-1"/>
        </w:rPr>
        <w:t>报告期内，为进一步规范公司风险投资及相关信息披露行为，公司修订了《风险投</w:t>
      </w:r>
      <w:r>
        <w:rPr/>
        <w:t> </w:t>
      </w:r>
      <w:r>
        <w:rPr>
          <w:spacing w:val="-3"/>
        </w:rPr>
        <w:t>资管理制度》；为进一步完善公司内幕信息管理制度，加强内幕信息保密工作，有效防</w:t>
      </w:r>
      <w:r>
        <w:rPr>
          <w:spacing w:val="-107"/>
        </w:rPr>
        <w:t> </w:t>
      </w:r>
      <w:r>
        <w:rPr>
          <w:spacing w:val="-107"/>
        </w:rPr>
      </w:r>
      <w:r>
        <w:rPr>
          <w:spacing w:val="-5"/>
        </w:rPr>
        <w:t>范内幕交易，公司制订了《内幕信息知情人登记管理制度》。</w:t>
      </w:r>
    </w:p>
    <w:p>
      <w:pPr>
        <w:pStyle w:val="BodyText"/>
        <w:spacing w:line="357" w:lineRule="auto" w:before="36"/>
        <w:ind w:right="1433" w:firstLine="420"/>
        <w:jc w:val="both"/>
      </w:pPr>
      <w:r>
        <w:rPr>
          <w:spacing w:val="-1"/>
        </w:rPr>
        <w:t>以上制度均已在公司网站及深交所指定信息披露网站巨潮资讯网进行披露。目前公</w:t>
      </w:r>
      <w:r>
        <w:rPr/>
        <w:t> </w:t>
      </w:r>
      <w:r>
        <w:rPr>
          <w:spacing w:val="-3"/>
        </w:rPr>
        <w:t>司整体运作规范、治理制度健全、独立性强、信息披露透明，公司治理实际状况与中国</w:t>
      </w:r>
      <w:r>
        <w:rPr>
          <w:spacing w:val="-96"/>
        </w:rPr>
        <w:t> </w:t>
      </w:r>
      <w:r>
        <w:rPr>
          <w:spacing w:val="-96"/>
        </w:rPr>
      </w:r>
      <w:r>
        <w:rPr/>
        <w:t>证监会有关上市公司治理的规范性文件要求基本符合。</w:t>
      </w:r>
    </w:p>
    <w:p>
      <w:pPr>
        <w:pStyle w:val="BodyText"/>
        <w:spacing w:line="240" w:lineRule="auto" w:before="36"/>
        <w:ind w:left="620" w:right="1314"/>
        <w:jc w:val="left"/>
      </w:pPr>
      <w:r>
        <w:rPr>
          <w:rFonts w:ascii="Times New Roman" w:hAnsi="Times New Roman" w:cs="Times New Roman" w:eastAsia="Times New Roman" w:hint="default"/>
        </w:rPr>
        <w:t>1</w:t>
      </w:r>
      <w:r>
        <w:rPr/>
        <w:t>、关于股东与股东大会</w:t>
      </w:r>
    </w:p>
    <w:p>
      <w:pPr>
        <w:pStyle w:val="BodyText"/>
        <w:spacing w:line="345" w:lineRule="auto" w:before="136"/>
        <w:ind w:right="1436"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spacing w:val="-7"/>
        </w:rPr>
        <w:t>年，公司严格按照公司《章程》、《股东大会议事规则》的规定和要求，规范</w:t>
      </w:r>
      <w:r>
        <w:rPr/>
        <w:t> </w:t>
      </w:r>
      <w:r>
        <w:rPr>
          <w:spacing w:val="-9"/>
        </w:rPr>
        <w:t>股东大会的召集、召开、表决程序，平等对待所有股东，确保股东能充分行使权利。</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年第一次临时股东大会在审议 </w:t>
      </w:r>
      <w:r>
        <w:rPr>
          <w:rFonts w:ascii="宋体" w:hAnsi="宋体" w:cs="宋体" w:eastAsia="宋体" w:hint="default"/>
        </w:rPr>
        <w:t>2011</w:t>
      </w:r>
      <w:r>
        <w:rPr>
          <w:rFonts w:ascii="宋体" w:hAnsi="宋体" w:cs="宋体" w:eastAsia="宋体" w:hint="default"/>
          <w:spacing w:val="-92"/>
        </w:rPr>
        <w:t> </w:t>
      </w:r>
      <w:r>
        <w:rPr/>
        <w:t>年非公开发行股票事项时采用现场投票和网络投票 相结合的方式，有效保证了中小股东的权利。</w:t>
      </w:r>
    </w:p>
    <w:p>
      <w:pPr>
        <w:pStyle w:val="BodyText"/>
        <w:spacing w:line="338" w:lineRule="auto" w:before="48"/>
        <w:ind w:left="620" w:right="1436"/>
        <w:jc w:val="left"/>
      </w:pPr>
      <w:r>
        <w:rPr>
          <w:rFonts w:ascii="Times New Roman" w:hAnsi="Times New Roman" w:cs="Times New Roman" w:eastAsia="Times New Roman" w:hint="default"/>
        </w:rPr>
        <w:t>2</w:t>
      </w:r>
      <w:r>
        <w:rPr/>
        <w:t>、关于控股股东与上市公司的关系 </w:t>
      </w:r>
      <w:r>
        <w:rPr>
          <w:spacing w:val="-3"/>
        </w:rPr>
        <w:t>公司控股股东行为规范，能依法行使其权利，并承担相应义务，通过股东大会行使</w:t>
      </w:r>
    </w:p>
    <w:p>
      <w:pPr>
        <w:pStyle w:val="BodyText"/>
        <w:spacing w:line="357" w:lineRule="auto" w:before="55"/>
        <w:ind w:right="1437"/>
        <w:jc w:val="both"/>
      </w:pPr>
      <w:r>
        <w:rPr>
          <w:spacing w:val="-3"/>
        </w:rPr>
        <w:t>出资人权利，没有超越公司股东大会直接或间接干预公司的决策和经营活动。公司与控</w:t>
      </w:r>
      <w:r>
        <w:rPr>
          <w:spacing w:val="-98"/>
        </w:rPr>
        <w:t> </w:t>
      </w:r>
      <w:r>
        <w:rPr>
          <w:spacing w:val="-98"/>
        </w:rPr>
      </w:r>
      <w:r>
        <w:rPr>
          <w:spacing w:val="-3"/>
        </w:rPr>
        <w:t>股股东在人员、资产、财务、机构、业务上相互独立，公司董事会、监事会和内部机构</w:t>
      </w:r>
      <w:r>
        <w:rPr>
          <w:spacing w:val="-103"/>
        </w:rPr>
        <w:t> </w:t>
      </w:r>
      <w:r>
        <w:rPr>
          <w:spacing w:val="-103"/>
        </w:rPr>
      </w:r>
      <w:r>
        <w:rPr>
          <w:spacing w:val="-3"/>
        </w:rPr>
        <w:t>能够独立运作。公司与控股股东关联法人之间发生的关联交易，定价公平合理，审批程</w:t>
      </w:r>
      <w:r>
        <w:rPr>
          <w:spacing w:val="-102"/>
        </w:rPr>
        <w:t> </w:t>
      </w:r>
      <w:r>
        <w:rPr>
          <w:spacing w:val="-102"/>
        </w:rPr>
      </w:r>
      <w:r>
        <w:rPr/>
        <w:t>序符合相关法律、法规及公司《章程》的规定。</w:t>
      </w:r>
    </w:p>
    <w:p>
      <w:pPr>
        <w:spacing w:after="0" w:line="357" w:lineRule="auto"/>
        <w:jc w:val="both"/>
        <w:sectPr>
          <w:pgSz w:w="11910" w:h="16840"/>
          <w:pgMar w:header="748" w:footer="857" w:top="980" w:bottom="1140" w:left="1300" w:right="0"/>
        </w:sectPr>
      </w:pPr>
    </w:p>
    <w:p>
      <w:pPr>
        <w:spacing w:line="240" w:lineRule="auto" w:before="6"/>
        <w:rPr>
          <w:rFonts w:ascii="宋体" w:hAnsi="宋体" w:cs="宋体" w:eastAsia="宋体" w:hint="default"/>
          <w:sz w:val="29"/>
          <w:szCs w:val="29"/>
        </w:rPr>
      </w:pPr>
    </w:p>
    <w:p>
      <w:pPr>
        <w:pStyle w:val="BodyText"/>
        <w:spacing w:line="338" w:lineRule="auto" w:before="26"/>
        <w:ind w:left="620" w:right="1436"/>
        <w:jc w:val="left"/>
      </w:pPr>
      <w:r>
        <w:rPr>
          <w:rFonts w:ascii="Times New Roman" w:hAnsi="Times New Roman" w:cs="Times New Roman" w:eastAsia="Times New Roman" w:hint="default"/>
        </w:rPr>
        <w:t>3</w:t>
      </w:r>
      <w:r>
        <w:rPr/>
        <w:t>、关于董事和董事会 </w:t>
      </w:r>
      <w:r>
        <w:rPr>
          <w:spacing w:val="-3"/>
        </w:rPr>
        <w:t>公司严格按照《公司法》、公司《章程》规定的选聘程序选举董事，董事会的人数</w:t>
      </w:r>
    </w:p>
    <w:p>
      <w:pPr>
        <w:pStyle w:val="BodyText"/>
        <w:spacing w:line="357" w:lineRule="auto" w:before="55"/>
        <w:ind w:right="1435"/>
        <w:jc w:val="both"/>
      </w:pPr>
      <w:r>
        <w:rPr>
          <w:spacing w:val="-3"/>
        </w:rPr>
        <w:t>及结构符合法律法规和公司《章程》的要求。全体董事严格按照《公司法》和公司《章</w:t>
      </w:r>
      <w:r>
        <w:rPr>
          <w:spacing w:val="-98"/>
        </w:rPr>
        <w:t> </w:t>
      </w:r>
      <w:r>
        <w:rPr>
          <w:spacing w:val="-98"/>
        </w:rPr>
      </w:r>
      <w:r>
        <w:rPr>
          <w:spacing w:val="-9"/>
        </w:rPr>
        <w:t>程》、《董事会议事规则》的规定，规范董事会的召集、召开和表决；认真出席董事会和</w:t>
      </w:r>
      <w:r>
        <w:rPr>
          <w:spacing w:val="-102"/>
        </w:rPr>
        <w:t> </w:t>
      </w:r>
      <w:r>
        <w:rPr>
          <w:spacing w:val="-102"/>
        </w:rPr>
      </w:r>
      <w:r>
        <w:rPr/>
        <w:t>股东大会，积极参加相关知识的培训，熟悉有关法律法规，勤勉尽责。</w:t>
      </w:r>
    </w:p>
    <w:p>
      <w:pPr>
        <w:pStyle w:val="BodyText"/>
        <w:spacing w:line="338" w:lineRule="auto" w:before="36"/>
        <w:ind w:left="620" w:right="1436"/>
        <w:jc w:val="left"/>
      </w:pPr>
      <w:r>
        <w:rPr>
          <w:rFonts w:ascii="Times New Roman" w:hAnsi="Times New Roman" w:cs="Times New Roman" w:eastAsia="Times New Roman" w:hint="default"/>
        </w:rPr>
        <w:t>4</w:t>
      </w:r>
      <w:r>
        <w:rPr/>
        <w:t>、关于监事和监事会 </w:t>
      </w:r>
      <w:r>
        <w:rPr>
          <w:spacing w:val="-3"/>
        </w:rPr>
        <w:t>公司严格按照《公司法》、公司《章程》的规定选举产生监事，监事会的人数及结</w:t>
      </w:r>
    </w:p>
    <w:p>
      <w:pPr>
        <w:pStyle w:val="BodyText"/>
        <w:spacing w:line="357" w:lineRule="auto" w:before="56"/>
        <w:ind w:right="1314"/>
        <w:jc w:val="left"/>
      </w:pPr>
      <w:r>
        <w:rPr>
          <w:spacing w:val="-9"/>
        </w:rPr>
        <w:t>构符合法律法规和公司《章程》的要求。全体监事严格按照公司《章程》、《监事会议事</w:t>
      </w:r>
      <w:r>
        <w:rPr>
          <w:spacing w:val="-100"/>
        </w:rPr>
        <w:t> </w:t>
      </w:r>
      <w:r>
        <w:rPr>
          <w:spacing w:val="-100"/>
        </w:rPr>
      </w:r>
      <w:r>
        <w:rPr>
          <w:spacing w:val="-6"/>
        </w:rPr>
        <w:t>规则》的规定，规范监事会的召集、召开和表决，公司监事认真履行职责，诚信、勤勉、</w:t>
      </w:r>
      <w:r>
        <w:rPr>
          <w:spacing w:val="-101"/>
        </w:rPr>
        <w:t> </w:t>
      </w:r>
      <w:r>
        <w:rPr>
          <w:spacing w:val="-101"/>
        </w:rPr>
      </w:r>
      <w:r>
        <w:rPr>
          <w:spacing w:val="-3"/>
        </w:rPr>
        <w:t>尽责地对公司财务以及董事、高级管理人员履行职责的合法、合规性进行监督，维护公</w:t>
      </w:r>
      <w:r>
        <w:rPr>
          <w:spacing w:val="-102"/>
        </w:rPr>
        <w:t> </w:t>
      </w:r>
      <w:r>
        <w:rPr>
          <w:spacing w:val="-102"/>
        </w:rPr>
      </w:r>
      <w:r>
        <w:rPr/>
        <w:t>司及股东的合法权益。</w:t>
      </w:r>
    </w:p>
    <w:p>
      <w:pPr>
        <w:pStyle w:val="BodyText"/>
        <w:spacing w:line="338" w:lineRule="auto" w:before="36"/>
        <w:ind w:left="620" w:right="1436"/>
        <w:jc w:val="left"/>
      </w:pPr>
      <w:r>
        <w:rPr>
          <w:rFonts w:ascii="Times New Roman" w:hAnsi="Times New Roman" w:cs="Times New Roman" w:eastAsia="Times New Roman" w:hint="default"/>
        </w:rPr>
        <w:t>5</w:t>
      </w:r>
      <w:r>
        <w:rPr/>
        <w:t>、关于绩效评价与激励约束机制 </w:t>
      </w:r>
      <w:r>
        <w:rPr>
          <w:spacing w:val="-3"/>
        </w:rPr>
        <w:t>公司已经建立相对公正、透明的董事、监事和高级管理人员的绩效评价标准和激励</w:t>
      </w:r>
    </w:p>
    <w:p>
      <w:pPr>
        <w:pStyle w:val="BodyText"/>
        <w:spacing w:line="348" w:lineRule="auto" w:before="55"/>
        <w:ind w:left="620" w:right="1436" w:hanging="480"/>
        <w:jc w:val="left"/>
      </w:pPr>
      <w:r>
        <w:rPr/>
        <w:t>约束机制，公司高管人员的聘任公开、透明，符合法律法规的规定。 </w:t>
      </w:r>
      <w:r>
        <w:rPr>
          <w:rFonts w:ascii="Times New Roman" w:hAnsi="Times New Roman" w:cs="Times New Roman" w:eastAsia="Times New Roman" w:hint="default"/>
        </w:rPr>
        <w:t>6</w:t>
      </w:r>
      <w:r>
        <w:rPr/>
        <w:t>、关于相关利益者 </w:t>
      </w:r>
      <w:r>
        <w:rPr>
          <w:spacing w:val="-3"/>
        </w:rPr>
        <w:t>公司能够充分尊重和维护相关利益者的合法权益，积极与相关利益者合作，加强与</w:t>
      </w:r>
    </w:p>
    <w:p>
      <w:pPr>
        <w:pStyle w:val="BodyText"/>
        <w:spacing w:line="357" w:lineRule="auto" w:before="46"/>
        <w:ind w:right="1314"/>
        <w:jc w:val="left"/>
      </w:pPr>
      <w:r>
        <w:rPr>
          <w:spacing w:val="-6"/>
        </w:rPr>
        <w:t>各方的沟通和交流，实现股东、员工、社会等各方利益的均衡，以推动公司持续、稳定、</w:t>
      </w:r>
      <w:r>
        <w:rPr>
          <w:spacing w:val="-104"/>
        </w:rPr>
        <w:t> </w:t>
      </w:r>
      <w:r>
        <w:rPr>
          <w:spacing w:val="-104"/>
        </w:rPr>
      </w:r>
      <w:r>
        <w:rPr/>
        <w:t>健康地发展。</w:t>
      </w:r>
    </w:p>
    <w:p>
      <w:pPr>
        <w:pStyle w:val="BodyText"/>
        <w:spacing w:line="338" w:lineRule="auto" w:before="36"/>
        <w:ind w:left="620" w:right="1314"/>
        <w:jc w:val="left"/>
      </w:pPr>
      <w:r>
        <w:rPr>
          <w:rFonts w:ascii="Times New Roman" w:hAnsi="Times New Roman" w:cs="Times New Roman" w:eastAsia="Times New Roman" w:hint="default"/>
        </w:rPr>
        <w:t>7</w:t>
      </w:r>
      <w:r>
        <w:rPr/>
        <w:t>、关于信息披露与透明度 </w:t>
      </w:r>
      <w:r>
        <w:rPr>
          <w:spacing w:val="2"/>
        </w:rPr>
        <w:t>公司严格按照《信息披露管理制度》和《投资者关系管理制度》的要求，指定公</w:t>
      </w:r>
    </w:p>
    <w:p>
      <w:pPr>
        <w:pStyle w:val="BodyText"/>
        <w:spacing w:line="357" w:lineRule="auto" w:before="56"/>
        <w:ind w:right="1314"/>
        <w:jc w:val="left"/>
      </w:pPr>
      <w:r>
        <w:rPr>
          <w:spacing w:val="2"/>
        </w:rPr>
        <w:t>司董事会秘书负责信息披露工作、接待股东来访和咨询，严格按照有关规定真实、准</w:t>
      </w:r>
      <w:r>
        <w:rPr>
          <w:spacing w:val="-97"/>
        </w:rPr>
        <w:t> </w:t>
      </w:r>
      <w:r>
        <w:rPr>
          <w:spacing w:val="-97"/>
        </w:rPr>
      </w:r>
      <w:r>
        <w:rPr/>
        <w:t>确、完整、及时地披露有关信息，确保公司所有股东能够以平等的机会获得信息。</w:t>
      </w:r>
    </w:p>
    <w:p>
      <w:pPr>
        <w:pStyle w:val="BodyText"/>
        <w:spacing w:line="240" w:lineRule="auto" w:before="36"/>
        <w:ind w:left="620" w:right="1314"/>
        <w:jc w:val="left"/>
      </w:pPr>
      <w:r>
        <w:rPr/>
        <w:t>二、公司董事长、独立董事及其他董事履行职责情况</w:t>
      </w:r>
    </w:p>
    <w:p>
      <w:pPr>
        <w:pStyle w:val="BodyText"/>
        <w:spacing w:line="352" w:lineRule="auto" w:before="154"/>
        <w:ind w:right="1345" w:firstLine="480"/>
        <w:jc w:val="both"/>
      </w:pPr>
      <w:r>
        <w:rPr>
          <w:rFonts w:ascii="Times New Roman" w:hAnsi="Times New Roman" w:cs="Times New Roman" w:eastAsia="Times New Roman" w:hint="default"/>
          <w:spacing w:val="-6"/>
        </w:rPr>
        <w:t>1</w:t>
      </w:r>
      <w:r>
        <w:rPr>
          <w:spacing w:val="-6"/>
        </w:rPr>
        <w:t>、报告期内，公司全体董事严格按照《公司法》、《深圳证券交易所中小企业板上</w:t>
      </w:r>
      <w:r>
        <w:rPr/>
        <w:t> </w:t>
      </w:r>
      <w:r>
        <w:rPr>
          <w:spacing w:val="-3"/>
        </w:rPr>
        <w:t>市公司规范运作指引》及公司《章程》的规定和要求，履行董事职责，遵守董事行为规</w:t>
      </w:r>
      <w:r>
        <w:rPr>
          <w:spacing w:val="-104"/>
        </w:rPr>
        <w:t> </w:t>
      </w:r>
      <w:r>
        <w:rPr>
          <w:spacing w:val="-104"/>
        </w:rPr>
      </w:r>
      <w:r>
        <w:rPr>
          <w:spacing w:val="-3"/>
        </w:rPr>
        <w:t>范，积极参加监管部门组织的培训，参会、履职意识进一步增强，规范运作水平进一步</w:t>
      </w:r>
      <w:r>
        <w:rPr>
          <w:spacing w:val="-96"/>
        </w:rPr>
        <w:t> </w:t>
      </w:r>
      <w:r>
        <w:rPr>
          <w:spacing w:val="-96"/>
        </w:rPr>
      </w:r>
      <w:r>
        <w:rPr>
          <w:spacing w:val="-3"/>
        </w:rPr>
        <w:t>提高。董事在董事会会议投票表决重大事项或其他对公司有重大影响的事项时，严格遵</w:t>
      </w:r>
      <w:r>
        <w:rPr>
          <w:spacing w:val="-98"/>
        </w:rPr>
        <w:t> </w:t>
      </w:r>
      <w:r>
        <w:rPr>
          <w:spacing w:val="-98"/>
        </w:rPr>
      </w:r>
      <w:r>
        <w:rPr/>
        <w:t>循公司《董事会议事规则》的有关审议规定，审慎决策，切实保护公司和投资者利益。</w:t>
      </w:r>
    </w:p>
    <w:p>
      <w:pPr>
        <w:pStyle w:val="BodyText"/>
        <w:spacing w:line="240" w:lineRule="auto" w:before="41"/>
        <w:ind w:left="620" w:right="1314"/>
        <w:jc w:val="left"/>
      </w:pPr>
      <w:r>
        <w:rPr>
          <w:rFonts w:ascii="Times New Roman" w:hAnsi="Times New Roman" w:cs="Times New Roman" w:eastAsia="Times New Roman" w:hint="default"/>
          <w:spacing w:val="-1"/>
        </w:rPr>
        <w:t>2</w:t>
      </w:r>
      <w:r>
        <w:rPr/>
        <w:t>、公</w:t>
      </w:r>
      <w:r>
        <w:rPr>
          <w:spacing w:val="2"/>
        </w:rPr>
        <w:t>司</w:t>
      </w:r>
      <w:r>
        <w:rPr/>
        <w:t>董事</w:t>
      </w:r>
      <w:r>
        <w:rPr>
          <w:spacing w:val="2"/>
        </w:rPr>
        <w:t>长</w:t>
      </w:r>
      <w:r>
        <w:rPr/>
        <w:t>张近</w:t>
      </w:r>
      <w:r>
        <w:rPr>
          <w:spacing w:val="2"/>
        </w:rPr>
        <w:t>东</w:t>
      </w:r>
      <w:r>
        <w:rPr/>
        <w:t>先生在</w:t>
      </w:r>
      <w:r>
        <w:rPr>
          <w:spacing w:val="2"/>
        </w:rPr>
        <w:t>履</w:t>
      </w:r>
      <w:r>
        <w:rPr/>
        <w:t>行职</w:t>
      </w:r>
      <w:r>
        <w:rPr>
          <w:spacing w:val="2"/>
        </w:rPr>
        <w:t>责</w:t>
      </w:r>
      <w:r>
        <w:rPr/>
        <w:t>时，</w:t>
      </w:r>
      <w:r>
        <w:rPr>
          <w:spacing w:val="2"/>
        </w:rPr>
        <w:t>严</w:t>
      </w:r>
      <w:r>
        <w:rPr/>
        <w:t>格按照</w:t>
      </w:r>
      <w:r>
        <w:rPr>
          <w:spacing w:val="2"/>
        </w:rPr>
        <w:t>《</w:t>
      </w:r>
      <w:r>
        <w:rPr/>
        <w:t>公司</w:t>
      </w:r>
      <w:r>
        <w:rPr>
          <w:spacing w:val="2"/>
        </w:rPr>
        <w:t>法</w:t>
      </w:r>
      <w:r>
        <w:rPr>
          <w:spacing w:val="-120"/>
        </w:rPr>
        <w:t>》、</w:t>
      </w:r>
      <w:r>
        <w:rPr>
          <w:spacing w:val="2"/>
        </w:rPr>
        <w:t>《深</w:t>
      </w:r>
      <w:r>
        <w:rPr/>
        <w:t>圳证券</w:t>
      </w:r>
      <w:r>
        <w:rPr>
          <w:spacing w:val="2"/>
        </w:rPr>
        <w:t>交</w:t>
      </w:r>
      <w:r>
        <w:rPr/>
        <w:t>易所</w:t>
      </w:r>
    </w:p>
    <w:p>
      <w:pPr>
        <w:pStyle w:val="BodyText"/>
        <w:spacing w:line="468" w:lineRule="exact" w:before="41"/>
        <w:ind w:right="1314"/>
        <w:jc w:val="left"/>
      </w:pPr>
      <w:r>
        <w:rPr>
          <w:spacing w:val="-6"/>
        </w:rPr>
        <w:t>中小企业板块上市公司规范运作指引》和公司《章程》规定，行使董事长职权。在召集、</w:t>
      </w:r>
      <w:r>
        <w:rPr>
          <w:spacing w:val="-104"/>
        </w:rPr>
        <w:t> </w:t>
      </w:r>
      <w:r>
        <w:rPr>
          <w:spacing w:val="-104"/>
        </w:rPr>
      </w:r>
      <w:r>
        <w:rPr>
          <w:spacing w:val="-3"/>
        </w:rPr>
        <w:t>主持董事会会议时，带头执行董事会集体决策机制，并积极推动公司治理工作的深入开</w:t>
      </w:r>
    </w:p>
    <w:p>
      <w:pPr>
        <w:spacing w:after="0" w:line="468" w:lineRule="exact"/>
        <w:jc w:val="left"/>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357" w:lineRule="auto" w:before="26"/>
        <w:ind w:left="240" w:right="1422"/>
        <w:jc w:val="left"/>
      </w:pPr>
      <w:r>
        <w:rPr>
          <w:spacing w:val="-3"/>
        </w:rPr>
        <w:t>展和内部控制建设的不断完善，督促执行股东大会和董事会的各项决议，确保公司规范</w:t>
      </w:r>
      <w:r>
        <w:rPr>
          <w:spacing w:val="-98"/>
        </w:rPr>
        <w:t> </w:t>
      </w:r>
      <w:r>
        <w:rPr>
          <w:spacing w:val="-98"/>
        </w:rPr>
      </w:r>
      <w:r>
        <w:rPr/>
        <w:t>运作。</w:t>
      </w:r>
    </w:p>
    <w:p>
      <w:pPr>
        <w:pStyle w:val="BodyText"/>
        <w:spacing w:line="240" w:lineRule="auto" w:before="36"/>
        <w:ind w:left="720" w:right="3386"/>
        <w:jc w:val="left"/>
      </w:pPr>
      <w:r>
        <w:rPr>
          <w:rFonts w:ascii="Times New Roman" w:hAnsi="Times New Roman" w:cs="Times New Roman" w:eastAsia="Times New Roman" w:hint="default"/>
        </w:rPr>
        <w:t>3</w:t>
      </w:r>
      <w:r>
        <w:rPr/>
        <w:t>、公司独立董事履职情况</w:t>
      </w:r>
    </w:p>
    <w:p>
      <w:pPr>
        <w:pStyle w:val="BodyText"/>
        <w:spacing w:line="338" w:lineRule="auto"/>
        <w:ind w:left="720" w:right="1436"/>
        <w:jc w:val="left"/>
      </w:pPr>
      <w:r>
        <w:rPr/>
        <w:t>（</w:t>
      </w:r>
      <w:r>
        <w:rPr>
          <w:rFonts w:ascii="Times New Roman" w:hAnsi="Times New Roman" w:cs="Times New Roman" w:eastAsia="Times New Roman" w:hint="default"/>
        </w:rPr>
        <w:t>1</w:t>
      </w:r>
      <w:r>
        <w:rPr/>
        <w:t>）独立董事出席董事会、董事会各专业委员会以及股东大会的情况 </w:t>
      </w:r>
      <w:r>
        <w:rPr>
          <w:spacing w:val="-3"/>
        </w:rPr>
        <w:t>公司独立董事沈坤荣先生、孙剑平先生和戴新民先生，严格按照有关法律、法规及</w:t>
      </w:r>
    </w:p>
    <w:p>
      <w:pPr>
        <w:pStyle w:val="BodyText"/>
        <w:spacing w:line="357" w:lineRule="auto" w:before="55"/>
        <w:ind w:left="240" w:right="1422"/>
        <w:jc w:val="left"/>
      </w:pPr>
      <w:r>
        <w:rPr>
          <w:spacing w:val="-9"/>
        </w:rPr>
        <w:t>公司《章程》、《独立董事制度》等规定履行职责，报告期内出席董事会、董事会专门委</w:t>
      </w:r>
      <w:r>
        <w:rPr>
          <w:spacing w:val="-99"/>
        </w:rPr>
        <w:t> </w:t>
      </w:r>
      <w:r>
        <w:rPr>
          <w:spacing w:val="-99"/>
        </w:rPr>
      </w:r>
      <w:r>
        <w:rPr/>
        <w:t>员会以及股东大会的情况如下：</w:t>
      </w:r>
    </w:p>
    <w:p>
      <w:pPr>
        <w:spacing w:line="240" w:lineRule="auto" w:before="1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816"/>
        <w:gridCol w:w="914"/>
        <w:gridCol w:w="1011"/>
        <w:gridCol w:w="914"/>
        <w:gridCol w:w="818"/>
        <w:gridCol w:w="819"/>
        <w:gridCol w:w="1068"/>
        <w:gridCol w:w="1066"/>
        <w:gridCol w:w="905"/>
        <w:gridCol w:w="893"/>
      </w:tblGrid>
      <w:tr>
        <w:trPr>
          <w:trHeight w:val="1423" w:hRule="exact"/>
        </w:trPr>
        <w:tc>
          <w:tcPr>
            <w:tcW w:w="81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132"/>
              <w:jc w:val="left"/>
              <w:rPr>
                <w:rFonts w:ascii="宋体" w:hAnsi="宋体" w:cs="宋体" w:eastAsia="宋体" w:hint="default"/>
                <w:sz w:val="18"/>
                <w:szCs w:val="18"/>
              </w:rPr>
            </w:pPr>
            <w:r>
              <w:rPr>
                <w:rFonts w:ascii="宋体" w:hAnsi="宋体" w:cs="宋体" w:eastAsia="宋体" w:hint="default"/>
                <w:b/>
                <w:bCs/>
                <w:sz w:val="18"/>
                <w:szCs w:val="18"/>
              </w:rPr>
              <w:t>独立董</w:t>
            </w:r>
            <w:r>
              <w:rPr>
                <w:rFonts w:ascii="宋体" w:hAnsi="宋体" w:cs="宋体" w:eastAsia="宋体" w:hint="default"/>
                <w:b/>
                <w:bCs/>
                <w:w w:val="99"/>
                <w:sz w:val="18"/>
                <w:szCs w:val="18"/>
              </w:rPr>
              <w:t> </w:t>
            </w:r>
            <w:r>
              <w:rPr>
                <w:rFonts w:ascii="宋体" w:hAnsi="宋体" w:cs="宋体" w:eastAsia="宋体" w:hint="default"/>
                <w:b/>
                <w:bCs/>
                <w:sz w:val="18"/>
                <w:szCs w:val="18"/>
              </w:rPr>
              <w:t>事姓名</w:t>
            </w:r>
            <w:r>
              <w:rPr>
                <w:rFonts w:ascii="宋体" w:hAnsi="宋体" w:cs="宋体" w:eastAsia="宋体" w:hint="default"/>
                <w:sz w:val="18"/>
                <w:szCs w:val="18"/>
              </w:rPr>
            </w:r>
          </w:p>
        </w:tc>
        <w:tc>
          <w:tcPr>
            <w:tcW w:w="9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03" w:right="79" w:firstLine="79"/>
              <w:jc w:val="both"/>
              <w:rPr>
                <w:rFonts w:ascii="宋体" w:hAnsi="宋体" w:cs="宋体" w:eastAsia="宋体" w:hint="default"/>
                <w:sz w:val="18"/>
                <w:szCs w:val="18"/>
              </w:rPr>
            </w:pPr>
            <w:r>
              <w:rPr>
                <w:rFonts w:ascii="宋体" w:hAnsi="宋体" w:cs="宋体" w:eastAsia="宋体" w:hint="default"/>
                <w:b/>
                <w:bCs/>
                <w:sz w:val="18"/>
                <w:szCs w:val="18"/>
              </w:rPr>
              <w:t>应出席</w:t>
            </w:r>
            <w:r>
              <w:rPr>
                <w:rFonts w:ascii="宋体" w:hAnsi="宋体" w:cs="宋体" w:eastAsia="宋体" w:hint="default"/>
                <w:b/>
                <w:bCs/>
                <w:w w:val="99"/>
                <w:sz w:val="18"/>
                <w:szCs w:val="18"/>
              </w:rPr>
              <w:t> </w:t>
            </w:r>
            <w:r>
              <w:rPr>
                <w:rFonts w:ascii="宋体" w:hAnsi="宋体" w:cs="宋体" w:eastAsia="宋体" w:hint="default"/>
                <w:b/>
                <w:bCs/>
                <w:sz w:val="18"/>
                <w:szCs w:val="18"/>
              </w:rPr>
              <w:t>董事会</w:t>
            </w:r>
            <w:r>
              <w:rPr>
                <w:rFonts w:ascii="宋体" w:hAnsi="宋体" w:cs="宋体" w:eastAsia="宋体" w:hint="default"/>
                <w:b/>
                <w:bCs/>
                <w:w w:val="99"/>
                <w:sz w:val="18"/>
                <w:szCs w:val="18"/>
              </w:rPr>
              <w:t> </w:t>
            </w:r>
            <w:r>
              <w:rPr>
                <w:rFonts w:ascii="宋体" w:hAnsi="宋体" w:cs="宋体" w:eastAsia="宋体" w:hint="default"/>
                <w:b/>
                <w:bCs/>
                <w:sz w:val="18"/>
                <w:szCs w:val="18"/>
              </w:rPr>
              <w:t>会议次</w:t>
            </w:r>
            <w:r>
              <w:rPr>
                <w:rFonts w:ascii="宋体" w:hAnsi="宋体" w:cs="宋体" w:eastAsia="宋体" w:hint="default"/>
                <w:b/>
                <w:bCs/>
                <w:w w:val="99"/>
                <w:sz w:val="18"/>
                <w:szCs w:val="18"/>
              </w:rPr>
              <w:t> </w:t>
            </w:r>
            <w:r>
              <w:rPr>
                <w:rFonts w:ascii="宋体" w:hAnsi="宋体" w:cs="宋体" w:eastAsia="宋体" w:hint="default"/>
                <w:b/>
                <w:bCs/>
                <w:sz w:val="18"/>
                <w:szCs w:val="18"/>
              </w:rPr>
              <w:t>数（次）</w:t>
            </w:r>
            <w:r>
              <w:rPr>
                <w:rFonts w:ascii="宋体" w:hAnsi="宋体" w:cs="宋体" w:eastAsia="宋体" w:hint="default"/>
                <w:sz w:val="18"/>
                <w:szCs w:val="18"/>
              </w:rPr>
            </w:r>
          </w:p>
        </w:tc>
        <w:tc>
          <w:tcPr>
            <w:tcW w:w="10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39" w:right="140"/>
              <w:jc w:val="both"/>
              <w:rPr>
                <w:rFonts w:ascii="宋体" w:hAnsi="宋体" w:cs="宋体" w:eastAsia="宋体" w:hint="default"/>
                <w:sz w:val="18"/>
                <w:szCs w:val="18"/>
              </w:rPr>
            </w:pPr>
            <w:r>
              <w:rPr>
                <w:rFonts w:ascii="宋体" w:hAnsi="宋体" w:cs="宋体" w:eastAsia="宋体" w:hint="default"/>
                <w:b/>
                <w:bCs/>
                <w:sz w:val="18"/>
                <w:szCs w:val="18"/>
              </w:rPr>
              <w:t>现场出席</w:t>
            </w:r>
            <w:r>
              <w:rPr>
                <w:rFonts w:ascii="宋体" w:hAnsi="宋体" w:cs="宋体" w:eastAsia="宋体" w:hint="default"/>
                <w:b/>
                <w:bCs/>
                <w:w w:val="99"/>
                <w:sz w:val="18"/>
                <w:szCs w:val="18"/>
              </w:rPr>
              <w:t> </w:t>
            </w:r>
            <w:r>
              <w:rPr>
                <w:rFonts w:ascii="宋体" w:hAnsi="宋体" w:cs="宋体" w:eastAsia="宋体" w:hint="default"/>
                <w:b/>
                <w:bCs/>
                <w:sz w:val="18"/>
                <w:szCs w:val="18"/>
              </w:rPr>
              <w:t>董事会会</w:t>
            </w:r>
            <w:r>
              <w:rPr>
                <w:rFonts w:ascii="宋体" w:hAnsi="宋体" w:cs="宋体" w:eastAsia="宋体" w:hint="default"/>
                <w:b/>
                <w:bCs/>
                <w:w w:val="99"/>
                <w:sz w:val="18"/>
                <w:szCs w:val="18"/>
              </w:rPr>
              <w:t> </w:t>
            </w:r>
            <w:r>
              <w:rPr>
                <w:rFonts w:ascii="宋体" w:hAnsi="宋体" w:cs="宋体" w:eastAsia="宋体" w:hint="default"/>
                <w:b/>
                <w:bCs/>
                <w:sz w:val="18"/>
                <w:szCs w:val="18"/>
              </w:rPr>
              <w:t>议次数</w:t>
            </w:r>
            <w:r>
              <w:rPr>
                <w:rFonts w:ascii="宋体" w:hAnsi="宋体" w:cs="宋体" w:eastAsia="宋体" w:hint="default"/>
                <w:sz w:val="18"/>
                <w:szCs w:val="18"/>
              </w:rPr>
            </w:r>
          </w:p>
          <w:p>
            <w:pPr>
              <w:pStyle w:val="TableParagraph"/>
              <w:spacing w:line="233" w:lineRule="exact"/>
              <w:ind w:left="228" w:right="0"/>
              <w:jc w:val="both"/>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91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82" w:right="0"/>
              <w:jc w:val="both"/>
              <w:rPr>
                <w:rFonts w:ascii="宋体" w:hAnsi="宋体" w:cs="宋体" w:eastAsia="宋体" w:hint="default"/>
                <w:sz w:val="18"/>
                <w:szCs w:val="18"/>
              </w:rPr>
            </w:pPr>
            <w:r>
              <w:rPr>
                <w:rFonts w:ascii="宋体" w:hAnsi="宋体" w:cs="宋体" w:eastAsia="宋体" w:hint="default"/>
                <w:b/>
                <w:bCs/>
                <w:sz w:val="18"/>
                <w:szCs w:val="18"/>
              </w:rPr>
              <w:t>以通讯</w:t>
            </w:r>
            <w:r>
              <w:rPr>
                <w:rFonts w:ascii="宋体" w:hAnsi="宋体" w:cs="宋体" w:eastAsia="宋体" w:hint="default"/>
                <w:sz w:val="18"/>
                <w:szCs w:val="18"/>
              </w:rPr>
            </w:r>
          </w:p>
          <w:p>
            <w:pPr>
              <w:pStyle w:val="TableParagraph"/>
              <w:spacing w:line="237" w:lineRule="auto" w:before="2"/>
              <w:ind w:left="182" w:right="180"/>
              <w:jc w:val="both"/>
              <w:rPr>
                <w:rFonts w:ascii="宋体" w:hAnsi="宋体" w:cs="宋体" w:eastAsia="宋体" w:hint="default"/>
                <w:sz w:val="18"/>
                <w:szCs w:val="18"/>
              </w:rPr>
            </w:pPr>
            <w:r>
              <w:rPr>
                <w:rFonts w:ascii="宋体" w:hAnsi="宋体" w:cs="宋体" w:eastAsia="宋体" w:hint="default"/>
                <w:b/>
                <w:bCs/>
                <w:sz w:val="18"/>
                <w:szCs w:val="18"/>
              </w:rPr>
              <w:t>方式参</w:t>
            </w:r>
            <w:r>
              <w:rPr>
                <w:rFonts w:ascii="宋体" w:hAnsi="宋体" w:cs="宋体" w:eastAsia="宋体" w:hint="default"/>
                <w:b/>
                <w:bCs/>
                <w:w w:val="99"/>
                <w:sz w:val="18"/>
                <w:szCs w:val="18"/>
              </w:rPr>
              <w:t> </w:t>
            </w:r>
            <w:r>
              <w:rPr>
                <w:rFonts w:ascii="宋体" w:hAnsi="宋体" w:cs="宋体" w:eastAsia="宋体" w:hint="default"/>
                <w:b/>
                <w:bCs/>
                <w:sz w:val="18"/>
                <w:szCs w:val="18"/>
              </w:rPr>
              <w:t>加董事</w:t>
            </w:r>
            <w:r>
              <w:rPr>
                <w:rFonts w:ascii="宋体" w:hAnsi="宋体" w:cs="宋体" w:eastAsia="宋体" w:hint="default"/>
                <w:b/>
                <w:bCs/>
                <w:w w:val="99"/>
                <w:sz w:val="18"/>
                <w:szCs w:val="18"/>
              </w:rPr>
              <w:t> </w:t>
            </w:r>
            <w:r>
              <w:rPr>
                <w:rFonts w:ascii="宋体" w:hAnsi="宋体" w:cs="宋体" w:eastAsia="宋体" w:hint="default"/>
                <w:b/>
                <w:bCs/>
                <w:sz w:val="18"/>
                <w:szCs w:val="18"/>
              </w:rPr>
              <w:t>会会议</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p>
            <w:pPr>
              <w:pStyle w:val="TableParagraph"/>
              <w:spacing w:line="240" w:lineRule="auto"/>
              <w:ind w:left="182" w:right="0"/>
              <w:jc w:val="both"/>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8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34" w:right="132"/>
              <w:jc w:val="both"/>
              <w:rPr>
                <w:rFonts w:ascii="宋体" w:hAnsi="宋体" w:cs="宋体" w:eastAsia="宋体" w:hint="default"/>
                <w:sz w:val="18"/>
                <w:szCs w:val="18"/>
              </w:rPr>
            </w:pPr>
            <w:r>
              <w:rPr>
                <w:rFonts w:ascii="宋体" w:hAnsi="宋体" w:cs="宋体" w:eastAsia="宋体" w:hint="default"/>
                <w:b/>
                <w:bCs/>
                <w:sz w:val="18"/>
                <w:szCs w:val="18"/>
              </w:rPr>
              <w:t>委托出</w:t>
            </w:r>
            <w:r>
              <w:rPr>
                <w:rFonts w:ascii="宋体" w:hAnsi="宋体" w:cs="宋体" w:eastAsia="宋体" w:hint="default"/>
                <w:b/>
                <w:bCs/>
                <w:w w:val="99"/>
                <w:sz w:val="18"/>
                <w:szCs w:val="18"/>
              </w:rPr>
              <w:t> </w:t>
            </w:r>
            <w:r>
              <w:rPr>
                <w:rFonts w:ascii="宋体" w:hAnsi="宋体" w:cs="宋体" w:eastAsia="宋体" w:hint="default"/>
                <w:b/>
                <w:bCs/>
                <w:sz w:val="18"/>
                <w:szCs w:val="18"/>
              </w:rPr>
              <w:t>席董事</w:t>
            </w:r>
            <w:r>
              <w:rPr>
                <w:rFonts w:ascii="宋体" w:hAnsi="宋体" w:cs="宋体" w:eastAsia="宋体" w:hint="default"/>
                <w:b/>
                <w:bCs/>
                <w:w w:val="99"/>
                <w:sz w:val="18"/>
                <w:szCs w:val="18"/>
              </w:rPr>
              <w:t> </w:t>
            </w:r>
            <w:r>
              <w:rPr>
                <w:rFonts w:ascii="宋体" w:hAnsi="宋体" w:cs="宋体" w:eastAsia="宋体" w:hint="default"/>
                <w:b/>
                <w:bCs/>
                <w:sz w:val="18"/>
                <w:szCs w:val="18"/>
              </w:rPr>
              <w:t>会会议</w:t>
            </w:r>
            <w:r>
              <w:rPr>
                <w:rFonts w:ascii="宋体" w:hAnsi="宋体" w:cs="宋体" w:eastAsia="宋体" w:hint="default"/>
                <w:b/>
                <w:bCs/>
                <w:w w:val="99"/>
                <w:sz w:val="18"/>
                <w:szCs w:val="18"/>
              </w:rPr>
              <w:t> </w:t>
            </w:r>
            <w:r>
              <w:rPr>
                <w:rFonts w:ascii="宋体" w:hAnsi="宋体" w:cs="宋体" w:eastAsia="宋体" w:hint="default"/>
                <w:b/>
                <w:bCs/>
                <w:sz w:val="18"/>
                <w:szCs w:val="18"/>
              </w:rPr>
              <w:t>次数</w:t>
            </w:r>
            <w:r>
              <w:rPr>
                <w:rFonts w:ascii="宋体" w:hAnsi="宋体" w:cs="宋体" w:eastAsia="宋体" w:hint="default"/>
                <w:sz w:val="18"/>
                <w:szCs w:val="18"/>
              </w:rPr>
            </w:r>
          </w:p>
          <w:p>
            <w:pPr>
              <w:pStyle w:val="TableParagraph"/>
              <w:spacing w:line="233" w:lineRule="exact"/>
              <w:ind w:left="134" w:right="0"/>
              <w:jc w:val="both"/>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8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34" w:right="132"/>
              <w:jc w:val="both"/>
              <w:rPr>
                <w:rFonts w:ascii="宋体" w:hAnsi="宋体" w:cs="宋体" w:eastAsia="宋体" w:hint="default"/>
                <w:sz w:val="18"/>
                <w:szCs w:val="18"/>
              </w:rPr>
            </w:pPr>
            <w:r>
              <w:rPr>
                <w:rFonts w:ascii="宋体" w:hAnsi="宋体" w:cs="宋体" w:eastAsia="宋体" w:hint="default"/>
                <w:b/>
                <w:bCs/>
                <w:sz w:val="18"/>
                <w:szCs w:val="18"/>
              </w:rPr>
              <w:t>缺席董</w:t>
            </w:r>
            <w:r>
              <w:rPr>
                <w:rFonts w:ascii="宋体" w:hAnsi="宋体" w:cs="宋体" w:eastAsia="宋体" w:hint="default"/>
                <w:b/>
                <w:bCs/>
                <w:w w:val="99"/>
                <w:sz w:val="18"/>
                <w:szCs w:val="18"/>
              </w:rPr>
              <w:t> </w:t>
            </w:r>
            <w:r>
              <w:rPr>
                <w:rFonts w:ascii="宋体" w:hAnsi="宋体" w:cs="宋体" w:eastAsia="宋体" w:hint="default"/>
                <w:b/>
                <w:bCs/>
                <w:sz w:val="18"/>
                <w:szCs w:val="18"/>
              </w:rPr>
              <w:t>事会会</w:t>
            </w:r>
            <w:r>
              <w:rPr>
                <w:rFonts w:ascii="宋体" w:hAnsi="宋体" w:cs="宋体" w:eastAsia="宋体" w:hint="default"/>
                <w:b/>
                <w:bCs/>
                <w:w w:val="99"/>
                <w:sz w:val="18"/>
                <w:szCs w:val="18"/>
              </w:rPr>
              <w:t> </w:t>
            </w:r>
            <w:r>
              <w:rPr>
                <w:rFonts w:ascii="宋体" w:hAnsi="宋体" w:cs="宋体" w:eastAsia="宋体" w:hint="default"/>
                <w:b/>
                <w:bCs/>
                <w:sz w:val="18"/>
                <w:szCs w:val="18"/>
              </w:rPr>
              <w:t>议次数</w:t>
            </w:r>
            <w:r>
              <w:rPr>
                <w:rFonts w:ascii="宋体" w:hAnsi="宋体" w:cs="宋体" w:eastAsia="宋体" w:hint="default"/>
                <w:sz w:val="18"/>
                <w:szCs w:val="18"/>
              </w:rPr>
            </w:r>
          </w:p>
          <w:p>
            <w:pPr>
              <w:pStyle w:val="TableParagraph"/>
              <w:spacing w:line="233" w:lineRule="exact"/>
              <w:ind w:left="134" w:right="0"/>
              <w:jc w:val="both"/>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b/>
                <w:bCs/>
                <w:sz w:val="18"/>
                <w:szCs w:val="18"/>
              </w:rPr>
              <w:t>应出席专</w:t>
            </w:r>
            <w:r>
              <w:rPr>
                <w:rFonts w:ascii="宋体" w:hAnsi="宋体" w:cs="宋体" w:eastAsia="宋体" w:hint="default"/>
                <w:b/>
                <w:bCs/>
                <w:w w:val="99"/>
                <w:sz w:val="18"/>
                <w:szCs w:val="18"/>
              </w:rPr>
              <w:t> </w:t>
            </w:r>
            <w:r>
              <w:rPr>
                <w:rFonts w:ascii="宋体" w:hAnsi="宋体" w:cs="宋体" w:eastAsia="宋体" w:hint="default"/>
                <w:b/>
                <w:bCs/>
                <w:sz w:val="18"/>
                <w:szCs w:val="18"/>
              </w:rPr>
              <w:t>门委员会</w:t>
            </w:r>
            <w:r>
              <w:rPr>
                <w:rFonts w:ascii="宋体" w:hAnsi="宋体" w:cs="宋体" w:eastAsia="宋体" w:hint="default"/>
                <w:b/>
                <w:bCs/>
                <w:w w:val="99"/>
                <w:sz w:val="18"/>
                <w:szCs w:val="18"/>
              </w:rPr>
              <w:t> </w:t>
            </w:r>
            <w:r>
              <w:rPr>
                <w:rFonts w:ascii="宋体" w:hAnsi="宋体" w:cs="宋体" w:eastAsia="宋体" w:hint="default"/>
                <w:b/>
                <w:bCs/>
                <w:sz w:val="18"/>
                <w:szCs w:val="18"/>
              </w:rPr>
              <w:t>会议次数</w:t>
            </w:r>
            <w:r>
              <w:rPr>
                <w:rFonts w:ascii="宋体" w:hAnsi="宋体" w:cs="宋体" w:eastAsia="宋体" w:hint="default"/>
                <w:sz w:val="18"/>
                <w:szCs w:val="18"/>
              </w:rPr>
            </w:r>
          </w:p>
          <w:p>
            <w:pPr>
              <w:pStyle w:val="TableParagraph"/>
              <w:spacing w:line="233" w:lineRule="exact"/>
              <w:ind w:left="259" w:right="0"/>
              <w:jc w:val="both"/>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4"/>
              <w:ind w:left="167" w:right="166"/>
              <w:jc w:val="both"/>
              <w:rPr>
                <w:rFonts w:ascii="宋体" w:hAnsi="宋体" w:cs="宋体" w:eastAsia="宋体" w:hint="default"/>
                <w:sz w:val="18"/>
                <w:szCs w:val="18"/>
              </w:rPr>
            </w:pPr>
            <w:r>
              <w:rPr>
                <w:rFonts w:ascii="宋体" w:hAnsi="宋体" w:cs="宋体" w:eastAsia="宋体" w:hint="default"/>
                <w:b/>
                <w:bCs/>
                <w:sz w:val="18"/>
                <w:szCs w:val="18"/>
              </w:rPr>
              <w:t>现场出席</w:t>
            </w:r>
            <w:r>
              <w:rPr>
                <w:rFonts w:ascii="宋体" w:hAnsi="宋体" w:cs="宋体" w:eastAsia="宋体" w:hint="default"/>
                <w:b/>
                <w:bCs/>
                <w:w w:val="99"/>
                <w:sz w:val="18"/>
                <w:szCs w:val="18"/>
              </w:rPr>
              <w:t> </w:t>
            </w:r>
            <w:r>
              <w:rPr>
                <w:rFonts w:ascii="宋体" w:hAnsi="宋体" w:cs="宋体" w:eastAsia="宋体" w:hint="default"/>
                <w:b/>
                <w:bCs/>
                <w:sz w:val="18"/>
                <w:szCs w:val="18"/>
              </w:rPr>
              <w:t>专门委员</w:t>
            </w:r>
            <w:r>
              <w:rPr>
                <w:rFonts w:ascii="宋体" w:hAnsi="宋体" w:cs="宋体" w:eastAsia="宋体" w:hint="default"/>
                <w:b/>
                <w:bCs/>
                <w:w w:val="99"/>
                <w:sz w:val="18"/>
                <w:szCs w:val="18"/>
              </w:rPr>
              <w:t> </w:t>
            </w:r>
            <w:r>
              <w:rPr>
                <w:rFonts w:ascii="宋体" w:hAnsi="宋体" w:cs="宋体" w:eastAsia="宋体" w:hint="default"/>
                <w:b/>
                <w:bCs/>
                <w:sz w:val="18"/>
                <w:szCs w:val="18"/>
              </w:rPr>
              <w:t>会会议次</w:t>
            </w:r>
            <w:r>
              <w:rPr>
                <w:rFonts w:ascii="宋体" w:hAnsi="宋体" w:cs="宋体" w:eastAsia="宋体" w:hint="default"/>
                <w:b/>
                <w:bCs/>
                <w:w w:val="99"/>
                <w:sz w:val="18"/>
                <w:szCs w:val="18"/>
              </w:rPr>
              <w:t> </w:t>
            </w:r>
            <w:r>
              <w:rPr>
                <w:rFonts w:ascii="宋体" w:hAnsi="宋体" w:cs="宋体" w:eastAsia="宋体" w:hint="default"/>
                <w:b/>
                <w:bCs/>
                <w:sz w:val="18"/>
                <w:szCs w:val="18"/>
              </w:rPr>
              <w:t>数（次）</w:t>
            </w:r>
            <w:r>
              <w:rPr>
                <w:rFonts w:ascii="宋体" w:hAnsi="宋体" w:cs="宋体" w:eastAsia="宋体" w:hint="default"/>
                <w:sz w:val="18"/>
                <w:szCs w:val="18"/>
              </w:rPr>
            </w:r>
          </w:p>
        </w:tc>
        <w:tc>
          <w:tcPr>
            <w:tcW w:w="905"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77" w:right="0"/>
              <w:jc w:val="both"/>
              <w:rPr>
                <w:rFonts w:ascii="宋体" w:hAnsi="宋体" w:cs="宋体" w:eastAsia="宋体" w:hint="default"/>
                <w:sz w:val="18"/>
                <w:szCs w:val="18"/>
              </w:rPr>
            </w:pPr>
            <w:r>
              <w:rPr>
                <w:rFonts w:ascii="宋体" w:hAnsi="宋体" w:cs="宋体" w:eastAsia="宋体" w:hint="default"/>
                <w:b/>
                <w:bCs/>
                <w:sz w:val="18"/>
                <w:szCs w:val="18"/>
              </w:rPr>
              <w:t>以通讯</w:t>
            </w:r>
            <w:r>
              <w:rPr>
                <w:rFonts w:ascii="宋体" w:hAnsi="宋体" w:cs="宋体" w:eastAsia="宋体" w:hint="default"/>
                <w:sz w:val="18"/>
                <w:szCs w:val="18"/>
              </w:rPr>
            </w:r>
          </w:p>
          <w:p>
            <w:pPr>
              <w:pStyle w:val="TableParagraph"/>
              <w:spacing w:line="237" w:lineRule="auto" w:before="2"/>
              <w:ind w:left="103" w:right="71" w:firstLine="74"/>
              <w:jc w:val="both"/>
              <w:rPr>
                <w:rFonts w:ascii="宋体" w:hAnsi="宋体" w:cs="宋体" w:eastAsia="宋体" w:hint="default"/>
                <w:sz w:val="18"/>
                <w:szCs w:val="18"/>
              </w:rPr>
            </w:pPr>
            <w:r>
              <w:rPr>
                <w:rFonts w:ascii="宋体" w:hAnsi="宋体" w:cs="宋体" w:eastAsia="宋体" w:hint="default"/>
                <w:b/>
                <w:bCs/>
                <w:sz w:val="18"/>
                <w:szCs w:val="18"/>
              </w:rPr>
              <w:t>方式参</w:t>
            </w:r>
            <w:r>
              <w:rPr>
                <w:rFonts w:ascii="宋体" w:hAnsi="宋体" w:cs="宋体" w:eastAsia="宋体" w:hint="default"/>
                <w:b/>
                <w:bCs/>
                <w:w w:val="99"/>
                <w:sz w:val="18"/>
                <w:szCs w:val="18"/>
              </w:rPr>
              <w:t> </w:t>
            </w:r>
            <w:r>
              <w:rPr>
                <w:rFonts w:ascii="宋体" w:hAnsi="宋体" w:cs="宋体" w:eastAsia="宋体" w:hint="default"/>
                <w:b/>
                <w:bCs/>
                <w:sz w:val="18"/>
                <w:szCs w:val="18"/>
              </w:rPr>
              <w:t>加专门</w:t>
            </w:r>
            <w:r>
              <w:rPr>
                <w:rFonts w:ascii="宋体" w:hAnsi="宋体" w:cs="宋体" w:eastAsia="宋体" w:hint="default"/>
                <w:b/>
                <w:bCs/>
                <w:w w:val="99"/>
                <w:sz w:val="18"/>
                <w:szCs w:val="18"/>
              </w:rPr>
              <w:t> </w:t>
            </w:r>
            <w:r>
              <w:rPr>
                <w:rFonts w:ascii="宋体" w:hAnsi="宋体" w:cs="宋体" w:eastAsia="宋体" w:hint="default"/>
                <w:b/>
                <w:bCs/>
                <w:sz w:val="18"/>
                <w:szCs w:val="18"/>
              </w:rPr>
              <w:t>委员会</w:t>
            </w:r>
            <w:r>
              <w:rPr>
                <w:rFonts w:ascii="宋体" w:hAnsi="宋体" w:cs="宋体" w:eastAsia="宋体" w:hint="default"/>
                <w:b/>
                <w:bCs/>
                <w:w w:val="99"/>
                <w:sz w:val="18"/>
                <w:szCs w:val="18"/>
              </w:rPr>
              <w:t> </w:t>
            </w:r>
            <w:r>
              <w:rPr>
                <w:rFonts w:ascii="宋体" w:hAnsi="宋体" w:cs="宋体" w:eastAsia="宋体" w:hint="default"/>
                <w:b/>
                <w:bCs/>
                <w:sz w:val="18"/>
                <w:szCs w:val="18"/>
              </w:rPr>
              <w:t>会议次</w:t>
            </w:r>
            <w:r>
              <w:rPr>
                <w:rFonts w:ascii="宋体" w:hAnsi="宋体" w:cs="宋体" w:eastAsia="宋体" w:hint="default"/>
                <w:b/>
                <w:bCs/>
                <w:w w:val="99"/>
                <w:sz w:val="18"/>
                <w:szCs w:val="18"/>
              </w:rPr>
              <w:t> </w:t>
            </w:r>
            <w:r>
              <w:rPr>
                <w:rFonts w:ascii="宋体" w:hAnsi="宋体" w:cs="宋体" w:eastAsia="宋体" w:hint="default"/>
                <w:b/>
                <w:bCs/>
                <w:sz w:val="18"/>
                <w:szCs w:val="18"/>
              </w:rPr>
              <w:t>数（次）</w:t>
            </w:r>
            <w:r>
              <w:rPr>
                <w:rFonts w:ascii="宋体" w:hAnsi="宋体" w:cs="宋体" w:eastAsia="宋体" w:hint="default"/>
                <w:sz w:val="18"/>
                <w:szCs w:val="18"/>
              </w:rPr>
            </w:r>
          </w:p>
        </w:tc>
        <w:tc>
          <w:tcPr>
            <w:tcW w:w="8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03" w:right="48" w:firstLine="67"/>
              <w:jc w:val="both"/>
              <w:rPr>
                <w:rFonts w:ascii="宋体" w:hAnsi="宋体" w:cs="宋体" w:eastAsia="宋体" w:hint="default"/>
                <w:sz w:val="18"/>
                <w:szCs w:val="18"/>
              </w:rPr>
            </w:pPr>
            <w:r>
              <w:rPr>
                <w:rFonts w:ascii="宋体" w:hAnsi="宋体" w:cs="宋体" w:eastAsia="宋体" w:hint="default"/>
                <w:b/>
                <w:bCs/>
                <w:sz w:val="18"/>
                <w:szCs w:val="18"/>
              </w:rPr>
              <w:t>出席股</w:t>
            </w:r>
            <w:r>
              <w:rPr>
                <w:rFonts w:ascii="宋体" w:hAnsi="宋体" w:cs="宋体" w:eastAsia="宋体" w:hint="default"/>
                <w:b/>
                <w:bCs/>
                <w:w w:val="99"/>
                <w:sz w:val="18"/>
                <w:szCs w:val="18"/>
              </w:rPr>
              <w:t> </w:t>
            </w:r>
            <w:r>
              <w:rPr>
                <w:rFonts w:ascii="宋体" w:hAnsi="宋体" w:cs="宋体" w:eastAsia="宋体" w:hint="default"/>
                <w:b/>
                <w:bCs/>
                <w:sz w:val="18"/>
                <w:szCs w:val="18"/>
              </w:rPr>
              <w:t>东大会</w:t>
            </w:r>
            <w:r>
              <w:rPr>
                <w:rFonts w:ascii="宋体" w:hAnsi="宋体" w:cs="宋体" w:eastAsia="宋体" w:hint="default"/>
                <w:b/>
                <w:bCs/>
                <w:w w:val="99"/>
                <w:sz w:val="18"/>
                <w:szCs w:val="18"/>
              </w:rPr>
              <w:t> </w:t>
            </w:r>
            <w:r>
              <w:rPr>
                <w:rFonts w:ascii="宋体" w:hAnsi="宋体" w:cs="宋体" w:eastAsia="宋体" w:hint="default"/>
                <w:b/>
                <w:bCs/>
                <w:sz w:val="18"/>
                <w:szCs w:val="18"/>
              </w:rPr>
              <w:t>会议次</w:t>
            </w:r>
            <w:r>
              <w:rPr>
                <w:rFonts w:ascii="宋体" w:hAnsi="宋体" w:cs="宋体" w:eastAsia="宋体" w:hint="default"/>
                <w:b/>
                <w:bCs/>
                <w:w w:val="99"/>
                <w:sz w:val="18"/>
                <w:szCs w:val="18"/>
              </w:rPr>
              <w:t> </w:t>
            </w:r>
            <w:r>
              <w:rPr>
                <w:rFonts w:ascii="宋体" w:hAnsi="宋体" w:cs="宋体" w:eastAsia="宋体" w:hint="default"/>
                <w:b/>
                <w:bCs/>
                <w:sz w:val="18"/>
                <w:szCs w:val="18"/>
              </w:rPr>
              <w:t>数（次）</w:t>
            </w:r>
            <w:r>
              <w:rPr>
                <w:rFonts w:ascii="宋体" w:hAnsi="宋体" w:cs="宋体" w:eastAsia="宋体" w:hint="default"/>
                <w:sz w:val="18"/>
                <w:szCs w:val="18"/>
              </w:rPr>
            </w:r>
          </w:p>
        </w:tc>
      </w:tr>
      <w:tr>
        <w:trPr>
          <w:trHeight w:val="437" w:hRule="exact"/>
        </w:trPr>
        <w:tc>
          <w:tcPr>
            <w:tcW w:w="8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沈坤荣</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59"/>
              <w:jc w:val="right"/>
              <w:rPr>
                <w:rFonts w:ascii="Times New Roman" w:hAnsi="Times New Roman" w:cs="Times New Roman" w:eastAsia="Times New Roman" w:hint="default"/>
                <w:sz w:val="18"/>
                <w:szCs w:val="18"/>
              </w:rPr>
            </w:pPr>
            <w:r>
              <w:rPr>
                <w:rFonts w:ascii="Times New Roman"/>
                <w:sz w:val="18"/>
              </w:rPr>
              <w:t>13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02"/>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5"/>
              <w:ind w:left="8" w:right="0"/>
              <w:jc w:val="center"/>
              <w:rPr>
                <w:rFonts w:ascii="Times New Roman" w:hAnsi="Times New Roman" w:cs="Times New Roman" w:eastAsia="Times New Roman" w:hint="default"/>
                <w:sz w:val="18"/>
                <w:szCs w:val="18"/>
              </w:rPr>
            </w:pPr>
            <w:r>
              <w:rPr>
                <w:rFonts w:ascii="Times New Roman"/>
                <w:sz w:val="18"/>
              </w:rPr>
              <w:t>2</w:t>
            </w:r>
          </w:p>
        </w:tc>
      </w:tr>
      <w:tr>
        <w:trPr>
          <w:trHeight w:val="360" w:hRule="exact"/>
        </w:trPr>
        <w:tc>
          <w:tcPr>
            <w:tcW w:w="816"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孙剑平</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59"/>
              <w:jc w:val="right"/>
              <w:rPr>
                <w:rFonts w:ascii="Times New Roman" w:hAnsi="Times New Roman" w:cs="Times New Roman" w:eastAsia="Times New Roman" w:hint="default"/>
                <w:sz w:val="18"/>
                <w:szCs w:val="18"/>
              </w:rPr>
            </w:pPr>
            <w:r>
              <w:rPr>
                <w:rFonts w:ascii="Times New Roman"/>
                <w:sz w:val="18"/>
              </w:rPr>
              <w:t>14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58" w:right="0"/>
              <w:jc w:val="lef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sz w:val="18"/>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02"/>
              <w:jc w:val="right"/>
              <w:rPr>
                <w:rFonts w:ascii="Times New Roman" w:hAnsi="Times New Roman" w:cs="Times New Roman" w:eastAsia="Times New Roman" w:hint="default"/>
                <w:sz w:val="18"/>
                <w:szCs w:val="18"/>
              </w:rPr>
            </w:pPr>
            <w:r>
              <w:rPr>
                <w:rFonts w:ascii="Times New Roman"/>
                <w:sz w:val="18"/>
              </w:rPr>
              <w:t>3</w:t>
            </w:r>
          </w:p>
        </w:tc>
        <w:tc>
          <w:tcPr>
            <w:tcW w:w="8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left="8" w:right="0"/>
              <w:jc w:val="center"/>
              <w:rPr>
                <w:rFonts w:ascii="Times New Roman" w:hAnsi="Times New Roman" w:cs="Times New Roman" w:eastAsia="Times New Roman" w:hint="default"/>
                <w:sz w:val="18"/>
                <w:szCs w:val="18"/>
              </w:rPr>
            </w:pPr>
            <w:r>
              <w:rPr>
                <w:rFonts w:ascii="Times New Roman"/>
                <w:sz w:val="18"/>
              </w:rPr>
              <w:t>1</w:t>
            </w:r>
          </w:p>
        </w:tc>
      </w:tr>
      <w:tr>
        <w:trPr>
          <w:trHeight w:val="372" w:hRule="exact"/>
        </w:trPr>
        <w:tc>
          <w:tcPr>
            <w:tcW w:w="816"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15</w:t>
            </w:r>
          </w:p>
        </w:tc>
        <w:tc>
          <w:tcPr>
            <w:tcW w:w="10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2</w:t>
            </w:r>
          </w:p>
        </w:tc>
        <w:tc>
          <w:tcPr>
            <w:tcW w:w="9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359"/>
              <w:jc w:val="right"/>
              <w:rPr>
                <w:rFonts w:ascii="Times New Roman" w:hAnsi="Times New Roman" w:cs="Times New Roman" w:eastAsia="Times New Roman" w:hint="default"/>
                <w:sz w:val="18"/>
                <w:szCs w:val="18"/>
              </w:rPr>
            </w:pPr>
            <w:r>
              <w:rPr>
                <w:rFonts w:ascii="Times New Roman"/>
                <w:sz w:val="18"/>
              </w:rPr>
              <w:t>13</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0</w:t>
            </w:r>
          </w:p>
        </w:tc>
        <w:tc>
          <w:tcPr>
            <w:tcW w:w="8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left="358" w:right="0"/>
              <w:jc w:val="left"/>
              <w:rPr>
                <w:rFonts w:ascii="Times New Roman" w:hAnsi="Times New Roman" w:cs="Times New Roman" w:eastAsia="Times New Roman" w:hint="default"/>
                <w:sz w:val="18"/>
                <w:szCs w:val="18"/>
              </w:rPr>
            </w:pPr>
            <w:r>
              <w:rPr>
                <w:rFonts w:ascii="Times New Roman"/>
                <w:sz w:val="18"/>
              </w:rPr>
              <w:t>0</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Times New Roman"/>
                <w:sz w:val="18"/>
              </w:rPr>
              <w:t>5</w:t>
            </w:r>
          </w:p>
        </w:tc>
        <w:tc>
          <w:tcPr>
            <w:tcW w:w="9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6"/>
              <w:ind w:right="402"/>
              <w:jc w:val="right"/>
              <w:rPr>
                <w:rFonts w:ascii="Times New Roman" w:hAnsi="Times New Roman" w:cs="Times New Roman" w:eastAsia="Times New Roman" w:hint="default"/>
                <w:sz w:val="18"/>
                <w:szCs w:val="18"/>
              </w:rPr>
            </w:pPr>
            <w:r>
              <w:rPr>
                <w:rFonts w:ascii="Times New Roman"/>
                <w:sz w:val="18"/>
              </w:rPr>
              <w:t>2</w:t>
            </w:r>
          </w:p>
        </w:tc>
        <w:tc>
          <w:tcPr>
            <w:tcW w:w="8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6"/>
              <w:ind w:left="8"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92" w:lineRule="exact" w:before="0"/>
        <w:ind w:left="720" w:right="3386"/>
        <w:jc w:val="left"/>
      </w:pPr>
      <w:r>
        <w:rPr/>
        <w:t>（</w:t>
      </w:r>
      <w:r>
        <w:rPr>
          <w:rFonts w:ascii="Times New Roman" w:hAnsi="Times New Roman" w:cs="Times New Roman" w:eastAsia="Times New Roman" w:hint="default"/>
        </w:rPr>
        <w:t>2</w:t>
      </w:r>
      <w:r>
        <w:rPr/>
        <w:t>）独立董事现场办公、考察情况</w:t>
      </w:r>
    </w:p>
    <w:p>
      <w:pPr>
        <w:pStyle w:val="BodyText"/>
        <w:spacing w:line="352" w:lineRule="auto" w:before="136"/>
        <w:ind w:left="240" w:right="1302" w:firstLine="480"/>
        <w:jc w:val="left"/>
      </w:pPr>
      <w:r>
        <w:rPr>
          <w:spacing w:val="-3"/>
        </w:rPr>
        <w:t>报告期内，独立董事沈坤荣先生、孙剑平先生、戴新民先生在公司累计现场办公时</w:t>
      </w:r>
      <w:r>
        <w:rPr/>
        <w:t> 间分别为 </w:t>
      </w:r>
      <w:r>
        <w:rPr>
          <w:rFonts w:ascii="Times New Roman" w:hAnsi="Times New Roman" w:cs="Times New Roman" w:eastAsia="Times New Roman" w:hint="default"/>
        </w:rPr>
        <w:t>12 </w:t>
      </w:r>
      <w:r>
        <w:rPr>
          <w:spacing w:val="-14"/>
        </w:rPr>
        <w:t>天、</w:t>
      </w:r>
      <w:r>
        <w:rPr>
          <w:rFonts w:ascii="Times New Roman" w:hAnsi="Times New Roman" w:cs="Times New Roman" w:eastAsia="Times New Roman" w:hint="default"/>
          <w:spacing w:val="-14"/>
        </w:rPr>
        <w:t>12 </w:t>
      </w:r>
      <w:r>
        <w:rPr>
          <w:spacing w:val="-14"/>
        </w:rPr>
        <w:t>天、</w:t>
      </w:r>
      <w:r>
        <w:rPr>
          <w:rFonts w:ascii="Times New Roman" w:hAnsi="Times New Roman" w:cs="Times New Roman" w:eastAsia="Times New Roman" w:hint="default"/>
          <w:spacing w:val="-14"/>
        </w:rPr>
        <w:t>12</w:t>
      </w:r>
      <w:r>
        <w:rPr>
          <w:rFonts w:ascii="Times New Roman" w:hAnsi="Times New Roman" w:cs="Times New Roman" w:eastAsia="Times New Roman" w:hint="default"/>
          <w:spacing w:val="-40"/>
        </w:rPr>
        <w:t> </w:t>
      </w:r>
      <w:r>
        <w:rPr>
          <w:spacing w:val="-4"/>
        </w:rPr>
        <w:t>天。各位独立董事在公司现场办公期间，深入公司实地考察，</w:t>
      </w:r>
      <w:r>
        <w:rPr/>
        <w:t> </w:t>
      </w:r>
      <w:r>
        <w:rPr>
          <w:spacing w:val="-3"/>
        </w:rPr>
        <w:t>与公司董事、监事、高级管理人员、内审部门、会计师等充分沟通，了解公司经营状况</w:t>
      </w:r>
      <w:r>
        <w:rPr>
          <w:spacing w:val="-101"/>
        </w:rPr>
        <w:t> </w:t>
      </w:r>
      <w:r>
        <w:rPr>
          <w:spacing w:val="-101"/>
        </w:rPr>
      </w:r>
      <w:r>
        <w:rPr>
          <w:spacing w:val="-3"/>
        </w:rPr>
        <w:t>和内部控制的建设及董事会决议执行情况，发挥专业知识，为公司经营和发展提出了合</w:t>
      </w:r>
      <w:r>
        <w:rPr>
          <w:spacing w:val="-98"/>
        </w:rPr>
        <w:t> </w:t>
      </w:r>
      <w:r>
        <w:rPr>
          <w:spacing w:val="-98"/>
        </w:rPr>
      </w:r>
      <w:r>
        <w:rPr>
          <w:spacing w:val="-3"/>
        </w:rPr>
        <w:t>理化的意见和建议，对董事会决策的科学性和客观性及公司的良性发展都起到了积极的</w:t>
      </w:r>
      <w:r>
        <w:rPr>
          <w:spacing w:val="-99"/>
        </w:rPr>
        <w:t> </w:t>
      </w:r>
      <w:r>
        <w:rPr>
          <w:spacing w:val="-99"/>
        </w:rPr>
      </w:r>
      <w:r>
        <w:rPr/>
        <w:t>作用。</w:t>
      </w:r>
    </w:p>
    <w:p>
      <w:pPr>
        <w:pStyle w:val="BodyText"/>
        <w:spacing w:line="338" w:lineRule="auto" w:before="41"/>
        <w:ind w:left="720" w:right="1422"/>
        <w:jc w:val="left"/>
      </w:pPr>
      <w:r>
        <w:rPr/>
        <w:t>（</w:t>
      </w:r>
      <w:r>
        <w:rPr>
          <w:rFonts w:ascii="Times New Roman" w:hAnsi="Times New Roman" w:cs="Times New Roman" w:eastAsia="Times New Roman" w:hint="default"/>
        </w:rPr>
        <w:t>3</w:t>
      </w:r>
      <w:r>
        <w:rPr/>
        <w:t>）报告期内，公司独立董事发表独立意见情况 </w:t>
      </w:r>
      <w:r>
        <w:rPr>
          <w:spacing w:val="-3"/>
        </w:rPr>
        <w:t>报告期内，公司独立董事对报告期内对外担保、关联交易、募集资金、续聘审计会</w:t>
      </w:r>
    </w:p>
    <w:p>
      <w:pPr>
        <w:pStyle w:val="BodyText"/>
        <w:spacing w:line="357" w:lineRule="auto" w:before="55"/>
        <w:ind w:left="240" w:right="1422"/>
        <w:jc w:val="left"/>
      </w:pPr>
      <w:r>
        <w:rPr>
          <w:spacing w:val="-3"/>
        </w:rPr>
        <w:t>计事务所等事项发表了独立意见，不受公司和主要股东的影响，切实维护了中小股东的</w:t>
      </w:r>
      <w:r>
        <w:rPr>
          <w:spacing w:val="-98"/>
        </w:rPr>
        <w:t> </w:t>
      </w:r>
      <w:r>
        <w:rPr>
          <w:spacing w:val="-98"/>
        </w:rPr>
      </w:r>
      <w:r>
        <w:rPr/>
        <w:t>利益。独立董事发表的独立意见如下：</w:t>
      </w:r>
    </w:p>
    <w:p>
      <w:pPr>
        <w:pStyle w:val="BodyText"/>
        <w:spacing w:line="240" w:lineRule="auto" w:before="36"/>
        <w:ind w:left="720" w:right="1328"/>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日，独立董事就公司向关联方租赁物业发表事前审核意见，一致同</w:t>
      </w:r>
    </w:p>
    <w:p>
      <w:pPr>
        <w:pStyle w:val="BodyText"/>
        <w:spacing w:line="338" w:lineRule="auto"/>
        <w:ind w:left="240" w:right="1421"/>
        <w:jc w:val="left"/>
      </w:pPr>
      <w:r>
        <w:rPr/>
        <w:t>意提交董事会审议；</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日，在公司第四届董事会第七次会议上，独立董事 </w:t>
      </w:r>
      <w:r>
        <w:rPr>
          <w:spacing w:val="-9"/>
        </w:rPr>
        <w:t>发表了《关于公司向关联方租赁物业的关联交易的独立意见》；</w:t>
      </w:r>
      <w:r>
        <w:rPr/>
      </w:r>
    </w:p>
    <w:p>
      <w:pPr>
        <w:pStyle w:val="BodyText"/>
        <w:spacing w:line="240" w:lineRule="auto" w:before="55"/>
        <w:ind w:left="720" w:right="1328"/>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日，独立董事就公司向关联方出租物业的关联交易发表事前审核意</w:t>
      </w:r>
    </w:p>
    <w:p>
      <w:pPr>
        <w:pStyle w:val="BodyText"/>
        <w:spacing w:line="338" w:lineRule="auto" w:before="136"/>
        <w:ind w:left="240" w:right="1305"/>
        <w:jc w:val="left"/>
      </w:pPr>
      <w:r>
        <w:rPr>
          <w:spacing w:val="-6"/>
        </w:rPr>
        <w:t>见，一致同意提交董事会审议，</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日，在公司第四届董事会第九次会议上，</w:t>
      </w:r>
      <w:r>
        <w:rPr/>
        <w:t> </w:t>
      </w:r>
      <w:r>
        <w:rPr>
          <w:spacing w:val="-3"/>
        </w:rPr>
        <w:t>独立董事发表了《独立董事关于公司向关联方出租物业的关联交易的独立意见》，同时</w:t>
      </w:r>
    </w:p>
    <w:p>
      <w:pPr>
        <w:spacing w:after="0" w:line="338" w:lineRule="auto"/>
        <w:jc w:val="left"/>
        <w:sectPr>
          <w:footerReference w:type="default" r:id="rId16"/>
          <w:pgSz w:w="11910" w:h="16840"/>
          <w:pgMar w:footer="1305" w:header="748" w:top="980" w:bottom="1500" w:left="1200" w:right="0"/>
          <w:pgNumType w:start="21"/>
        </w:sectPr>
      </w:pPr>
    </w:p>
    <w:p>
      <w:pPr>
        <w:spacing w:line="240" w:lineRule="auto" w:before="6"/>
        <w:rPr>
          <w:rFonts w:ascii="宋体" w:hAnsi="宋体" w:cs="宋体" w:eastAsia="宋体" w:hint="default"/>
          <w:sz w:val="29"/>
          <w:szCs w:val="29"/>
        </w:rPr>
      </w:pPr>
    </w:p>
    <w:p>
      <w:pPr>
        <w:pStyle w:val="BodyText"/>
        <w:spacing w:line="357" w:lineRule="auto" w:before="26"/>
        <w:ind w:left="340" w:right="1437"/>
        <w:jc w:val="both"/>
      </w:pPr>
      <w:r>
        <w:rPr/>
        <w:t>意见</w:t>
      </w:r>
      <w:r>
        <w:rPr>
          <w:spacing w:val="-120"/>
        </w:rPr>
        <w:t>》、</w:t>
      </w:r>
      <w:r>
        <w:rPr/>
        <w:t>《关于公司与关联方资金往来</w:t>
      </w:r>
      <w:r>
        <w:rPr>
          <w:spacing w:val="-92"/>
        </w:rPr>
        <w:t>、</w:t>
      </w:r>
      <w:r>
        <w:rPr/>
        <w:t>公司累计和当期对外担保情况的专项说明和独立</w:t>
      </w:r>
      <w:r>
        <w:rPr/>
        <w:t> 意见</w:t>
      </w:r>
      <w:r>
        <w:rPr>
          <w:spacing w:val="-120"/>
        </w:rPr>
        <w:t>》、</w:t>
      </w:r>
      <w:r>
        <w:rPr/>
        <w:t>《关于公司内部控制自我评价报告的独立意见</w:t>
      </w:r>
      <w:r>
        <w:rPr>
          <w:spacing w:val="-120"/>
        </w:rPr>
        <w:t>》</w:t>
      </w:r>
      <w:r>
        <w:rPr/>
        <w:t>；</w:t>
      </w:r>
    </w:p>
    <w:p>
      <w:pPr>
        <w:pStyle w:val="BodyText"/>
        <w:spacing w:line="240" w:lineRule="auto" w:before="36"/>
        <w:ind w:left="820" w:right="1328"/>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日，独立董事就公司向关联方租赁物业发表事前审核意见，一致同</w:t>
      </w:r>
    </w:p>
    <w:p>
      <w:pPr>
        <w:pStyle w:val="BodyText"/>
        <w:spacing w:line="338" w:lineRule="auto"/>
        <w:ind w:left="340" w:right="1438"/>
        <w:jc w:val="both"/>
      </w:pPr>
      <w:r>
        <w:rPr/>
        <w:t>意提交董事会审议；</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日，在公司第四届董事会第十一次会议上，独立董 </w:t>
      </w:r>
      <w:r>
        <w:rPr>
          <w:spacing w:val="-5"/>
        </w:rPr>
        <w:t>事发表了《关于公司向关联方租赁物业的关联交易的独立意见》；</w:t>
      </w:r>
    </w:p>
    <w:p>
      <w:pPr>
        <w:pStyle w:val="BodyText"/>
        <w:spacing w:line="240" w:lineRule="auto" w:before="55"/>
        <w:ind w:left="820" w:right="1328"/>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日，独立董事就公司控股股东及实际控制人之全资子公司认购非公</w:t>
      </w:r>
    </w:p>
    <w:p>
      <w:pPr>
        <w:pStyle w:val="BodyText"/>
        <w:spacing w:line="348" w:lineRule="auto"/>
        <w:ind w:left="340" w:right="1436"/>
        <w:jc w:val="both"/>
      </w:pPr>
      <w:r>
        <w:rPr/>
        <w:t>开发行股份发表事前审核意见；</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16</w:t>
      </w:r>
      <w:r>
        <w:rPr>
          <w:rFonts w:ascii="Times New Roman" w:hAnsi="Times New Roman" w:cs="Times New Roman" w:eastAsia="Times New Roman" w:hint="default"/>
          <w:spacing w:val="-7"/>
        </w:rPr>
        <w:t> </w:t>
      </w:r>
      <w:r>
        <w:rPr/>
        <w:t>日，在公司第四届董事会第十三次会议 </w:t>
      </w:r>
      <w:r>
        <w:rPr>
          <w:spacing w:val="-3"/>
        </w:rPr>
        <w:t>上，独立董事发表了《关于控股股东及实际控制人之全资子公司认购非公开发行股份的</w:t>
      </w:r>
      <w:r>
        <w:rPr>
          <w:spacing w:val="-98"/>
        </w:rPr>
        <w:t> </w:t>
      </w:r>
      <w:r>
        <w:rPr>
          <w:spacing w:val="-98"/>
        </w:rPr>
      </w:r>
      <w:r>
        <w:rPr>
          <w:spacing w:val="-20"/>
        </w:rPr>
        <w:t>独立意见》；</w:t>
      </w:r>
    </w:p>
    <w:p>
      <w:pPr>
        <w:pStyle w:val="BodyText"/>
        <w:spacing w:line="240" w:lineRule="auto" w:before="46"/>
        <w:ind w:left="820" w:right="1328"/>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5"/>
        </w:rPr>
        <w:t>日，独立董事就公司境外子公司与关联方参与</w:t>
      </w:r>
      <w:r>
        <w:rPr>
          <w:spacing w:val="-56"/>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定向发行关联</w:t>
      </w:r>
    </w:p>
    <w:p>
      <w:pPr>
        <w:pStyle w:val="BodyText"/>
        <w:spacing w:line="338" w:lineRule="auto"/>
        <w:ind w:left="0" w:right="1398"/>
        <w:jc w:val="right"/>
      </w:pPr>
      <w:r>
        <w:rPr/>
        <w:t>交易发表事前审核意见；</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日，在公司第四届董事会第十四次会议上，独 立董事发表了《关于境外子公司与关联方参与</w:t>
      </w:r>
      <w:r>
        <w:rPr>
          <w:spacing w:val="-56"/>
        </w:rPr>
        <w:t> </w:t>
      </w:r>
      <w:r>
        <w:rPr>
          <w:rFonts w:ascii="Times New Roman" w:hAnsi="Times New Roman" w:cs="Times New Roman" w:eastAsia="Times New Roman" w:hint="default"/>
          <w:spacing w:val="-1"/>
          <w:w w:val="99"/>
        </w:rPr>
        <w:t>LAOX </w:t>
      </w:r>
      <w:r>
        <w:rPr>
          <w:spacing w:val="-8"/>
        </w:rPr>
        <w:t>定向发行关联交易的独立意见》；</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日，在公司第四届董事会第十六次会议上，独立董事发表了《独立</w:t>
      </w:r>
    </w:p>
    <w:p>
      <w:pPr>
        <w:pStyle w:val="BodyText"/>
        <w:spacing w:line="240" w:lineRule="auto" w:before="27"/>
        <w:ind w:left="340" w:right="0"/>
        <w:jc w:val="both"/>
      </w:pPr>
      <w:r>
        <w:rPr/>
        <w:t>董事对公司与关联方资金往来</w:t>
      </w:r>
      <w:r>
        <w:rPr>
          <w:spacing w:val="-92"/>
        </w:rPr>
        <w:t>、</w:t>
      </w:r>
      <w:r>
        <w:rPr/>
        <w:t>公司累计和当期对外担保情况的专项说明和独立意见</w:t>
      </w:r>
      <w:r>
        <w:rPr>
          <w:spacing w:val="-120"/>
        </w:rPr>
        <w:t>》</w:t>
      </w:r>
      <w:r>
        <w:rPr/>
        <w:t>；</w:t>
      </w:r>
    </w:p>
    <w:p>
      <w:pPr>
        <w:pStyle w:val="BodyText"/>
        <w:spacing w:line="240" w:lineRule="auto" w:before="154"/>
        <w:ind w:left="820" w:right="1328"/>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日，独立董事就公司向关联方租赁物业发表事前审核意见，一致同</w:t>
      </w:r>
    </w:p>
    <w:p>
      <w:pPr>
        <w:pStyle w:val="BodyText"/>
        <w:spacing w:line="338" w:lineRule="auto"/>
        <w:ind w:left="340" w:right="1437"/>
        <w:jc w:val="both"/>
      </w:pPr>
      <w:r>
        <w:rPr/>
        <w:t>意提交董事会审议；</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t>日，在公司第四届董事会第十九次会议上，独立 </w:t>
      </w:r>
      <w:r>
        <w:rPr>
          <w:spacing w:val="-4"/>
        </w:rPr>
        <w:t>董事发表了《关于公司向关联方租赁物业的关联交易的独立意见》。</w:t>
      </w:r>
    </w:p>
    <w:p>
      <w:pPr>
        <w:pStyle w:val="BodyText"/>
        <w:spacing w:line="357" w:lineRule="auto" w:before="55"/>
        <w:ind w:left="340" w:right="1436" w:firstLine="480"/>
        <w:jc w:val="left"/>
      </w:pPr>
      <w:r>
        <w:rPr>
          <w:spacing w:val="-3"/>
        </w:rPr>
        <w:t>报告期内，公司独立董事未对公司本年度的董事会议案及其他非董事会议案事项提</w:t>
      </w:r>
      <w:r>
        <w:rPr/>
        <w:t> 出异议。</w:t>
      </w:r>
    </w:p>
    <w:p>
      <w:pPr>
        <w:pStyle w:val="BodyText"/>
        <w:spacing w:line="240" w:lineRule="auto" w:before="36"/>
        <w:ind w:left="820" w:right="1328"/>
        <w:jc w:val="left"/>
      </w:pPr>
      <w:r>
        <w:rPr>
          <w:rFonts w:ascii="Times New Roman" w:hAnsi="Times New Roman" w:cs="Times New Roman" w:eastAsia="Times New Roman" w:hint="default"/>
        </w:rPr>
        <w:t>4</w:t>
      </w:r>
      <w:r>
        <w:rPr/>
        <w:t>、公司其他董事出席董事会、股东大会的情况</w:t>
      </w:r>
    </w:p>
    <w:p>
      <w:pPr>
        <w:spacing w:line="240" w:lineRule="auto" w:before="7"/>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1248"/>
        <w:gridCol w:w="1508"/>
        <w:gridCol w:w="998"/>
        <w:gridCol w:w="953"/>
        <w:gridCol w:w="1162"/>
        <w:gridCol w:w="1325"/>
        <w:gridCol w:w="1145"/>
        <w:gridCol w:w="1130"/>
      </w:tblGrid>
      <w:tr>
        <w:trPr>
          <w:trHeight w:val="96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具体职务</w:t>
            </w:r>
            <w:r>
              <w:rPr>
                <w:rFonts w:ascii="宋体" w:hAnsi="宋体" w:cs="宋体" w:eastAsia="宋体" w:hint="default"/>
                <w:sz w:val="18"/>
                <w:szCs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05" w:right="7" w:firstLine="31"/>
              <w:jc w:val="left"/>
              <w:rPr>
                <w:rFonts w:ascii="宋体" w:hAnsi="宋体" w:cs="宋体" w:eastAsia="宋体" w:hint="default"/>
                <w:sz w:val="18"/>
                <w:szCs w:val="18"/>
              </w:rPr>
            </w:pPr>
            <w:r>
              <w:rPr>
                <w:rFonts w:ascii="宋体" w:hAnsi="宋体" w:cs="宋体" w:eastAsia="宋体" w:hint="default"/>
                <w:b/>
                <w:bCs/>
                <w:sz w:val="18"/>
                <w:szCs w:val="18"/>
              </w:rPr>
              <w:t>应出席董</w:t>
            </w:r>
            <w:r>
              <w:rPr>
                <w:rFonts w:ascii="宋体" w:hAnsi="宋体" w:cs="宋体" w:eastAsia="宋体" w:hint="default"/>
                <w:b/>
                <w:bCs/>
                <w:w w:val="99"/>
                <w:sz w:val="18"/>
                <w:szCs w:val="18"/>
              </w:rPr>
              <w:t> </w:t>
            </w:r>
            <w:r>
              <w:rPr>
                <w:rFonts w:ascii="宋体" w:hAnsi="宋体" w:cs="宋体" w:eastAsia="宋体" w:hint="default"/>
                <w:b/>
                <w:bCs/>
                <w:sz w:val="18"/>
                <w:szCs w:val="18"/>
              </w:rPr>
              <w:t>事会会议</w:t>
            </w:r>
            <w:r>
              <w:rPr>
                <w:rFonts w:ascii="宋体" w:hAnsi="宋体" w:cs="宋体" w:eastAsia="宋体" w:hint="default"/>
                <w:b/>
                <w:bCs/>
                <w:w w:val="99"/>
                <w:sz w:val="18"/>
                <w:szCs w:val="18"/>
              </w:rPr>
              <w:t> </w:t>
            </w:r>
            <w:r>
              <w:rPr>
                <w:rFonts w:ascii="宋体" w:hAnsi="宋体" w:cs="宋体" w:eastAsia="宋体" w:hint="default"/>
                <w:b/>
                <w:bCs/>
                <w:spacing w:val="-6"/>
                <w:sz w:val="18"/>
                <w:szCs w:val="18"/>
              </w:rPr>
              <w:t>次数（次）</w:t>
            </w:r>
            <w:r>
              <w:rPr>
                <w:rFonts w:ascii="宋体" w:hAnsi="宋体" w:cs="宋体" w:eastAsia="宋体" w:hint="default"/>
                <w:spacing w:val="-6"/>
                <w:sz w:val="18"/>
                <w:szCs w:val="18"/>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现场出席</w:t>
            </w:r>
            <w:r>
              <w:rPr>
                <w:rFonts w:ascii="宋体" w:hAnsi="宋体" w:cs="宋体" w:eastAsia="宋体" w:hint="default"/>
                <w:sz w:val="18"/>
                <w:szCs w:val="18"/>
              </w:rPr>
            </w:r>
          </w:p>
          <w:p>
            <w:pPr>
              <w:pStyle w:val="TableParagraph"/>
              <w:spacing w:line="232" w:lineRule="exact" w:before="24"/>
              <w:ind w:left="201" w:right="110" w:hanging="92"/>
              <w:jc w:val="left"/>
              <w:rPr>
                <w:rFonts w:ascii="宋体" w:hAnsi="宋体" w:cs="宋体" w:eastAsia="宋体" w:hint="default"/>
                <w:sz w:val="18"/>
                <w:szCs w:val="18"/>
              </w:rPr>
            </w:pPr>
            <w:r>
              <w:rPr>
                <w:rFonts w:ascii="宋体" w:hAnsi="宋体" w:cs="宋体" w:eastAsia="宋体" w:hint="default"/>
                <w:b/>
                <w:bCs/>
                <w:sz w:val="18"/>
                <w:szCs w:val="18"/>
              </w:rPr>
              <w:t>董事会会</w:t>
            </w:r>
            <w:r>
              <w:rPr>
                <w:rFonts w:ascii="宋体" w:hAnsi="宋体" w:cs="宋体" w:eastAsia="宋体" w:hint="default"/>
                <w:b/>
                <w:bCs/>
                <w:w w:val="99"/>
                <w:sz w:val="18"/>
                <w:szCs w:val="18"/>
              </w:rPr>
              <w:t> </w:t>
            </w:r>
            <w:r>
              <w:rPr>
                <w:rFonts w:ascii="宋体" w:hAnsi="宋体" w:cs="宋体" w:eastAsia="宋体" w:hint="default"/>
                <w:b/>
                <w:bCs/>
                <w:sz w:val="18"/>
                <w:szCs w:val="18"/>
              </w:rPr>
              <w:t>议次数</w:t>
            </w:r>
            <w:r>
              <w:rPr>
                <w:rFonts w:ascii="宋体" w:hAnsi="宋体" w:cs="宋体" w:eastAsia="宋体" w:hint="default"/>
                <w:sz w:val="18"/>
                <w:szCs w:val="18"/>
              </w:rPr>
            </w:r>
          </w:p>
          <w:p>
            <w:pPr>
              <w:pStyle w:val="TableParagraph"/>
              <w:spacing w:line="214" w:lineRule="exact"/>
              <w:ind w:left="201" w:right="0"/>
              <w:jc w:val="left"/>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sz w:val="18"/>
                <w:szCs w:val="18"/>
              </w:rPr>
            </w:r>
          </w:p>
          <w:p>
            <w:pPr>
              <w:pStyle w:val="TableParagraph"/>
              <w:spacing w:line="232" w:lineRule="exact" w:before="24"/>
              <w:ind w:left="127" w:right="122"/>
              <w:jc w:val="center"/>
              <w:rPr>
                <w:rFonts w:ascii="宋体" w:hAnsi="宋体" w:cs="宋体" w:eastAsia="宋体" w:hint="default"/>
                <w:sz w:val="18"/>
                <w:szCs w:val="18"/>
              </w:rPr>
            </w:pPr>
            <w:r>
              <w:rPr>
                <w:rFonts w:ascii="宋体" w:hAnsi="宋体" w:cs="宋体" w:eastAsia="宋体" w:hint="default"/>
                <w:b/>
                <w:bCs/>
                <w:sz w:val="18"/>
                <w:szCs w:val="18"/>
              </w:rPr>
              <w:t>参加董事会</w:t>
            </w:r>
            <w:r>
              <w:rPr>
                <w:rFonts w:ascii="宋体" w:hAnsi="宋体" w:cs="宋体" w:eastAsia="宋体" w:hint="default"/>
                <w:b/>
                <w:bCs/>
                <w:w w:val="99"/>
                <w:sz w:val="18"/>
                <w:szCs w:val="18"/>
              </w:rPr>
              <w:t> </w:t>
            </w:r>
            <w:r>
              <w:rPr>
                <w:rFonts w:ascii="宋体" w:hAnsi="宋体" w:cs="宋体" w:eastAsia="宋体" w:hint="default"/>
                <w:b/>
                <w:bCs/>
                <w:sz w:val="18"/>
                <w:szCs w:val="18"/>
              </w:rPr>
              <w:t>会议次数</w:t>
            </w:r>
            <w:r>
              <w:rPr>
                <w:rFonts w:ascii="宋体" w:hAnsi="宋体" w:cs="宋体" w:eastAsia="宋体" w:hint="default"/>
                <w:sz w:val="18"/>
                <w:szCs w:val="18"/>
              </w:rPr>
            </w:r>
          </w:p>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7" w:right="116"/>
              <w:jc w:val="center"/>
              <w:rPr>
                <w:rFonts w:ascii="宋体" w:hAnsi="宋体" w:cs="宋体" w:eastAsia="宋体" w:hint="default"/>
                <w:sz w:val="18"/>
                <w:szCs w:val="18"/>
              </w:rPr>
            </w:pPr>
            <w:r>
              <w:rPr>
                <w:rFonts w:ascii="宋体" w:hAnsi="宋体" w:cs="宋体" w:eastAsia="宋体" w:hint="default"/>
                <w:b/>
                <w:bCs/>
                <w:w w:val="95"/>
                <w:sz w:val="18"/>
                <w:szCs w:val="18"/>
              </w:rPr>
              <w:t>委托出席董事</w:t>
            </w:r>
            <w:r>
              <w:rPr>
                <w:rFonts w:ascii="宋体" w:hAnsi="宋体" w:cs="宋体" w:eastAsia="宋体" w:hint="default"/>
                <w:b/>
                <w:bCs/>
                <w:spacing w:val="-43"/>
                <w:w w:val="95"/>
                <w:sz w:val="18"/>
                <w:szCs w:val="18"/>
              </w:rPr>
              <w:t> </w:t>
            </w:r>
            <w:r>
              <w:rPr>
                <w:rFonts w:ascii="宋体" w:hAnsi="宋体" w:cs="宋体" w:eastAsia="宋体" w:hint="default"/>
                <w:b/>
                <w:bCs/>
                <w:sz w:val="18"/>
                <w:szCs w:val="18"/>
              </w:rPr>
              <w:t>会会议次数</w:t>
            </w:r>
            <w:r>
              <w:rPr>
                <w:rFonts w:ascii="宋体" w:hAnsi="宋体" w:cs="宋体" w:eastAsia="宋体" w:hint="default"/>
                <w:sz w:val="18"/>
                <w:szCs w:val="18"/>
              </w:rPr>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7" w:right="115"/>
              <w:jc w:val="center"/>
              <w:rPr>
                <w:rFonts w:ascii="宋体" w:hAnsi="宋体" w:cs="宋体" w:eastAsia="宋体" w:hint="default"/>
                <w:sz w:val="18"/>
                <w:szCs w:val="18"/>
              </w:rPr>
            </w:pPr>
            <w:r>
              <w:rPr>
                <w:rFonts w:ascii="宋体" w:hAnsi="宋体" w:cs="宋体" w:eastAsia="宋体" w:hint="default"/>
                <w:b/>
                <w:bCs/>
                <w:sz w:val="18"/>
                <w:szCs w:val="18"/>
              </w:rPr>
              <w:t>缺席董事会</w:t>
            </w:r>
            <w:r>
              <w:rPr>
                <w:rFonts w:ascii="宋体" w:hAnsi="宋体" w:cs="宋体" w:eastAsia="宋体" w:hint="default"/>
                <w:b/>
                <w:bCs/>
                <w:w w:val="99"/>
                <w:sz w:val="18"/>
                <w:szCs w:val="18"/>
              </w:rPr>
              <w:t> </w:t>
            </w:r>
            <w:r>
              <w:rPr>
                <w:rFonts w:ascii="宋体" w:hAnsi="宋体" w:cs="宋体" w:eastAsia="宋体" w:hint="default"/>
                <w:b/>
                <w:bCs/>
                <w:sz w:val="18"/>
                <w:szCs w:val="18"/>
              </w:rPr>
              <w:t>会议次数</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0" w:right="108"/>
              <w:jc w:val="center"/>
              <w:rPr>
                <w:rFonts w:ascii="宋体" w:hAnsi="宋体" w:cs="宋体" w:eastAsia="宋体" w:hint="default"/>
                <w:sz w:val="18"/>
                <w:szCs w:val="18"/>
              </w:rPr>
            </w:pPr>
            <w:r>
              <w:rPr>
                <w:rFonts w:ascii="宋体" w:hAnsi="宋体" w:cs="宋体" w:eastAsia="宋体" w:hint="default"/>
                <w:b/>
                <w:bCs/>
                <w:sz w:val="18"/>
                <w:szCs w:val="18"/>
              </w:rPr>
              <w:t>出席股东大</w:t>
            </w:r>
            <w:r>
              <w:rPr>
                <w:rFonts w:ascii="宋体" w:hAnsi="宋体" w:cs="宋体" w:eastAsia="宋体" w:hint="default"/>
                <w:b/>
                <w:bCs/>
                <w:w w:val="99"/>
                <w:sz w:val="18"/>
                <w:szCs w:val="18"/>
              </w:rPr>
              <w:t> </w:t>
            </w:r>
            <w:r>
              <w:rPr>
                <w:rFonts w:ascii="宋体" w:hAnsi="宋体" w:cs="宋体" w:eastAsia="宋体" w:hint="default"/>
                <w:b/>
                <w:bCs/>
                <w:sz w:val="18"/>
                <w:szCs w:val="18"/>
              </w:rPr>
              <w:t>会会议次数</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（次）</w:t>
            </w:r>
            <w:r>
              <w:rPr>
                <w:rFonts w:ascii="宋体" w:hAnsi="宋体" w:cs="宋体" w:eastAsia="宋体" w:hint="default"/>
                <w:sz w:val="18"/>
                <w:szCs w:val="18"/>
              </w:rPr>
            </w:r>
          </w:p>
        </w:tc>
      </w:tr>
      <w:tr>
        <w:trPr>
          <w:trHeight w:val="36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张近东</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26"/>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w:t>
            </w:r>
          </w:p>
        </w:tc>
      </w:tr>
      <w:tr>
        <w:trPr>
          <w:trHeight w:val="37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孙为民</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26"/>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w:t>
            </w:r>
          </w:p>
        </w:tc>
      </w:tr>
      <w:tr>
        <w:trPr>
          <w:trHeight w:val="37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26"/>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w:t>
            </w:r>
          </w:p>
        </w:tc>
      </w:tr>
      <w:tr>
        <w:trPr>
          <w:trHeight w:val="37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孟祥胜</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26"/>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2</w:t>
            </w:r>
          </w:p>
        </w:tc>
      </w:tr>
      <w:tr>
        <w:trPr>
          <w:trHeight w:val="5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峻</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03" w:right="102"/>
              <w:jc w:val="left"/>
              <w:rPr>
                <w:rFonts w:ascii="宋体" w:hAnsi="宋体" w:cs="宋体" w:eastAsia="宋体" w:hint="default"/>
                <w:sz w:val="18"/>
                <w:szCs w:val="18"/>
              </w:rPr>
            </w:pPr>
            <w:r>
              <w:rPr>
                <w:rFonts w:ascii="宋体" w:hAnsi="宋体" w:cs="宋体" w:eastAsia="宋体" w:hint="default"/>
                <w:spacing w:val="3"/>
                <w:sz w:val="18"/>
                <w:szCs w:val="18"/>
              </w:rPr>
              <w:t>董事、副总裁、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董秘</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26"/>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w:t>
            </w:r>
          </w:p>
        </w:tc>
      </w:tr>
      <w:tr>
        <w:trPr>
          <w:trHeight w:val="37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26"/>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 w:right="0"/>
              <w:jc w:val="center"/>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12" w:right="0"/>
              <w:jc w:val="lef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1"/>
              <w:jc w:val="right"/>
              <w:rPr>
                <w:rFonts w:ascii="Times New Roman" w:hAnsi="Times New Roman" w:cs="Times New Roman" w:eastAsia="Times New Roman" w:hint="default"/>
                <w:sz w:val="18"/>
                <w:szCs w:val="18"/>
              </w:rPr>
            </w:pPr>
            <w:r>
              <w:rPr>
                <w:rFonts w:ascii="Times New Roman"/>
                <w:sz w:val="18"/>
              </w:rPr>
              <w:t>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199"/>
        <w:ind w:left="820" w:right="1328"/>
        <w:jc w:val="left"/>
      </w:pPr>
      <w:r>
        <w:rPr/>
        <w:t>三、公司与控股股东在业务、人员、资产、机构、财务等方面的情况 </w:t>
      </w:r>
      <w:r>
        <w:rPr>
          <w:spacing w:val="-3"/>
        </w:rPr>
        <w:t>因公司控股股东为自然人，故不存在公司与控股股东在业务、人员、资产、机构等</w:t>
      </w:r>
    </w:p>
    <w:p>
      <w:pPr>
        <w:spacing w:after="0" w:line="357" w:lineRule="auto"/>
        <w:jc w:val="left"/>
        <w:sectPr>
          <w:footerReference w:type="default" r:id="rId17"/>
          <w:pgSz w:w="11910" w:h="16840"/>
          <w:pgMar w:footer="1127" w:header="748" w:top="980" w:bottom="1320" w:left="1100" w:right="0"/>
          <w:pgNumType w:start="22"/>
        </w:sectPr>
      </w:pPr>
    </w:p>
    <w:p>
      <w:pPr>
        <w:spacing w:line="240" w:lineRule="auto" w:before="6"/>
        <w:rPr>
          <w:rFonts w:ascii="宋体" w:hAnsi="宋体" w:cs="宋体" w:eastAsia="宋体" w:hint="default"/>
          <w:sz w:val="29"/>
          <w:szCs w:val="29"/>
        </w:rPr>
      </w:pPr>
    </w:p>
    <w:p>
      <w:pPr>
        <w:pStyle w:val="BodyText"/>
        <w:spacing w:line="357" w:lineRule="auto" w:before="26"/>
        <w:ind w:right="1438"/>
        <w:jc w:val="both"/>
      </w:pPr>
      <w:r>
        <w:rPr>
          <w:spacing w:val="-3"/>
        </w:rPr>
        <w:t>他资产，公司与控股股东在业务、人员、资产、机构、财务等方面完全分开，具有独立</w:t>
      </w:r>
      <w:r>
        <w:rPr>
          <w:spacing w:val="-102"/>
        </w:rPr>
        <w:t> </w:t>
      </w:r>
      <w:r>
        <w:rPr>
          <w:spacing w:val="-102"/>
        </w:rPr>
      </w:r>
      <w:r>
        <w:rPr>
          <w:spacing w:val="-3"/>
        </w:rPr>
        <w:t>完整的业务及自主经营能力。公司与控股股东关联法人之间发生的关联交易，定价公平</w:t>
      </w:r>
      <w:r>
        <w:rPr>
          <w:spacing w:val="-98"/>
        </w:rPr>
        <w:t> </w:t>
      </w:r>
      <w:r>
        <w:rPr>
          <w:spacing w:val="-98"/>
        </w:rPr>
      </w:r>
      <w:r>
        <w:rPr/>
        <w:t>合理，审批程序符合相关法律、法规及公司《章程》的规定。</w:t>
      </w:r>
    </w:p>
    <w:p>
      <w:pPr>
        <w:pStyle w:val="BodyText"/>
        <w:spacing w:line="357" w:lineRule="auto" w:before="36"/>
        <w:ind w:left="620" w:right="1436" w:hanging="60"/>
        <w:jc w:val="left"/>
      </w:pPr>
      <w:r>
        <w:rPr/>
        <w:t>四、公司对高级管理人员的考评和激励机制、相关奖励制度的建立及实施情况 </w:t>
      </w:r>
      <w:r>
        <w:rPr>
          <w:spacing w:val="-3"/>
        </w:rPr>
        <w:t>公司建立了较为健全的考评和激励机制，以公司规范化管理以及经营效益稳步提升</w:t>
      </w:r>
    </w:p>
    <w:p>
      <w:pPr>
        <w:pStyle w:val="BodyText"/>
        <w:spacing w:line="348" w:lineRule="auto" w:before="36"/>
        <w:ind w:right="1437"/>
        <w:jc w:val="both"/>
      </w:pPr>
      <w:r>
        <w:rPr>
          <w:spacing w:val="-3"/>
        </w:rPr>
        <w:t>为基础，与公司管理人员签订岗位目标责任书，并以量化的考核指标定期对高级管理人</w:t>
      </w:r>
      <w:r>
        <w:rPr>
          <w:spacing w:val="-98"/>
        </w:rPr>
        <w:t> </w:t>
      </w:r>
      <w:r>
        <w:rPr>
          <w:spacing w:val="-98"/>
        </w:rPr>
      </w:r>
      <w:r>
        <w:rPr/>
        <w:t>员进行业绩考核。经过考评，</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年度公司高管人员认真履行了工作职责，工作业绩 良好，较好的完成了本年度所确定的各项任务。</w:t>
      </w:r>
    </w:p>
    <w:p>
      <w:pPr>
        <w:pStyle w:val="BodyText"/>
        <w:spacing w:line="240" w:lineRule="auto" w:before="46"/>
        <w:ind w:left="620" w:right="1314"/>
        <w:jc w:val="left"/>
      </w:pPr>
      <w:r>
        <w:rPr/>
        <w:t>五、公司内部控制制度的建立和健全情况</w:t>
      </w:r>
    </w:p>
    <w:p>
      <w:pPr>
        <w:pStyle w:val="BodyText"/>
        <w:spacing w:line="357" w:lineRule="auto" w:before="154"/>
        <w:ind w:left="620" w:right="1436"/>
        <w:jc w:val="left"/>
      </w:pPr>
      <w:r>
        <w:rPr/>
        <w:t>（一）内部控制体系的建设 </w:t>
      </w:r>
      <w:r>
        <w:rPr>
          <w:spacing w:val="-3"/>
        </w:rPr>
        <w:t>根据中国证券监督管理委员会、深圳证券交易所、江苏证监局相关法律法规的规定</w:t>
      </w:r>
    </w:p>
    <w:p>
      <w:pPr>
        <w:pStyle w:val="BodyText"/>
        <w:spacing w:line="348" w:lineRule="auto" w:before="36"/>
        <w:ind w:right="1328"/>
        <w:jc w:val="left"/>
      </w:pPr>
      <w:r>
        <w:rPr>
          <w:spacing w:val="-3"/>
        </w:rPr>
        <w:t>和指导以及公司内部管理层对内部控制的要求，</w:t>
      </w:r>
      <w:r>
        <w:rPr>
          <w:rFonts w:ascii="Times New Roman" w:hAnsi="Times New Roman" w:cs="Times New Roman" w:eastAsia="Times New Roman" w:hint="default"/>
          <w:spacing w:val="-3"/>
        </w:rPr>
        <w:t>2011</w:t>
      </w:r>
      <w:r>
        <w:rPr>
          <w:spacing w:val="-3"/>
        </w:rPr>
        <w:t>年，公司内控部门从公司组织设立</w:t>
      </w:r>
      <w:r>
        <w:rPr>
          <w:spacing w:val="-92"/>
        </w:rPr>
        <w:t> </w:t>
      </w:r>
      <w:r>
        <w:rPr>
          <w:spacing w:val="-92"/>
        </w:rPr>
      </w:r>
      <w:r>
        <w:rPr/>
        <w:t>和职责明确上进一步完善公司内部控制以及风险控制体系，加强和规范公司风险管理、 合规管理、内部控制，提高企业经营管理水平和风险防范能力，促进企业可持续发展。</w:t>
      </w:r>
    </w:p>
    <w:p>
      <w:pPr>
        <w:pStyle w:val="BodyText"/>
        <w:spacing w:line="357" w:lineRule="auto" w:before="46"/>
        <w:ind w:right="1317" w:firstLine="480"/>
        <w:jc w:val="both"/>
      </w:pPr>
      <w:r>
        <w:rPr>
          <w:spacing w:val="-16"/>
        </w:rPr>
        <w:t>公司已根据《公司法》、《证券法》、《企业内部控制基本规范》等有关法律、法规和</w:t>
      </w:r>
      <w:r>
        <w:rPr/>
        <w:t> </w:t>
      </w:r>
      <w:r>
        <w:rPr>
          <w:spacing w:val="-3"/>
        </w:rPr>
        <w:t>规章制度要求，不断完善和规范公司内部控制的组织架构，确保股东大会、董事会、监</w:t>
      </w:r>
      <w:r>
        <w:rPr>
          <w:spacing w:val="-94"/>
        </w:rPr>
        <w:t> </w:t>
      </w:r>
      <w:r>
        <w:rPr>
          <w:spacing w:val="-94"/>
        </w:rPr>
      </w:r>
      <w:r>
        <w:rPr>
          <w:spacing w:val="-3"/>
        </w:rPr>
        <w:t>事会、公司管理层等机构的操作规范，运作有效，维护了投资者和公司利益。公司内部</w:t>
      </w:r>
      <w:r>
        <w:rPr>
          <w:spacing w:val="-97"/>
        </w:rPr>
        <w:t> </w:t>
      </w:r>
      <w:r>
        <w:rPr>
          <w:spacing w:val="-97"/>
        </w:rPr>
      </w:r>
      <w:r>
        <w:rPr>
          <w:spacing w:val="-6"/>
        </w:rPr>
        <w:t>控制组织架构由股东大会、董事会、监事会和以总裁为代表的经营团队组成，权责明确。</w:t>
      </w:r>
    </w:p>
    <w:p>
      <w:pPr>
        <w:pStyle w:val="BodyText"/>
        <w:spacing w:line="357" w:lineRule="auto" w:before="36"/>
        <w:ind w:right="1437" w:firstLine="480"/>
        <w:jc w:val="both"/>
      </w:pPr>
      <w:r>
        <w:rPr>
          <w:spacing w:val="-3"/>
        </w:rPr>
        <w:t>股东大会行使公司最高权利，依法行使如决定公司的经营方针和投资计划，审议批</w:t>
      </w:r>
      <w:r>
        <w:rPr/>
        <w:t> 准董事会的报告等公司《章程》中明确的职权。</w:t>
      </w:r>
    </w:p>
    <w:p>
      <w:pPr>
        <w:pStyle w:val="BodyText"/>
        <w:spacing w:line="357" w:lineRule="auto" w:before="37"/>
        <w:ind w:right="1437" w:firstLine="480"/>
        <w:jc w:val="both"/>
      </w:pPr>
      <w:r>
        <w:rPr>
          <w:spacing w:val="-3"/>
        </w:rPr>
        <w:t>董事会行使公司经营决策权，负责内部控制的建立健全和有效实施；董事会下设提</w:t>
      </w:r>
      <w:r>
        <w:rPr/>
        <w:t> </w:t>
      </w:r>
      <w:r>
        <w:rPr>
          <w:spacing w:val="-3"/>
        </w:rPr>
        <w:t>名、审计以及薪酬与考核委员会，其中审计委员会负责审查企业内部控制、监督内部控</w:t>
      </w:r>
      <w:r>
        <w:rPr>
          <w:spacing w:val="-102"/>
        </w:rPr>
        <w:t> </w:t>
      </w:r>
      <w:r>
        <w:rPr>
          <w:spacing w:val="-102"/>
        </w:rPr>
      </w:r>
      <w:r>
        <w:rPr/>
        <w:t>制的有效实施和内部控制自我评价情况，指导及协调内部审计及其他相关事宜。</w:t>
      </w:r>
    </w:p>
    <w:p>
      <w:pPr>
        <w:pStyle w:val="BodyText"/>
        <w:spacing w:line="357" w:lineRule="auto" w:before="36"/>
        <w:ind w:left="620" w:right="1436"/>
        <w:jc w:val="left"/>
      </w:pPr>
      <w:r>
        <w:rPr/>
        <w:t>监事会行使监督权，对董事会建立与实施内部控制进行监督。 </w:t>
      </w:r>
      <w:r>
        <w:rPr>
          <w:spacing w:val="-3"/>
        </w:rPr>
        <w:t>以公司总裁为代表的高级管理人员团队行使执行权，向董事会负责，执行董事会决</w:t>
      </w:r>
    </w:p>
    <w:p>
      <w:pPr>
        <w:pStyle w:val="BodyText"/>
        <w:spacing w:line="240" w:lineRule="auto" w:before="36"/>
        <w:ind w:right="0"/>
        <w:jc w:val="both"/>
      </w:pPr>
      <w:r>
        <w:rPr/>
        <w:t>议，负责对公司内部控制制度的具体制定，并保证该制度的有效执行。</w:t>
      </w:r>
    </w:p>
    <w:p>
      <w:pPr>
        <w:pStyle w:val="BodyText"/>
        <w:spacing w:line="357" w:lineRule="auto" w:before="154"/>
        <w:ind w:left="620" w:right="1436"/>
        <w:jc w:val="left"/>
      </w:pPr>
      <w:r>
        <w:rPr/>
        <w:t>（二）公司内部控制制度建设情况及实施情况 </w:t>
      </w:r>
      <w:r>
        <w:rPr>
          <w:spacing w:val="-3"/>
        </w:rPr>
        <w:t>公司已建立了贯穿整个业务流程以及经营管理各层面、各体系的内部控制制度，并</w:t>
      </w:r>
    </w:p>
    <w:p>
      <w:pPr>
        <w:pStyle w:val="BodyText"/>
        <w:spacing w:line="240" w:lineRule="auto" w:before="36"/>
        <w:ind w:right="0"/>
        <w:jc w:val="both"/>
      </w:pPr>
      <w:r>
        <w:rPr>
          <w:spacing w:val="-6"/>
        </w:rPr>
        <w:t>且不断结合新的业务特点、管理要求，进行完善和改进，有效的保证了公司的规范运作。</w:t>
      </w:r>
    </w:p>
    <w:p>
      <w:pPr>
        <w:pStyle w:val="BodyText"/>
        <w:spacing w:line="240" w:lineRule="auto" w:before="154"/>
        <w:ind w:left="620" w:right="1314"/>
        <w:jc w:val="left"/>
      </w:pPr>
      <w:r>
        <w:rPr>
          <w:rFonts w:ascii="Times New Roman" w:hAnsi="Times New Roman" w:cs="Times New Roman" w:eastAsia="Times New Roman" w:hint="default"/>
        </w:rPr>
        <w:t>1</w:t>
      </w:r>
      <w:r>
        <w:rPr/>
        <w:t>、管理控制：公司有较为完善的法人治理结构和完备的管理制度，主要包括公司</w:t>
      </w:r>
    </w:p>
    <w:p>
      <w:pPr>
        <w:spacing w:after="0" w:line="240" w:lineRule="auto"/>
        <w:jc w:val="left"/>
        <w:sectPr>
          <w:footerReference w:type="default" r:id="rId18"/>
          <w:pgSz w:w="11910" w:h="16840"/>
          <w:pgMar w:footer="1127" w:header="748" w:top="980" w:bottom="1320" w:left="1300" w:right="0"/>
          <w:pgNumType w:start="23"/>
        </w:sectPr>
      </w:pPr>
    </w:p>
    <w:p>
      <w:pPr>
        <w:spacing w:line="240" w:lineRule="auto" w:before="6"/>
        <w:rPr>
          <w:rFonts w:ascii="宋体" w:hAnsi="宋体" w:cs="宋体" w:eastAsia="宋体" w:hint="default"/>
          <w:sz w:val="29"/>
          <w:szCs w:val="29"/>
        </w:rPr>
      </w:pPr>
    </w:p>
    <w:p>
      <w:pPr>
        <w:pStyle w:val="BodyText"/>
        <w:spacing w:line="357" w:lineRule="auto" w:before="26"/>
        <w:ind w:right="1433"/>
        <w:jc w:val="both"/>
      </w:pPr>
      <w:r>
        <w:rPr>
          <w:spacing w:val="-21"/>
        </w:rPr>
        <w:t>则》、《关联交易决策制度》、《募集资金管理制度》、《投资者关系管理制度》、《信息披</w:t>
      </w:r>
      <w:r>
        <w:rPr>
          <w:spacing w:val="-94"/>
        </w:rPr>
        <w:t> </w:t>
      </w:r>
      <w:r>
        <w:rPr>
          <w:spacing w:val="-94"/>
        </w:rPr>
      </w:r>
      <w:r>
        <w:rPr>
          <w:spacing w:val="-9"/>
        </w:rPr>
        <w:t>露管理制度》、《董事、监事、高级管理人员持股变动管理制度》等。公司各项管理制度</w:t>
      </w:r>
      <w:r>
        <w:rPr>
          <w:spacing w:val="-98"/>
        </w:rPr>
        <w:t> </w:t>
      </w:r>
      <w:r>
        <w:rPr>
          <w:spacing w:val="-98"/>
        </w:rPr>
      </w:r>
      <w:r>
        <w:rPr/>
        <w:t>建立之后均能够得到有效地贯彻执行，保证了公司的规范运作，促进公司健康发展。</w:t>
      </w:r>
    </w:p>
    <w:p>
      <w:pPr>
        <w:pStyle w:val="BodyText"/>
        <w:spacing w:line="352" w:lineRule="auto" w:before="36"/>
        <w:ind w:right="1435" w:firstLine="480"/>
        <w:jc w:val="both"/>
      </w:pPr>
      <w:r>
        <w:rPr>
          <w:rFonts w:ascii="Times New Roman" w:hAnsi="Times New Roman" w:cs="Times New Roman" w:eastAsia="Times New Roman" w:hint="default"/>
        </w:rPr>
        <w:t>2</w:t>
      </w:r>
      <w:r>
        <w:rPr/>
        <w:t>、经营控制：公司针对各体系、各层级、各岗位制定了明确的工作职责和权限， </w:t>
      </w:r>
      <w:r>
        <w:rPr>
          <w:spacing w:val="-3"/>
        </w:rPr>
        <w:t>同时制定了相应的管理手册，逐步规范和完善各项制度、标准和流程，建立相关部门之</w:t>
      </w:r>
      <w:r>
        <w:rPr>
          <w:spacing w:val="-102"/>
        </w:rPr>
        <w:t> </w:t>
      </w:r>
      <w:r>
        <w:rPr>
          <w:spacing w:val="-102"/>
        </w:rPr>
      </w:r>
      <w:r>
        <w:rPr>
          <w:spacing w:val="-3"/>
        </w:rPr>
        <w:t>间、岗位之间的制衡和监督机制。同时，运用信息系统平台，对上述流程、标准进一步</w:t>
      </w:r>
      <w:r>
        <w:rPr>
          <w:spacing w:val="-104"/>
        </w:rPr>
        <w:t> </w:t>
      </w:r>
      <w:r>
        <w:rPr>
          <w:spacing w:val="-104"/>
        </w:rPr>
      </w:r>
      <w:r>
        <w:rPr>
          <w:spacing w:val="-3"/>
        </w:rPr>
        <w:t>固化、完善。公司持续对总部各部门及分、子公司执行各项制度、流程的情况进行检查</w:t>
      </w:r>
      <w:r>
        <w:rPr>
          <w:spacing w:val="-97"/>
        </w:rPr>
        <w:t> </w:t>
      </w:r>
      <w:r>
        <w:rPr>
          <w:spacing w:val="-97"/>
        </w:rPr>
      </w:r>
      <w:r>
        <w:rPr>
          <w:spacing w:val="-3"/>
        </w:rPr>
        <w:t>和评估。同时，公司通过加强对员工的定期培训和考核，进一步提高员工内控意识，更</w:t>
      </w:r>
      <w:r>
        <w:rPr>
          <w:spacing w:val="-97"/>
        </w:rPr>
        <w:t> </w:t>
      </w:r>
      <w:r>
        <w:rPr>
          <w:spacing w:val="-97"/>
        </w:rPr>
      </w:r>
      <w:r>
        <w:rPr/>
        <w:t>好地促进公司内部控制制度的实施。</w:t>
      </w:r>
    </w:p>
    <w:p>
      <w:pPr>
        <w:pStyle w:val="BodyText"/>
        <w:spacing w:line="345" w:lineRule="auto" w:before="41"/>
        <w:ind w:right="1314" w:firstLine="480"/>
        <w:jc w:val="left"/>
      </w:pPr>
      <w:r>
        <w:rPr>
          <w:rFonts w:ascii="Times New Roman" w:hAnsi="Times New Roman" w:cs="Times New Roman" w:eastAsia="Times New Roman" w:hint="default"/>
          <w:spacing w:val="-3"/>
        </w:rPr>
        <w:t>3</w:t>
      </w:r>
      <w:r>
        <w:rPr>
          <w:spacing w:val="-3"/>
        </w:rPr>
        <w:t>、财务控制：公司按照企业会计制度、会计法、税法等国家有关法律法规的规定，</w:t>
      </w:r>
      <w:r>
        <w:rPr/>
        <w:t> </w:t>
      </w:r>
      <w:r>
        <w:rPr>
          <w:spacing w:val="-3"/>
        </w:rPr>
        <w:t>建立了较为完善的财务管理制度，具体包括财务会计制度、发票管理制度等。公司还通</w:t>
      </w:r>
      <w:r>
        <w:rPr>
          <w:spacing w:val="-102"/>
        </w:rPr>
        <w:t> </w:t>
      </w:r>
      <w:r>
        <w:rPr>
          <w:spacing w:val="-102"/>
        </w:rPr>
      </w:r>
      <w:r>
        <w:rPr/>
        <w:t>过 </w:t>
      </w:r>
      <w:r>
        <w:rPr>
          <w:rFonts w:ascii="Times New Roman" w:hAnsi="Times New Roman" w:cs="Times New Roman" w:eastAsia="Times New Roman" w:hint="default"/>
        </w:rPr>
        <w:t>SAP/ERP</w:t>
      </w:r>
      <w:r>
        <w:rPr>
          <w:rFonts w:ascii="Times New Roman" w:hAnsi="Times New Roman" w:cs="Times New Roman" w:eastAsia="Times New Roman" w:hint="default"/>
          <w:spacing w:val="-20"/>
        </w:rPr>
        <w:t> </w:t>
      </w:r>
      <w:r>
        <w:rPr/>
        <w:t>系统，对货币资金、采购与付款、销售与收款、固定资产、存货等建立了 严格内部审批程序，规定了相应的审批权限，并实施有效控制管理。</w:t>
      </w:r>
    </w:p>
    <w:p>
      <w:pPr>
        <w:pStyle w:val="BodyText"/>
        <w:spacing w:line="348" w:lineRule="auto" w:before="48"/>
        <w:ind w:right="1435" w:firstLine="480"/>
        <w:jc w:val="both"/>
      </w:pPr>
      <w:r>
        <w:rPr>
          <w:rFonts w:ascii="Times New Roman" w:hAnsi="Times New Roman" w:cs="Times New Roman" w:eastAsia="Times New Roman" w:hint="default"/>
          <w:spacing w:val="-6"/>
        </w:rPr>
        <w:t>4</w:t>
      </w:r>
      <w:r>
        <w:rPr>
          <w:spacing w:val="-6"/>
        </w:rPr>
        <w:t>、投资决策控制：公司制定了《重大投资与财务决策制度》，建立了相应的投资决</w:t>
      </w:r>
      <w:r>
        <w:rPr/>
        <w:t> </w:t>
      </w:r>
      <w:r>
        <w:rPr>
          <w:spacing w:val="-3"/>
        </w:rPr>
        <w:t>策流程和内部审批制度，就公司购买资产、对外投资、对外担保、银行借款事项等进行</w:t>
      </w:r>
      <w:r>
        <w:rPr>
          <w:spacing w:val="-100"/>
        </w:rPr>
        <w:t> </w:t>
      </w:r>
      <w:r>
        <w:rPr>
          <w:spacing w:val="-100"/>
        </w:rPr>
      </w:r>
      <w:r>
        <w:rPr/>
        <w:t>了规范和科学决策。</w:t>
      </w:r>
    </w:p>
    <w:p>
      <w:pPr>
        <w:pStyle w:val="BodyText"/>
        <w:spacing w:line="348" w:lineRule="auto" w:before="46"/>
        <w:ind w:right="1313" w:firstLine="480"/>
        <w:jc w:val="left"/>
      </w:pPr>
      <w:r>
        <w:rPr>
          <w:rFonts w:ascii="Times New Roman" w:hAnsi="Times New Roman" w:cs="Times New Roman" w:eastAsia="Times New Roman" w:hint="default"/>
          <w:spacing w:val="-15"/>
        </w:rPr>
        <w:t>5</w:t>
      </w:r>
      <w:r>
        <w:rPr>
          <w:spacing w:val="-15"/>
        </w:rPr>
        <w:t>、信息披露控制：建立了《信息披露管理制度》、《内幕信息知情人登记管理制度》，</w:t>
      </w:r>
      <w:r>
        <w:rPr/>
        <w:t> </w:t>
      </w:r>
      <w:r>
        <w:rPr>
          <w:spacing w:val="-3"/>
        </w:rPr>
        <w:t>明确了内幕信息的范围和内容以及未公开重大信息的传递、审核、披露流程，并明确各</w:t>
      </w:r>
      <w:r>
        <w:rPr>
          <w:spacing w:val="-101"/>
        </w:rPr>
        <w:t> </w:t>
      </w:r>
      <w:r>
        <w:rPr>
          <w:spacing w:val="-101"/>
        </w:rPr>
      </w:r>
      <w:r>
        <w:rPr/>
        <w:t>相关部门的重大信息报告责任人。</w:t>
      </w:r>
    </w:p>
    <w:p>
      <w:pPr>
        <w:pStyle w:val="BodyText"/>
        <w:spacing w:line="348" w:lineRule="auto" w:before="46"/>
        <w:ind w:right="1346" w:firstLine="480"/>
        <w:jc w:val="both"/>
      </w:pPr>
      <w:r>
        <w:rPr>
          <w:rFonts w:ascii="Times New Roman" w:hAnsi="Times New Roman" w:cs="Times New Roman" w:eastAsia="Times New Roman" w:hint="default"/>
        </w:rPr>
        <w:t>6</w:t>
      </w:r>
      <w:r>
        <w:rPr/>
        <w:t>、募集资金管理控制：为规范公司募集资金存放、使用管理，保证募集资金的安 </w:t>
      </w:r>
      <w:r>
        <w:rPr>
          <w:spacing w:val="-3"/>
        </w:rPr>
        <w:t>全，保障投资者利益，公司制定了《募集资金管理制度》，对募集资金专户存储、募集</w:t>
      </w:r>
      <w:r>
        <w:rPr>
          <w:spacing w:val="-107"/>
        </w:rPr>
        <w:t> </w:t>
      </w:r>
      <w:r>
        <w:rPr>
          <w:spacing w:val="-107"/>
        </w:rPr>
      </w:r>
      <w:r>
        <w:rPr/>
        <w:t>资金使用的审批程序和管理监督等作了明确的规定。公司严格按照制度规定贯彻落实。</w:t>
      </w:r>
    </w:p>
    <w:p>
      <w:pPr>
        <w:pStyle w:val="BodyText"/>
        <w:spacing w:line="352" w:lineRule="auto" w:before="46"/>
        <w:ind w:right="1435" w:firstLine="480"/>
        <w:jc w:val="both"/>
      </w:pPr>
      <w:r>
        <w:rPr>
          <w:rFonts w:ascii="Times New Roman" w:hAnsi="Times New Roman" w:cs="Times New Roman" w:eastAsia="Times New Roman" w:hint="default"/>
          <w:spacing w:val="-6"/>
        </w:rPr>
        <w:t>7</w:t>
      </w:r>
      <w:r>
        <w:rPr>
          <w:spacing w:val="-6"/>
        </w:rPr>
        <w:t>、内部审计控制：公司制定了《内部审计制度》，成立了专门的内部审计部门，直</w:t>
      </w:r>
      <w:r>
        <w:rPr/>
        <w:t> </w:t>
      </w:r>
      <w:r>
        <w:rPr>
          <w:spacing w:val="-3"/>
        </w:rPr>
        <w:t>接向董事会审计委员会负责，开展内部审计工作。按照《深圳证券交易所中小企业板上</w:t>
      </w:r>
      <w:r>
        <w:rPr>
          <w:spacing w:val="-100"/>
        </w:rPr>
        <w:t> </w:t>
      </w:r>
      <w:r>
        <w:rPr>
          <w:spacing w:val="-100"/>
        </w:rPr>
      </w:r>
      <w:r>
        <w:rPr>
          <w:spacing w:val="-3"/>
        </w:rPr>
        <w:t>市公司规范运作指引》、公司内审制度等规定，采用必审和抽审、事前控制和事后审计</w:t>
      </w:r>
      <w:r>
        <w:rPr>
          <w:spacing w:val="-106"/>
        </w:rPr>
        <w:t> </w:t>
      </w:r>
      <w:r>
        <w:rPr>
          <w:spacing w:val="-106"/>
        </w:rPr>
      </w:r>
      <w:r>
        <w:rPr>
          <w:spacing w:val="-3"/>
        </w:rPr>
        <w:t>相结合的内审工作方式，充分发挥了内审的检查监督职能。通过内部审计，公司及时发</w:t>
      </w:r>
      <w:r>
        <w:rPr>
          <w:spacing w:val="-102"/>
        </w:rPr>
        <w:t> </w:t>
      </w:r>
      <w:r>
        <w:rPr>
          <w:spacing w:val="-102"/>
        </w:rPr>
      </w:r>
      <w:r>
        <w:rPr>
          <w:spacing w:val="-3"/>
        </w:rPr>
        <w:t>现有关经营活动中存在的问题，提出整改建议，落实整改措施，促进公司强化管理，提</w:t>
      </w:r>
      <w:r>
        <w:rPr>
          <w:spacing w:val="-97"/>
        </w:rPr>
        <w:t> </w:t>
      </w:r>
      <w:r>
        <w:rPr>
          <w:spacing w:val="-97"/>
        </w:rPr>
      </w:r>
      <w:r>
        <w:rPr/>
        <w:t>高内部控制、内部监督的有效性，进一步防范企业经营风险和财务风险。</w:t>
      </w:r>
    </w:p>
    <w:p>
      <w:pPr>
        <w:pStyle w:val="BodyText"/>
        <w:spacing w:line="240" w:lineRule="auto" w:before="41"/>
        <w:ind w:left="620" w:right="1314"/>
        <w:jc w:val="left"/>
      </w:pPr>
      <w:r>
        <w:rPr>
          <w:rFonts w:ascii="Times New Roman" w:hAnsi="Times New Roman" w:cs="Times New Roman" w:eastAsia="Times New Roman" w:hint="default"/>
        </w:rPr>
        <w:t>8</w:t>
      </w:r>
      <w:r>
        <w:rPr/>
        <w:t>、人力资源管理控制：公司制定了一系列较为科学、完善的人员聘用、培训、轮</w:t>
      </w:r>
    </w:p>
    <w:p>
      <w:pPr>
        <w:pStyle w:val="BodyText"/>
        <w:spacing w:line="240" w:lineRule="auto"/>
        <w:ind w:right="0"/>
        <w:jc w:val="both"/>
      </w:pPr>
      <w:r>
        <w:rPr/>
        <w:t>岗、考核、奖惩、晋升等人事管理制度，并借助信息系统进一步固化和完善相关制度、</w:t>
      </w:r>
    </w:p>
    <w:p>
      <w:pPr>
        <w:spacing w:after="0" w:line="240" w:lineRule="auto"/>
        <w:jc w:val="both"/>
        <w:sectPr>
          <w:footerReference w:type="default" r:id="rId19"/>
          <w:pgSz w:w="11910" w:h="16840"/>
          <w:pgMar w:footer="1325" w:header="748" w:top="980" w:bottom="1520" w:left="1300" w:right="0"/>
          <w:pgNumType w:start="24"/>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288" type="#_x0000_t75" stroked="false">
            <v:imagedata r:id="rId21" o:title=""/>
          </v:shape>
        </w:pict>
      </w:r>
    </w:p>
    <w:p>
      <w:pPr>
        <w:pStyle w:val="BodyText"/>
        <w:spacing w:line="352" w:lineRule="auto" w:before="26"/>
        <w:ind w:right="1328"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年公司根据深圳证券交易所《关于开展“加强中小企业板上市公司内控规则 </w:t>
      </w:r>
      <w:r>
        <w:rPr>
          <w:spacing w:val="-3"/>
        </w:rPr>
        <w:t>落实”专项活动的通知》要求，公司对内部控制制度的制定和运行情况进行了自查。经</w:t>
      </w:r>
      <w:r>
        <w:rPr>
          <w:spacing w:val="-97"/>
        </w:rPr>
        <w:t> </w:t>
      </w:r>
      <w:r>
        <w:rPr>
          <w:spacing w:val="-97"/>
        </w:rPr>
      </w:r>
      <w:r>
        <w:rPr/>
        <w:t>自查，公司已建立起了符合规定的企业内控管理制度，并严格按照制度规定规范运作， </w:t>
      </w:r>
      <w:r>
        <w:rPr>
          <w:spacing w:val="-3"/>
        </w:rPr>
        <w:t>不存在需要整改的情况。为更好的发挥内部控制的作用，公司已根据相关法律、法规的</w:t>
      </w:r>
      <w:r>
        <w:rPr>
          <w:spacing w:val="-102"/>
        </w:rPr>
        <w:t> </w:t>
      </w:r>
      <w:r>
        <w:rPr>
          <w:spacing w:val="-102"/>
        </w:rPr>
      </w:r>
      <w:r>
        <w:rPr/>
        <w:t>规定，结合公司实际情况，及时对内控制度进行更新修订，不断完善。</w:t>
      </w:r>
    </w:p>
    <w:p>
      <w:pPr>
        <w:pStyle w:val="BodyText"/>
        <w:spacing w:line="240" w:lineRule="auto" w:before="41"/>
        <w:ind w:left="620" w:right="1314"/>
        <w:jc w:val="left"/>
      </w:pPr>
      <w:r>
        <w:rPr/>
        <w:t>（三）内部控制评价</w:t>
      </w:r>
    </w:p>
    <w:p>
      <w:pPr>
        <w:pStyle w:val="BodyText"/>
        <w:spacing w:line="338" w:lineRule="auto" w:before="154"/>
        <w:ind w:left="620" w:right="142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、董事会对公司内部控制的评价 公司已经根据基本规范、评价指引及其他相关法律法规的要求，对公司截至</w:t>
      </w:r>
      <w:r>
        <w:rPr>
          <w:spacing w:val="26"/>
        </w:rPr>
        <w:t> </w:t>
      </w:r>
      <w:r>
        <w:rPr>
          <w:rFonts w:ascii="Times New Roman" w:hAnsi="Times New Roman" w:cs="Times New Roman" w:eastAsia="Times New Roman" w:hint="default"/>
        </w:rPr>
        <w:t>2011</w:t>
      </w:r>
    </w:p>
    <w:p>
      <w:pPr>
        <w:pStyle w:val="BodyText"/>
        <w:spacing w:line="314" w:lineRule="auto" w:before="0"/>
        <w:ind w:left="620" w:right="1436" w:hanging="480"/>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 </w:t>
      </w:r>
      <w:r>
        <w:rPr/>
        <w:t>日的内部控制设计与运行的有效性进行了评价。 </w:t>
      </w:r>
      <w:r>
        <w:rPr>
          <w:spacing w:val="-3"/>
        </w:rPr>
        <w:t>报告期内，公司对纳入评价范围的业务与事项在重大方面均已建立了内部控制，并</w:t>
      </w:r>
    </w:p>
    <w:p>
      <w:pPr>
        <w:pStyle w:val="BodyText"/>
        <w:spacing w:line="240" w:lineRule="auto" w:before="48"/>
        <w:ind w:right="1314"/>
        <w:jc w:val="left"/>
      </w:pPr>
      <w:r>
        <w:rPr/>
        <w:t>得以有效执行，达到了公司内部控制的整体目标，不存在重大缺陷。</w:t>
      </w:r>
    </w:p>
    <w:p>
      <w:pPr>
        <w:pStyle w:val="BodyText"/>
        <w:spacing w:line="333" w:lineRule="auto" w:before="122"/>
        <w:ind w:right="1314" w:firstLine="480"/>
        <w:jc w:val="left"/>
      </w:pPr>
      <w:r>
        <w:rPr>
          <w:spacing w:val="3"/>
        </w:rPr>
        <w:t>自内部控制评价报告基准日至内部控制评价报告发出日之间未发生对评价结论产</w:t>
      </w:r>
      <w:r>
        <w:rPr>
          <w:spacing w:val="4"/>
        </w:rPr>
        <w:t> </w:t>
      </w:r>
      <w:r>
        <w:rPr/>
        <w:t>生实质性影响的内部控制的重大变化。</w:t>
      </w:r>
    </w:p>
    <w:p>
      <w:pPr>
        <w:pStyle w:val="BodyText"/>
        <w:spacing w:line="240" w:lineRule="auto" w:before="29"/>
        <w:ind w:left="620" w:right="1314"/>
        <w:jc w:val="left"/>
      </w:pPr>
      <w:r>
        <w:rPr/>
        <w:t>公司董事会《</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年度内部控制评价报告》刊登在</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日巨潮资讯网</w:t>
      </w:r>
    </w:p>
    <w:p>
      <w:pPr>
        <w:pStyle w:val="BodyText"/>
        <w:spacing w:line="240" w:lineRule="auto" w:before="136"/>
        <w:ind w:right="1314"/>
        <w:jc w:val="left"/>
      </w:pPr>
      <w:hyperlink r:id="rId22">
        <w:r>
          <w:rPr>
            <w:rFonts w:ascii="Times New Roman" w:hAnsi="Times New Roman" w:cs="Times New Roman" w:eastAsia="Times New Roman" w:hint="default"/>
          </w:rPr>
          <w:t>www.cninfo.com</w:t>
        </w:r>
      </w:hyperlink>
      <w:r>
        <w:rPr/>
        <w:t>上。</w:t>
      </w:r>
    </w:p>
    <w:p>
      <w:pPr>
        <w:pStyle w:val="BodyText"/>
        <w:spacing w:line="314" w:lineRule="auto"/>
        <w:ind w:left="620" w:right="1328"/>
        <w:jc w:val="left"/>
      </w:pPr>
      <w:r>
        <w:rPr>
          <w:rFonts w:ascii="Times New Roman" w:hAnsi="Times New Roman" w:cs="Times New Roman" w:eastAsia="Times New Roman" w:hint="default"/>
        </w:rPr>
        <w:t>2</w:t>
      </w:r>
      <w:r>
        <w:rPr/>
        <w:t>、独立董事关于公司《</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年度内部控制评价报告》的独立意见 公司内部控制重点活动按公司内部控制各项制度的规定进行，公司对控股子公司、</w:t>
      </w:r>
    </w:p>
    <w:p>
      <w:pPr>
        <w:pStyle w:val="BodyText"/>
        <w:spacing w:line="333" w:lineRule="auto" w:before="48"/>
        <w:ind w:right="1435"/>
        <w:jc w:val="both"/>
      </w:pPr>
      <w:r>
        <w:rPr>
          <w:spacing w:val="-3"/>
        </w:rPr>
        <w:t>关联交易、对外担保、募集资金使用、重大投资、信息披露的内部控制严格、充分、有</w:t>
      </w:r>
      <w:r>
        <w:rPr>
          <w:spacing w:val="-98"/>
        </w:rPr>
        <w:t> </w:t>
      </w:r>
      <w:r>
        <w:rPr>
          <w:spacing w:val="-98"/>
        </w:rPr>
      </w:r>
      <w:r>
        <w:rPr/>
        <w:t>效，保证了公司经营管理的正常进行，符合公司的实际情况，具有合理性和有效性。</w:t>
      </w:r>
    </w:p>
    <w:p>
      <w:pPr>
        <w:pStyle w:val="BodyText"/>
        <w:spacing w:line="314" w:lineRule="auto" w:before="29"/>
        <w:ind w:right="1314" w:firstLine="480"/>
        <w:jc w:val="left"/>
      </w:pPr>
      <w:r>
        <w:rPr/>
        <w:t>经审阅，我们认为《</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年度内部控制评价报告》全面、客观、真实地反映了公 司内部控制体系建设和运作的实际情况。</w:t>
      </w:r>
    </w:p>
    <w:p>
      <w:pPr>
        <w:pStyle w:val="BodyText"/>
        <w:spacing w:line="240" w:lineRule="auto" w:before="49"/>
        <w:ind w:left="620" w:right="1314"/>
        <w:jc w:val="left"/>
      </w:pPr>
      <w:r>
        <w:rPr/>
        <w:t>公司独立董事关于公司《</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年度内部控制评价报告》的独立意见刊登在</w:t>
      </w:r>
      <w:r>
        <w:rPr>
          <w:spacing w:val="-7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p>
    <w:p>
      <w:pPr>
        <w:pStyle w:val="BodyText"/>
        <w:spacing w:line="240" w:lineRule="auto" w:before="104"/>
        <w:ind w:right="131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日巨潮资讯网</w:t>
      </w:r>
      <w:hyperlink r:id="rId22">
        <w:r>
          <w:rPr>
            <w:rFonts w:ascii="Times New Roman" w:hAnsi="Times New Roman" w:cs="Times New Roman" w:eastAsia="Times New Roman" w:hint="default"/>
          </w:rPr>
          <w:t>www.cninfo.com</w:t>
        </w:r>
      </w:hyperlink>
      <w:r>
        <w:rPr/>
        <w:t>上。</w:t>
      </w:r>
    </w:p>
    <w:p>
      <w:pPr>
        <w:pStyle w:val="BodyText"/>
        <w:spacing w:line="314" w:lineRule="auto" w:before="104"/>
        <w:ind w:left="620" w:right="1436"/>
        <w:jc w:val="left"/>
      </w:pPr>
      <w:r>
        <w:rPr>
          <w:rFonts w:ascii="Times New Roman" w:hAnsi="Times New Roman" w:cs="Times New Roman" w:eastAsia="Times New Roman" w:hint="default"/>
        </w:rPr>
        <w:t>3</w:t>
      </w:r>
      <w:r>
        <w:rPr/>
        <w:t>、保荐机构对公司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年度内部控制评价的核查意见 </w:t>
      </w:r>
      <w:r>
        <w:rPr>
          <w:spacing w:val="-3"/>
        </w:rPr>
        <w:t>中信证券股份有限公司（以下简称“中信证券”）作为苏宁电器股份有限公司（以</w:t>
      </w:r>
    </w:p>
    <w:p>
      <w:pPr>
        <w:pStyle w:val="BodyText"/>
        <w:spacing w:line="314" w:lineRule="auto" w:before="48"/>
        <w:ind w:right="1434"/>
        <w:jc w:val="both"/>
      </w:pPr>
      <w:r>
        <w:rPr>
          <w:spacing w:val="-8"/>
        </w:rPr>
        <w:t>下简称“苏宁电器”或“公司”）</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17"/>
        </w:rPr>
        <w:t> </w:t>
      </w:r>
      <w:r>
        <w:rPr>
          <w:spacing w:val="-1"/>
        </w:rPr>
        <w:t>年非公开发行股票的保荐机构，根据深圳证券交</w:t>
      </w:r>
      <w:r>
        <w:rPr>
          <w:spacing w:val="-118"/>
        </w:rPr>
        <w:t> </w:t>
      </w:r>
      <w:r>
        <w:rPr>
          <w:spacing w:val="-118"/>
        </w:rPr>
      </w:r>
      <w:r>
        <w:rPr/>
        <w:t>易所《关于做好上市公司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年年度报告披露工作的通知》的要求，对《苏宁电器股</w:t>
      </w:r>
    </w:p>
    <w:p>
      <w:pPr>
        <w:pStyle w:val="BodyText"/>
        <w:spacing w:line="316" w:lineRule="auto" w:before="22"/>
        <w:ind w:left="620" w:right="1436" w:hanging="480"/>
        <w:jc w:val="left"/>
      </w:pPr>
      <w:r>
        <w:rPr/>
        <w:t>份有限公司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年度内部控制评价报告》发表如下意见： </w:t>
      </w:r>
      <w:r>
        <w:rPr>
          <w:spacing w:val="-3"/>
        </w:rPr>
        <w:t>中信证券认为，苏宁电器已经建立了较为完善的法人治理结构，建立了较为完备的</w:t>
      </w:r>
    </w:p>
    <w:p>
      <w:pPr>
        <w:pStyle w:val="BodyText"/>
        <w:spacing w:line="324" w:lineRule="auto" w:before="46"/>
        <w:ind w:right="1440"/>
        <w:jc w:val="both"/>
      </w:pPr>
      <w:r>
        <w:rPr/>
        <w:t>有关公司治理及内部控制的各项规章制度。</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年度，公司内部控制制度执行情况良 </w:t>
      </w:r>
      <w:r>
        <w:rPr>
          <w:spacing w:val="3"/>
        </w:rPr>
        <w:t>好，符合有关法律法规和证券监管部门对上市公司内控制度管理的规范要求。公司对</w:t>
      </w:r>
      <w:r>
        <w:rPr>
          <w:spacing w:val="-106"/>
        </w:rPr>
        <w:t> </w:t>
      </w:r>
      <w:r>
        <w:rPr>
          <w:spacing w:val="-106"/>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年度内部控制的评价是真实、客观的。</w:t>
      </w:r>
    </w:p>
    <w:p>
      <w:pPr>
        <w:spacing w:after="0" w:line="324" w:lineRule="auto"/>
        <w:jc w:val="both"/>
        <w:sectPr>
          <w:footerReference w:type="default" r:id="rId20"/>
          <w:pgSz w:w="11910" w:h="16840"/>
          <w:pgMar w:footer="706" w:header="748" w:top="980" w:bottom="900" w:left="1300" w:right="0"/>
          <w:pgNumType w:start="25"/>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504" type="#_x0000_t75" stroked="false">
            <v:imagedata r:id="rId21" o:title=""/>
          </v:shape>
        </w:pict>
      </w:r>
    </w:p>
    <w:p>
      <w:pPr>
        <w:pStyle w:val="BodyText"/>
        <w:spacing w:line="240" w:lineRule="auto" w:before="26"/>
        <w:ind w:left="640" w:right="1298"/>
        <w:jc w:val="left"/>
      </w:pPr>
      <w:r>
        <w:rPr/>
        <w:t>中信证券关于公司《</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年度内部控制评价报告》的独立意见刊登在</w:t>
      </w:r>
      <w:r>
        <w:rPr>
          <w:spacing w:val="-6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p>
    <w:p>
      <w:pPr>
        <w:pStyle w:val="BodyText"/>
        <w:spacing w:line="240" w:lineRule="auto" w:before="104"/>
        <w:ind w:left="160"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日巨潮资讯网</w:t>
      </w:r>
      <w:r>
        <w:rPr>
          <w:spacing w:val="-68"/>
        </w:rPr>
        <w:t> </w:t>
      </w:r>
      <w:hyperlink r:id="rId22">
        <w:r>
          <w:rPr>
            <w:rFonts w:ascii="Times New Roman" w:hAnsi="Times New Roman" w:cs="Times New Roman" w:eastAsia="Times New Roman" w:hint="default"/>
          </w:rPr>
          <w:t>www.cninfo.com</w:t>
        </w:r>
      </w:hyperlink>
      <w:r>
        <w:rPr>
          <w:rFonts w:ascii="Times New Roman" w:hAnsi="Times New Roman" w:cs="Times New Roman" w:eastAsia="Times New Roman" w:hint="default"/>
          <w:spacing w:val="-6"/>
        </w:rPr>
        <w:t> </w:t>
      </w:r>
      <w:r>
        <w:rPr/>
        <w:t>上。</w:t>
      </w:r>
    </w:p>
    <w:p>
      <w:pPr>
        <w:pStyle w:val="BodyText"/>
        <w:spacing w:line="338" w:lineRule="auto" w:before="104"/>
        <w:ind w:left="160" w:right="1298" w:firstLine="480"/>
        <w:jc w:val="left"/>
      </w:pPr>
      <w:r>
        <w:rPr>
          <w:rFonts w:ascii="Times New Roman" w:hAnsi="Times New Roman" w:cs="Times New Roman" w:eastAsia="Times New Roman" w:hint="default"/>
          <w:spacing w:val="4"/>
        </w:rPr>
        <w:t>4</w:t>
      </w:r>
      <w:r>
        <w:rPr>
          <w:spacing w:val="4"/>
        </w:rPr>
        <w:t>、普华永</w:t>
      </w:r>
      <w:r>
        <w:rPr>
          <w:spacing w:val="2"/>
        </w:rPr>
        <w:t>道</w:t>
      </w:r>
      <w:r>
        <w:rPr>
          <w:spacing w:val="4"/>
        </w:rPr>
        <w:t>中天会</w:t>
      </w:r>
      <w:r>
        <w:rPr>
          <w:spacing w:val="2"/>
        </w:rPr>
        <w:t>计</w:t>
      </w:r>
      <w:r>
        <w:rPr>
          <w:spacing w:val="4"/>
        </w:rPr>
        <w:t>师事务所出</w:t>
      </w:r>
      <w:r>
        <w:rPr>
          <w:spacing w:val="2"/>
        </w:rPr>
        <w:t>具</w:t>
      </w:r>
      <w:r>
        <w:rPr>
          <w:spacing w:val="4"/>
        </w:rPr>
        <w:t>《内部</w:t>
      </w:r>
      <w:r>
        <w:rPr>
          <w:spacing w:val="2"/>
        </w:rPr>
        <w:t>控</w:t>
      </w:r>
      <w:r>
        <w:rPr>
          <w:spacing w:val="4"/>
        </w:rPr>
        <w:t>制</w:t>
      </w:r>
      <w:r>
        <w:rPr>
          <w:spacing w:val="10"/>
        </w:rPr>
        <w:t>审</w:t>
      </w:r>
      <w:r>
        <w:rPr>
          <w:spacing w:val="4"/>
        </w:rPr>
        <w:t>计报告</w:t>
      </w:r>
      <w:r>
        <w:rPr>
          <w:spacing w:val="-118"/>
        </w:rPr>
        <w:t>》</w:t>
      </w:r>
      <w:r>
        <w:rPr>
          <w:spacing w:val="4"/>
        </w:rPr>
        <w:t>（普华</w:t>
      </w:r>
      <w:r>
        <w:rPr>
          <w:spacing w:val="2"/>
        </w:rPr>
        <w:t>永</w:t>
      </w:r>
      <w:r>
        <w:rPr>
          <w:spacing w:val="4"/>
        </w:rPr>
        <w:t>道中天特审</w:t>
      </w:r>
      <w:r>
        <w:rPr/>
        <w:t>字</w:t>
      </w:r>
      <w:r>
        <w:rPr/>
        <w:t> </w:t>
      </w:r>
      <w:r>
        <w:rPr>
          <w:rFonts w:ascii="Times New Roman" w:hAnsi="Times New Roman" w:cs="Times New Roman" w:eastAsia="Times New Roman" w:hint="default"/>
        </w:rPr>
        <w:t>(201</w:t>
      </w:r>
      <w:r>
        <w:rPr>
          <w:rFonts w:ascii="Times New Roman" w:hAnsi="Times New Roman" w:cs="Times New Roman" w:eastAsia="Times New Roman" w:hint="default"/>
          <w:spacing w:val="-1"/>
        </w:rPr>
        <w:t>2)</w:t>
      </w:r>
      <w:r>
        <w:rPr/>
        <w:t>第</w:t>
      </w:r>
      <w:r>
        <w:rPr>
          <w:spacing w:val="-60"/>
        </w:rPr>
        <w:t> </w:t>
      </w:r>
      <w:r>
        <w:rPr>
          <w:rFonts w:ascii="Times New Roman" w:hAnsi="Times New Roman" w:cs="Times New Roman" w:eastAsia="Times New Roman" w:hint="default"/>
        </w:rPr>
        <w:t>885 </w:t>
      </w:r>
      <w:r>
        <w:rPr/>
        <w:t>号</w:t>
      </w:r>
      <w:r>
        <w:rPr>
          <w:spacing w:val="-120"/>
        </w:rPr>
        <w:t>）</w:t>
      </w:r>
      <w:r>
        <w:rPr/>
        <w:t>，发</w:t>
      </w:r>
      <w:r>
        <w:rPr>
          <w:spacing w:val="2"/>
        </w:rPr>
        <w:t>表</w:t>
      </w:r>
      <w:r>
        <w:rPr/>
        <w:t>如下意见：</w:t>
      </w:r>
    </w:p>
    <w:p>
      <w:pPr>
        <w:pStyle w:val="BodyText"/>
        <w:spacing w:line="338" w:lineRule="auto" w:before="27"/>
        <w:ind w:left="160" w:right="1426" w:firstLine="480"/>
        <w:jc w:val="left"/>
      </w:pPr>
      <w:r>
        <w:rPr/>
        <w:t>“我们认为，贵公司于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日按照《企业内部控制基本规范》和相关 </w:t>
      </w:r>
      <w:r>
        <w:rPr>
          <w:spacing w:val="-5"/>
        </w:rPr>
        <w:t>规定在所有重大方面保持了有效的财务报告内部控制。”</w:t>
      </w:r>
    </w:p>
    <w:p>
      <w:pPr>
        <w:pStyle w:val="BodyText"/>
        <w:spacing w:line="240" w:lineRule="auto" w:before="55"/>
        <w:ind w:left="640" w:right="1298"/>
        <w:jc w:val="left"/>
      </w:pPr>
      <w:r>
        <w:rPr/>
        <w:t>普华永道注册会计事务所关于公司《</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年度内部控制审计报告》刊登在</w:t>
      </w:r>
      <w:r>
        <w:rPr>
          <w:spacing w:val="-7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p>
    <w:p>
      <w:pPr>
        <w:pStyle w:val="BodyText"/>
        <w:spacing w:line="240" w:lineRule="auto" w:before="136"/>
        <w:ind w:left="160"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日巨潮资讯网</w:t>
      </w:r>
      <w:r>
        <w:rPr>
          <w:spacing w:val="-65"/>
        </w:rPr>
        <w:t> </w:t>
      </w:r>
      <w:hyperlink r:id="rId22">
        <w:r>
          <w:rPr>
            <w:rFonts w:ascii="Times New Roman" w:hAnsi="Times New Roman" w:cs="Times New Roman" w:eastAsia="Times New Roman" w:hint="default"/>
          </w:rPr>
          <w:t>www.cninfo.com</w:t>
        </w:r>
      </w:hyperlink>
      <w:r>
        <w:rPr>
          <w:rFonts w:ascii="Times New Roman" w:hAnsi="Times New Roman" w:cs="Times New Roman" w:eastAsia="Times New Roman" w:hint="default"/>
          <w:spacing w:val="-5"/>
        </w:rPr>
        <w:t> </w:t>
      </w:r>
      <w:r>
        <w:rPr/>
        <w:t>上。</w:t>
      </w:r>
    </w:p>
    <w:p>
      <w:pPr>
        <w:pStyle w:val="BodyText"/>
        <w:spacing w:line="357" w:lineRule="auto"/>
        <w:ind w:left="640" w:right="1436"/>
        <w:jc w:val="left"/>
      </w:pPr>
      <w:r>
        <w:rPr/>
        <w:t>（四）公司建立财务报告内部控制的依据及内控制度执行情况 </w:t>
      </w:r>
      <w:r>
        <w:rPr>
          <w:spacing w:val="-3"/>
        </w:rPr>
        <w:t>公司按照企业会计制度、会计法、税法等国家有关法律法规的规定，建立了较为完</w:t>
      </w:r>
    </w:p>
    <w:p>
      <w:pPr>
        <w:pStyle w:val="BodyText"/>
        <w:spacing w:line="350" w:lineRule="auto" w:before="36"/>
        <w:ind w:left="160" w:right="1435"/>
        <w:jc w:val="both"/>
      </w:pPr>
      <w:r>
        <w:rPr/>
        <w:t>善的财务报表编制及财务报表编制审核制度。公司还通过 </w:t>
      </w:r>
      <w:r>
        <w:rPr>
          <w:rFonts w:ascii="Times New Roman" w:hAnsi="Times New Roman" w:cs="Times New Roman" w:eastAsia="Times New Roman" w:hint="default"/>
        </w:rPr>
        <w:t>SAP</w:t>
      </w:r>
      <w:r>
        <w:rPr>
          <w:rFonts w:ascii="Times New Roman" w:hAnsi="Times New Roman" w:cs="Times New Roman" w:eastAsia="Times New Roman" w:hint="default"/>
          <w:spacing w:val="7"/>
        </w:rPr>
        <w:t> </w:t>
      </w:r>
      <w:r>
        <w:rPr/>
        <w:t>系统，对货币资金、采 </w:t>
      </w:r>
      <w:r>
        <w:rPr>
          <w:spacing w:val="-3"/>
        </w:rPr>
        <w:t>购与付款、销售与收款、固定资产、存货等建立了严格的内部审批程序，规定了相应的</w:t>
      </w:r>
      <w:r>
        <w:rPr>
          <w:spacing w:val="-97"/>
        </w:rPr>
        <w:t> </w:t>
      </w:r>
      <w:r>
        <w:rPr>
          <w:spacing w:val="-97"/>
        </w:rPr>
      </w:r>
      <w:r>
        <w:rPr>
          <w:spacing w:val="-3"/>
        </w:rPr>
        <w:t>审批权限，对财务报告的编制过程建立了多人审核机制，实施有效控制管理。本年度的</w:t>
      </w:r>
      <w:r>
        <w:rPr>
          <w:spacing w:val="-102"/>
        </w:rPr>
        <w:t> </w:t>
      </w:r>
      <w:r>
        <w:rPr>
          <w:spacing w:val="-102"/>
        </w:rPr>
      </w:r>
      <w:r>
        <w:rPr/>
        <w:t>财务报告内部控制不存在重大缺陷。</w:t>
      </w:r>
    </w:p>
    <w:p>
      <w:pPr>
        <w:pStyle w:val="BodyText"/>
        <w:spacing w:line="357" w:lineRule="auto" w:before="44"/>
        <w:ind w:left="640" w:right="1436"/>
        <w:jc w:val="left"/>
      </w:pPr>
      <w:r>
        <w:rPr/>
        <w:t>（五）公司年度报告披露重大差错责任追究制度的建立与执行情况 </w:t>
      </w:r>
      <w:r>
        <w:rPr>
          <w:spacing w:val="-3"/>
        </w:rPr>
        <w:t>公司已建立《年报信息披露重大差错责任追究制度》，明确年报编制工作中相关人</w:t>
      </w:r>
    </w:p>
    <w:p>
      <w:pPr>
        <w:pStyle w:val="BodyText"/>
        <w:spacing w:line="357" w:lineRule="auto" w:before="36"/>
        <w:ind w:left="160" w:right="1438"/>
        <w:jc w:val="both"/>
      </w:pPr>
      <w:r>
        <w:rPr>
          <w:spacing w:val="-3"/>
        </w:rPr>
        <w:t>员的责任与义务，报告期内，公司严格按照年报编制制度执行年报编制工作，且执行情</w:t>
      </w:r>
      <w:r>
        <w:rPr>
          <w:spacing w:val="-101"/>
        </w:rPr>
        <w:t> </w:t>
      </w:r>
      <w:r>
        <w:rPr>
          <w:spacing w:val="-101"/>
        </w:rPr>
      </w:r>
      <w:r>
        <w:rPr/>
        <w:t>况良好，不存在发生重大会计差错更正、重大遗漏信息补充等情况。</w:t>
      </w:r>
    </w:p>
    <w:p>
      <w:pPr>
        <w:pStyle w:val="BodyText"/>
        <w:spacing w:line="240" w:lineRule="auto" w:before="36"/>
        <w:ind w:left="640" w:right="1298"/>
        <w:jc w:val="left"/>
      </w:pPr>
      <w:r>
        <w:rPr/>
        <w:t>（六）公司内部审计制度的建立和执行情况</w:t>
      </w:r>
    </w:p>
    <w:p>
      <w:pPr>
        <w:spacing w:line="240" w:lineRule="auto" w:before="1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5607"/>
        <w:gridCol w:w="744"/>
        <w:gridCol w:w="2602"/>
      </w:tblGrid>
      <w:tr>
        <w:trPr>
          <w:trHeight w:val="776" w:hRule="exact"/>
        </w:trPr>
        <w:tc>
          <w:tcPr>
            <w:tcW w:w="560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744"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before="97"/>
              <w:ind w:left="50" w:right="48" w:firstLine="48"/>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不适用</w:t>
            </w:r>
          </w:p>
        </w:tc>
        <w:tc>
          <w:tcPr>
            <w:tcW w:w="2602" w:type="dxa"/>
            <w:tcBorders>
              <w:top w:val="single" w:sz="12" w:space="0" w:color="000000"/>
              <w:left w:val="single" w:sz="4" w:space="0" w:color="000000"/>
              <w:bottom w:val="single" w:sz="4" w:space="0" w:color="000000"/>
              <w:right w:val="single" w:sz="12" w:space="0" w:color="000000"/>
            </w:tcBorders>
          </w:tcPr>
          <w:p>
            <w:pPr>
              <w:pStyle w:val="TableParagraph"/>
              <w:spacing w:line="274" w:lineRule="exact" w:before="97"/>
              <w:ind w:left="244" w:right="10" w:hanging="224"/>
              <w:jc w:val="left"/>
              <w:rPr>
                <w:rFonts w:ascii="宋体" w:hAnsi="宋体" w:cs="宋体" w:eastAsia="宋体" w:hint="default"/>
                <w:sz w:val="21"/>
                <w:szCs w:val="21"/>
              </w:rPr>
            </w:pPr>
            <w:r>
              <w:rPr>
                <w:rFonts w:ascii="宋体" w:hAnsi="宋体" w:cs="宋体" w:eastAsia="宋体" w:hint="default"/>
                <w:spacing w:val="-4"/>
                <w:sz w:val="21"/>
                <w:szCs w:val="21"/>
              </w:rPr>
              <w:t>备注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说明（如选择否或不适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用，请说明具体原因）</w:t>
            </w:r>
          </w:p>
        </w:tc>
      </w:tr>
      <w:tr>
        <w:trPr>
          <w:trHeight w:val="454" w:hRule="exact"/>
        </w:trPr>
        <w:tc>
          <w:tcPr>
            <w:tcW w:w="8954"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r>
      <w:tr>
        <w:trPr>
          <w:trHeight w:val="619"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．公司是否建立内部审计制度，内部审计制度是否经公司董</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事会审议通过</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629"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．公司董事会是否设立审计委员会，公司是否设立独立于财</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务部门的内部审计部门</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828"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成</w:t>
            </w:r>
            <w:r>
              <w:rPr>
                <w:rFonts w:ascii="宋体" w:hAnsi="宋体" w:cs="宋体" w:eastAsia="宋体" w:hint="default"/>
                <w:spacing w:val="-3"/>
                <w:w w:val="100"/>
                <w:sz w:val="21"/>
                <w:szCs w:val="21"/>
              </w:rPr>
              <w:t>员是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组成</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独立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w:t>
            </w:r>
          </w:p>
          <w:p>
            <w:pPr>
              <w:pStyle w:val="TableParagraph"/>
              <w:spacing w:line="272" w:lineRule="exact" w:before="19"/>
              <w:ind w:left="14" w:right="106"/>
              <w:jc w:val="left"/>
              <w:rPr>
                <w:rFonts w:ascii="宋体" w:hAnsi="宋体" w:cs="宋体" w:eastAsia="宋体" w:hint="default"/>
                <w:sz w:val="21"/>
                <w:szCs w:val="21"/>
              </w:rPr>
            </w:pPr>
            <w:r>
              <w:rPr>
                <w:rFonts w:ascii="宋体" w:hAnsi="宋体" w:cs="宋体" w:eastAsia="宋体" w:hint="default"/>
                <w:spacing w:val="-2"/>
                <w:sz w:val="21"/>
                <w:szCs w:val="21"/>
              </w:rPr>
              <w:t>数以上并担任召集人，且至少有一名独立董事为会计专业人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士</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632"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30"/>
              <w:ind w:left="14" w:right="17"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）内部审计部门是否配置三名以上（含三名）专职人员</w:t>
            </w:r>
            <w:r>
              <w:rPr>
                <w:rFonts w:ascii="宋体" w:hAnsi="宋体" w:cs="宋体" w:eastAsia="宋体" w:hint="default"/>
                <w:w w:val="100"/>
                <w:sz w:val="21"/>
                <w:szCs w:val="21"/>
              </w:rPr>
              <w:t> </w:t>
            </w:r>
            <w:r>
              <w:rPr>
                <w:rFonts w:ascii="宋体" w:hAnsi="宋体" w:cs="宋体" w:eastAsia="宋体" w:hint="default"/>
                <w:sz w:val="21"/>
                <w:szCs w:val="21"/>
              </w:rPr>
              <w:t>从事内部审计工作</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8954" w:type="dxa"/>
            <w:gridSpan w:val="3"/>
            <w:tcBorders>
              <w:top w:val="single" w:sz="4" w:space="0" w:color="000000"/>
              <w:left w:val="single" w:sz="12" w:space="0" w:color="000000"/>
              <w:bottom w:val="single" w:sz="4" w:space="0" w:color="000000"/>
              <w:right w:val="single" w:sz="12" w:space="0" w:color="000000"/>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二、年度内部控制评价报告披露相关情况</w:t>
            </w:r>
          </w:p>
        </w:tc>
      </w:tr>
      <w:tr>
        <w:trPr>
          <w:trHeight w:val="463"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7"/>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．公司是否根据相关规定出具年度内部控制评价报告</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698" w:hRule="exact"/>
        </w:trPr>
        <w:tc>
          <w:tcPr>
            <w:tcW w:w="5607" w:type="dxa"/>
            <w:tcBorders>
              <w:top w:val="single" w:sz="4" w:space="0" w:color="000000"/>
              <w:left w:val="single" w:sz="12" w:space="0" w:color="000000"/>
              <w:bottom w:val="single" w:sz="12" w:space="0" w:color="000000"/>
              <w:right w:val="single" w:sz="4" w:space="0" w:color="000000"/>
            </w:tcBorders>
          </w:tcPr>
          <w:p>
            <w:pPr>
              <w:pStyle w:val="TableParagraph"/>
              <w:spacing w:line="249"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．内部控制评价报告结论是否为内部控制有效（如为内部控</w:t>
            </w:r>
          </w:p>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制无效，请说明内部控制存在的重大缺陷）</w:t>
            </w:r>
          </w:p>
        </w:tc>
        <w:tc>
          <w:tcPr>
            <w:tcW w:w="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8" w:footer="706" w:top="980" w:bottom="900" w:left="128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36"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7" w:type="dxa"/>
        <w:tblLayout w:type="fixed"/>
        <w:tblCellMar>
          <w:top w:w="0" w:type="dxa"/>
          <w:left w:w="0" w:type="dxa"/>
          <w:bottom w:w="0" w:type="dxa"/>
          <w:right w:w="0" w:type="dxa"/>
        </w:tblCellMar>
        <w:tblLook w:val="01E0"/>
      </w:tblPr>
      <w:tblGrid>
        <w:gridCol w:w="5607"/>
        <w:gridCol w:w="174"/>
        <w:gridCol w:w="570"/>
        <w:gridCol w:w="2602"/>
      </w:tblGrid>
      <w:tr>
        <w:trPr>
          <w:trHeight w:val="567" w:hRule="exact"/>
        </w:trPr>
        <w:tc>
          <w:tcPr>
            <w:tcW w:w="5607" w:type="dxa"/>
            <w:tcBorders>
              <w:top w:val="single" w:sz="12" w:space="0" w:color="000000"/>
              <w:left w:val="single" w:sz="12" w:space="0" w:color="000000"/>
              <w:bottom w:val="single" w:sz="4" w:space="0" w:color="000000"/>
              <w:right w:val="single" w:sz="4" w:space="0" w:color="000000"/>
            </w:tcBorders>
          </w:tcPr>
          <w:p>
            <w:pPr>
              <w:pStyle w:val="TableParagraph"/>
              <w:spacing w:line="250"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．本年度是否聘请会计师事务所对内部控制有效性出具审计</w:t>
            </w:r>
          </w:p>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74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vMerge w:val="restart"/>
            <w:tcBorders>
              <w:top w:val="single" w:sz="12" w:space="0" w:color="000000"/>
              <w:left w:val="single" w:sz="4" w:space="0" w:color="000000"/>
              <w:right w:val="single" w:sz="12" w:space="0" w:color="000000"/>
            </w:tcBorders>
          </w:tcPr>
          <w:p>
            <w:pPr/>
          </w:p>
        </w:tc>
      </w:tr>
      <w:tr>
        <w:trPr>
          <w:trHeight w:val="1102"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．会计师事务所对公司内部控制有效性是否出具标准审计报</w:t>
            </w:r>
          </w:p>
          <w:p>
            <w:pPr>
              <w:pStyle w:val="TableParagraph"/>
              <w:spacing w:line="237" w:lineRule="auto"/>
              <w:ind w:left="14" w:right="105"/>
              <w:jc w:val="both"/>
              <w:rPr>
                <w:rFonts w:ascii="宋体" w:hAnsi="宋体" w:cs="宋体" w:eastAsia="宋体" w:hint="default"/>
                <w:sz w:val="21"/>
                <w:szCs w:val="21"/>
              </w:rPr>
            </w:pPr>
            <w:r>
              <w:rPr>
                <w:rFonts w:ascii="宋体" w:hAnsi="宋体" w:cs="宋体" w:eastAsia="宋体" w:hint="default"/>
                <w:spacing w:val="-2"/>
                <w:sz w:val="21"/>
                <w:szCs w:val="21"/>
              </w:rPr>
              <w:t>告。如出具非标准审计报告或指出公司非财务报告内部控制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存在重大缺陷的，公司董事会、监事会是否针对所涉及事项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做出专项说明</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vMerge/>
            <w:tcBorders>
              <w:left w:val="single" w:sz="4" w:space="0" w:color="000000"/>
              <w:bottom w:val="single" w:sz="4" w:space="0" w:color="000000"/>
              <w:right w:val="single" w:sz="12" w:space="0" w:color="000000"/>
            </w:tcBorders>
          </w:tcPr>
          <w:p>
            <w:pPr/>
          </w:p>
        </w:tc>
      </w:tr>
      <w:tr>
        <w:trPr>
          <w:trHeight w:val="557"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．独立董事、监事会是否出具明确同意意见（如为异议意见</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9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554"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．保荐机构和保荐代表人是否出具明确同意的核查意见（如</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602" w:type="dxa"/>
            <w:tcBorders>
              <w:top w:val="single" w:sz="4" w:space="0" w:color="000000"/>
              <w:left w:val="single" w:sz="4" w:space="0" w:color="000000"/>
              <w:bottom w:val="single" w:sz="4" w:space="0" w:color="000000"/>
              <w:right w:val="single" w:sz="12" w:space="0" w:color="000000"/>
            </w:tcBorders>
          </w:tcPr>
          <w:p>
            <w:pPr/>
          </w:p>
        </w:tc>
      </w:tr>
      <w:tr>
        <w:trPr>
          <w:trHeight w:val="569" w:hRule="exact"/>
        </w:trPr>
        <w:tc>
          <w:tcPr>
            <w:tcW w:w="8954" w:type="dxa"/>
            <w:gridSpan w:val="4"/>
            <w:tcBorders>
              <w:top w:val="single" w:sz="4" w:space="0" w:color="000000"/>
              <w:left w:val="single" w:sz="12" w:space="0" w:color="000000"/>
              <w:bottom w:val="single" w:sz="4" w:space="0" w:color="000000"/>
              <w:right w:val="single" w:sz="12" w:space="0" w:color="000000"/>
            </w:tcBorders>
          </w:tcPr>
          <w:p>
            <w:pPr>
              <w:pStyle w:val="TableParagraph"/>
              <w:spacing w:line="240" w:lineRule="auto" w:before="110"/>
              <w:ind w:left="1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463"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7"/>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346" w:type="dxa"/>
            <w:gridSpan w:val="3"/>
            <w:tcBorders>
              <w:top w:val="single" w:sz="4" w:space="0" w:color="000000"/>
              <w:left w:val="single" w:sz="4" w:space="0" w:color="000000"/>
              <w:bottom w:val="single" w:sz="4" w:space="0" w:color="000000"/>
              <w:right w:val="single" w:sz="12" w:space="0" w:color="000000"/>
            </w:tcBorders>
          </w:tcPr>
          <w:p>
            <w:pPr/>
          </w:p>
        </w:tc>
      </w:tr>
      <w:tr>
        <w:trPr>
          <w:trHeight w:val="4380"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4" w:lineRule="exact"/>
              <w:ind w:left="14" w:right="1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）说明审计委员会每季度召开会议审议内部审计部门提交</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的工作计划和报告的具体情况</w:t>
            </w:r>
          </w:p>
        </w:tc>
        <w:tc>
          <w:tcPr>
            <w:tcW w:w="334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3" w:right="0" w:firstLine="211"/>
              <w:jc w:val="left"/>
              <w:rPr>
                <w:rFonts w:ascii="宋体" w:hAnsi="宋体" w:cs="宋体" w:eastAsia="宋体" w:hint="default"/>
                <w:sz w:val="21"/>
                <w:szCs w:val="21"/>
              </w:rPr>
            </w:pPr>
            <w:r>
              <w:rPr>
                <w:rFonts w:ascii="宋体" w:hAnsi="宋体" w:cs="宋体" w:eastAsia="宋体" w:hint="default"/>
                <w:spacing w:val="-6"/>
                <w:sz w:val="21"/>
                <w:szCs w:val="21"/>
              </w:rPr>
              <w:t>第一季度：召开第四届审计委员会</w:t>
            </w:r>
          </w:p>
          <w:p>
            <w:pPr>
              <w:pStyle w:val="TableParagraph"/>
              <w:spacing w:line="274" w:lineRule="exact" w:before="24"/>
              <w:ind w:left="23" w:right="7"/>
              <w:jc w:val="both"/>
              <w:rPr>
                <w:rFonts w:ascii="宋体" w:hAnsi="宋体" w:cs="宋体" w:eastAsia="宋体" w:hint="default"/>
                <w:sz w:val="21"/>
                <w:szCs w:val="21"/>
              </w:rPr>
            </w:pPr>
            <w:r>
              <w:rPr>
                <w:rFonts w:ascii="宋体" w:hAnsi="宋体" w:cs="宋体" w:eastAsia="宋体" w:hint="default"/>
                <w:spacing w:val="-6"/>
                <w:sz w:val="21"/>
                <w:szCs w:val="21"/>
              </w:rPr>
              <w:t>第五次会议，审议通过了内部审计部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年内部审计工作总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w w:val="100"/>
                <w:sz w:val="21"/>
                <w:szCs w:val="21"/>
              </w:rPr>
              <w:t>结和</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3"/>
                <w:w w:val="100"/>
                <w:sz w:val="21"/>
                <w:szCs w:val="21"/>
              </w:rPr>
              <w:t>2011 </w:t>
            </w:r>
            <w:r>
              <w:rPr>
                <w:rFonts w:ascii="宋体" w:hAnsi="宋体" w:cs="宋体" w:eastAsia="宋体" w:hint="default"/>
                <w:spacing w:val="-11"/>
                <w:w w:val="100"/>
                <w:sz w:val="21"/>
                <w:szCs w:val="21"/>
              </w:rPr>
              <w:t>年内部审计工作计划》；</w:t>
            </w:r>
          </w:p>
          <w:p>
            <w:pPr>
              <w:pStyle w:val="TableParagraph"/>
              <w:spacing w:line="272" w:lineRule="exact" w:before="1"/>
              <w:ind w:left="23" w:right="5" w:firstLine="211"/>
              <w:jc w:val="left"/>
              <w:rPr>
                <w:rFonts w:ascii="宋体" w:hAnsi="宋体" w:cs="宋体" w:eastAsia="宋体" w:hint="default"/>
                <w:sz w:val="21"/>
                <w:szCs w:val="21"/>
              </w:rPr>
            </w:pPr>
            <w:r>
              <w:rPr>
                <w:rFonts w:ascii="宋体" w:hAnsi="宋体" w:cs="宋体" w:eastAsia="宋体" w:hint="default"/>
                <w:spacing w:val="-6"/>
                <w:sz w:val="21"/>
                <w:szCs w:val="21"/>
              </w:rPr>
              <w:t>第二季度：召开第四届审计委员会</w:t>
            </w:r>
            <w:r>
              <w:rPr>
                <w:rFonts w:ascii="宋体" w:hAnsi="宋体" w:cs="宋体" w:eastAsia="宋体" w:hint="default"/>
                <w:w w:val="100"/>
                <w:sz w:val="21"/>
                <w:szCs w:val="21"/>
              </w:rPr>
              <w:t> </w:t>
            </w:r>
            <w:r>
              <w:rPr>
                <w:rFonts w:ascii="宋体" w:hAnsi="宋体" w:cs="宋体" w:eastAsia="宋体" w:hint="default"/>
                <w:spacing w:val="-6"/>
                <w:sz w:val="21"/>
                <w:szCs w:val="21"/>
              </w:rPr>
              <w:t>第七次会议，审议通过了内部审计部</w:t>
            </w:r>
          </w:p>
          <w:p>
            <w:pPr>
              <w:pStyle w:val="TableParagraph"/>
              <w:spacing w:line="274" w:lineRule="exact"/>
              <w:ind w:left="23" w:right="9"/>
              <w:jc w:val="both"/>
              <w:rPr>
                <w:rFonts w:ascii="宋体" w:hAnsi="宋体" w:cs="宋体" w:eastAsia="宋体" w:hint="default"/>
                <w:sz w:val="21"/>
                <w:szCs w:val="21"/>
              </w:rPr>
            </w:pP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年第一季度审计工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6"/>
                <w:w w:val="100"/>
                <w:sz w:val="21"/>
                <w:szCs w:val="21"/>
              </w:rPr>
              <w:t>作总结报告》；</w:t>
            </w:r>
          </w:p>
          <w:p>
            <w:pPr>
              <w:pStyle w:val="TableParagraph"/>
              <w:spacing w:line="272" w:lineRule="exact" w:before="1"/>
              <w:ind w:left="23" w:right="5" w:firstLine="211"/>
              <w:jc w:val="left"/>
              <w:rPr>
                <w:rFonts w:ascii="宋体" w:hAnsi="宋体" w:cs="宋体" w:eastAsia="宋体" w:hint="default"/>
                <w:sz w:val="21"/>
                <w:szCs w:val="21"/>
              </w:rPr>
            </w:pPr>
            <w:r>
              <w:rPr>
                <w:rFonts w:ascii="宋体" w:hAnsi="宋体" w:cs="宋体" w:eastAsia="宋体" w:hint="default"/>
                <w:spacing w:val="-6"/>
                <w:sz w:val="21"/>
                <w:szCs w:val="21"/>
              </w:rPr>
              <w:t>第三季度：召开第四届审计委员会</w:t>
            </w:r>
            <w:r>
              <w:rPr>
                <w:rFonts w:ascii="宋体" w:hAnsi="宋体" w:cs="宋体" w:eastAsia="宋体" w:hint="default"/>
                <w:w w:val="100"/>
                <w:sz w:val="21"/>
                <w:szCs w:val="21"/>
              </w:rPr>
              <w:t> </w:t>
            </w:r>
            <w:r>
              <w:rPr>
                <w:rFonts w:ascii="宋体" w:hAnsi="宋体" w:cs="宋体" w:eastAsia="宋体" w:hint="default"/>
                <w:spacing w:val="-6"/>
                <w:sz w:val="21"/>
                <w:szCs w:val="21"/>
              </w:rPr>
              <w:t>第八次会议，审议通过了内部审计部</w:t>
            </w:r>
          </w:p>
          <w:p>
            <w:pPr>
              <w:pStyle w:val="TableParagraph"/>
              <w:spacing w:line="274" w:lineRule="exact"/>
              <w:ind w:left="23" w:right="9"/>
              <w:jc w:val="both"/>
              <w:rPr>
                <w:rFonts w:ascii="宋体" w:hAnsi="宋体" w:cs="宋体" w:eastAsia="宋体" w:hint="default"/>
                <w:sz w:val="21"/>
                <w:szCs w:val="21"/>
              </w:rPr>
            </w:pP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年第二季度审计工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6"/>
                <w:w w:val="100"/>
                <w:sz w:val="21"/>
                <w:szCs w:val="21"/>
              </w:rPr>
              <w:t>作总结报告》；</w:t>
            </w:r>
          </w:p>
          <w:p>
            <w:pPr>
              <w:pStyle w:val="TableParagraph"/>
              <w:spacing w:line="272" w:lineRule="exact" w:before="1"/>
              <w:ind w:left="23" w:right="5" w:firstLine="211"/>
              <w:jc w:val="left"/>
              <w:rPr>
                <w:rFonts w:ascii="宋体" w:hAnsi="宋体" w:cs="宋体" w:eastAsia="宋体" w:hint="default"/>
                <w:sz w:val="21"/>
                <w:szCs w:val="21"/>
              </w:rPr>
            </w:pPr>
            <w:r>
              <w:rPr>
                <w:rFonts w:ascii="宋体" w:hAnsi="宋体" w:cs="宋体" w:eastAsia="宋体" w:hint="default"/>
                <w:spacing w:val="-6"/>
                <w:sz w:val="21"/>
                <w:szCs w:val="21"/>
              </w:rPr>
              <w:t>第四季度：召开第四届审计委员会</w:t>
            </w:r>
            <w:r>
              <w:rPr>
                <w:rFonts w:ascii="宋体" w:hAnsi="宋体" w:cs="宋体" w:eastAsia="宋体" w:hint="default"/>
                <w:w w:val="100"/>
                <w:sz w:val="21"/>
                <w:szCs w:val="21"/>
              </w:rPr>
              <w:t> </w:t>
            </w:r>
            <w:r>
              <w:rPr>
                <w:rFonts w:ascii="宋体" w:hAnsi="宋体" w:cs="宋体" w:eastAsia="宋体" w:hint="default"/>
                <w:spacing w:val="-6"/>
                <w:sz w:val="21"/>
                <w:szCs w:val="21"/>
              </w:rPr>
              <w:t>第九次会议，审议通过了内部审计部</w:t>
            </w:r>
          </w:p>
          <w:p>
            <w:pPr>
              <w:pStyle w:val="TableParagraph"/>
              <w:spacing w:line="274" w:lineRule="exact"/>
              <w:ind w:left="23" w:right="103"/>
              <w:jc w:val="both"/>
              <w:rPr>
                <w:rFonts w:ascii="宋体" w:hAnsi="宋体" w:cs="宋体" w:eastAsia="宋体" w:hint="default"/>
                <w:sz w:val="21"/>
                <w:szCs w:val="21"/>
              </w:rPr>
            </w:pPr>
            <w:r>
              <w:rPr>
                <w:rFonts w:ascii="宋体" w:hAnsi="宋体" w:cs="宋体" w:eastAsia="宋体" w:hint="default"/>
                <w:sz w:val="21"/>
                <w:szCs w:val="21"/>
              </w:rPr>
              <w:t>门提交的《</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年第三季度审计工</w:t>
            </w:r>
            <w:r>
              <w:rPr>
                <w:rFonts w:ascii="宋体" w:hAnsi="宋体" w:cs="宋体" w:eastAsia="宋体" w:hint="default"/>
                <w:w w:val="100"/>
                <w:sz w:val="21"/>
                <w:szCs w:val="21"/>
              </w:rPr>
              <w:t> </w:t>
            </w:r>
            <w:r>
              <w:rPr>
                <w:rFonts w:ascii="宋体" w:hAnsi="宋体" w:cs="宋体" w:eastAsia="宋体" w:hint="default"/>
                <w:spacing w:val="-16"/>
                <w:w w:val="100"/>
                <w:sz w:val="21"/>
                <w:szCs w:val="21"/>
              </w:rPr>
              <w:t>作总结报告》。</w:t>
            </w:r>
          </w:p>
        </w:tc>
      </w:tr>
      <w:tr>
        <w:trPr>
          <w:trHeight w:val="934"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4" w:lineRule="exact"/>
              <w:ind w:left="14" w:right="1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）说明审计委员会每季度向董事会报告内部审计工作的具</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体情况</w:t>
            </w:r>
          </w:p>
        </w:tc>
        <w:tc>
          <w:tcPr>
            <w:tcW w:w="334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37" w:lineRule="auto" w:before="21"/>
              <w:ind w:left="23" w:right="7"/>
              <w:jc w:val="left"/>
              <w:rPr>
                <w:rFonts w:ascii="宋体" w:hAnsi="宋体" w:cs="宋体" w:eastAsia="宋体" w:hint="default"/>
                <w:sz w:val="21"/>
                <w:szCs w:val="21"/>
              </w:rPr>
            </w:pPr>
            <w:r>
              <w:rPr>
                <w:rFonts w:ascii="宋体" w:hAnsi="宋体" w:cs="宋体" w:eastAsia="宋体" w:hint="default"/>
                <w:sz w:val="21"/>
                <w:szCs w:val="21"/>
              </w:rPr>
              <w:t>审计委员会每季度向董事会汇报内</w:t>
            </w:r>
            <w:r>
              <w:rPr>
                <w:rFonts w:ascii="宋体" w:hAnsi="宋体" w:cs="宋体" w:eastAsia="宋体" w:hint="default"/>
                <w:w w:val="100"/>
                <w:sz w:val="21"/>
                <w:szCs w:val="21"/>
              </w:rPr>
              <w:t> </w:t>
            </w:r>
            <w:r>
              <w:rPr>
                <w:rFonts w:ascii="宋体" w:hAnsi="宋体" w:cs="宋体" w:eastAsia="宋体" w:hint="default"/>
                <w:spacing w:val="-6"/>
                <w:sz w:val="21"/>
                <w:szCs w:val="21"/>
              </w:rPr>
              <w:t>部审计工作进展情况，以及审计结果</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报告。</w:t>
            </w:r>
          </w:p>
        </w:tc>
      </w:tr>
      <w:tr>
        <w:trPr>
          <w:trHeight w:val="1217"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35" w:lineRule="auto" w:before="28"/>
              <w:ind w:left="14" w:right="17"/>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）审计委员会认为公司内部控制存在重大缺陷或重大风险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的，说明内部控制存在的重大缺陷或重大风险，并说明是否</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及时向董事会报告，并提请董事会及时向证券交易所报告并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予以披露（如适用）</w:t>
            </w:r>
          </w:p>
        </w:tc>
        <w:tc>
          <w:tcPr>
            <w:tcW w:w="334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04"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346" w:type="dxa"/>
            <w:gridSpan w:val="3"/>
            <w:tcBorders>
              <w:top w:val="single" w:sz="4" w:space="0" w:color="000000"/>
              <w:left w:val="single" w:sz="4" w:space="0" w:color="000000"/>
              <w:bottom w:val="single" w:sz="4" w:space="0" w:color="000000"/>
              <w:right w:val="single" w:sz="12" w:space="0" w:color="000000"/>
            </w:tcBorders>
          </w:tcPr>
          <w:p>
            <w:pPr>
              <w:pStyle w:val="TableParagraph"/>
              <w:spacing w:line="280"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、按照年报审计工作规程，做好</w:t>
            </w:r>
          </w:p>
          <w:p>
            <w:pPr>
              <w:pStyle w:val="TableParagraph"/>
              <w:spacing w:line="274" w:lineRule="exact" w:before="16"/>
              <w:ind w:left="23" w:right="7"/>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年年报审计的相关工作，对财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务报表出具审核意见，对审计机构的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审计工作进行总结评价，并建议续</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聘，提交董事会审议；</w:t>
            </w:r>
          </w:p>
          <w:p>
            <w:pPr>
              <w:pStyle w:val="TableParagraph"/>
              <w:spacing w:line="253"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、认真审核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年公司各定期财</w:t>
            </w:r>
          </w:p>
          <w:p>
            <w:pPr>
              <w:pStyle w:val="TableParagraph"/>
              <w:spacing w:line="266" w:lineRule="exact"/>
              <w:ind w:left="23" w:right="0"/>
              <w:jc w:val="both"/>
              <w:rPr>
                <w:rFonts w:ascii="宋体" w:hAnsi="宋体" w:cs="宋体" w:eastAsia="宋体" w:hint="default"/>
                <w:sz w:val="21"/>
                <w:szCs w:val="21"/>
              </w:rPr>
            </w:pPr>
            <w:r>
              <w:rPr>
                <w:rFonts w:ascii="宋体" w:hAnsi="宋体" w:cs="宋体" w:eastAsia="宋体" w:hint="default"/>
                <w:sz w:val="21"/>
                <w:szCs w:val="21"/>
              </w:rPr>
              <w:t>务报表；</w:t>
            </w:r>
          </w:p>
          <w:p>
            <w:pPr>
              <w:pStyle w:val="TableParagraph"/>
              <w:spacing w:line="225" w:lineRule="auto" w:before="14"/>
              <w:ind w:left="23" w:right="41" w:firstLine="211"/>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、与公司年度审计机构协商确定</w:t>
            </w:r>
            <w:r>
              <w:rPr>
                <w:rFonts w:ascii="宋体" w:hAnsi="宋体" w:cs="宋体" w:eastAsia="宋体" w:hint="default"/>
                <w:w w:val="100"/>
                <w:sz w:val="21"/>
                <w:szCs w:val="21"/>
              </w:rPr>
              <w:t> </w:t>
            </w:r>
            <w:r>
              <w:rPr>
                <w:rFonts w:ascii="宋体" w:hAnsi="宋体" w:cs="宋体" w:eastAsia="宋体" w:hint="default"/>
                <w:sz w:val="21"/>
                <w:szCs w:val="21"/>
              </w:rPr>
              <w:t>了公司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年度财务报告的审计工</w:t>
            </w:r>
            <w:r>
              <w:rPr>
                <w:rFonts w:ascii="宋体" w:hAnsi="宋体" w:cs="宋体" w:eastAsia="宋体" w:hint="default"/>
                <w:w w:val="100"/>
                <w:sz w:val="21"/>
                <w:szCs w:val="21"/>
              </w:rPr>
              <w:t> </w:t>
            </w:r>
            <w:r>
              <w:rPr>
                <w:rFonts w:ascii="宋体" w:hAnsi="宋体" w:cs="宋体" w:eastAsia="宋体" w:hint="default"/>
                <w:sz w:val="21"/>
                <w:szCs w:val="21"/>
              </w:rPr>
              <w:t>作时间安排以及审计重点问题。</w:t>
            </w:r>
          </w:p>
        </w:tc>
      </w:tr>
      <w:tr>
        <w:trPr>
          <w:trHeight w:val="475"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346" w:type="dxa"/>
            <w:gridSpan w:val="3"/>
            <w:tcBorders>
              <w:top w:val="single" w:sz="4" w:space="0" w:color="000000"/>
              <w:left w:val="single" w:sz="4" w:space="0" w:color="000000"/>
              <w:bottom w:val="single" w:sz="4" w:space="0" w:color="000000"/>
              <w:right w:val="single" w:sz="12" w:space="0" w:color="000000"/>
            </w:tcBorders>
          </w:tcPr>
          <w:p>
            <w:pPr/>
          </w:p>
        </w:tc>
      </w:tr>
      <w:tr>
        <w:trPr>
          <w:trHeight w:val="566" w:hRule="exact"/>
        </w:trPr>
        <w:tc>
          <w:tcPr>
            <w:tcW w:w="5607"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）说明内部审计部门每季度向审计委员会报告内部审计计</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划的执行情况以及内部审计工作中发现的问题的具体情况</w:t>
            </w:r>
          </w:p>
        </w:tc>
        <w:tc>
          <w:tcPr>
            <w:tcW w:w="3346"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pacing w:val="-6"/>
                <w:sz w:val="21"/>
                <w:szCs w:val="21"/>
              </w:rPr>
              <w:t>每个季度，内部审计机构均向审计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委员会汇报本季度内部审计工作的</w:t>
            </w:r>
          </w:p>
        </w:tc>
      </w:tr>
    </w:tbl>
    <w:p>
      <w:pPr>
        <w:spacing w:after="0" w:line="274" w:lineRule="exact"/>
        <w:jc w:val="left"/>
        <w:rPr>
          <w:rFonts w:ascii="宋体" w:hAnsi="宋体" w:cs="宋体" w:eastAsia="宋体" w:hint="default"/>
          <w:sz w:val="21"/>
          <w:szCs w:val="21"/>
        </w:rPr>
        <w:sectPr>
          <w:pgSz w:w="11910" w:h="16840"/>
          <w:pgMar w:header="748" w:footer="706" w:top="980" w:bottom="90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before="0"/>
        <w:ind w:left="0" w:right="1496" w:firstLine="0"/>
        <w:jc w:val="right"/>
        <w:rPr>
          <w:rFonts w:ascii="宋体" w:hAnsi="宋体" w:cs="宋体" w:eastAsia="宋体" w:hint="default"/>
          <w:sz w:val="21"/>
          <w:szCs w:val="21"/>
        </w:rPr>
      </w:pPr>
      <w:r>
        <w:rPr/>
        <w:pict>
          <v:shape style="position:absolute;margin-left:69.863998pt;margin-top:-68.036324pt;width:449.85pt;height:315.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07"/>
                    <w:gridCol w:w="3346"/>
                  </w:tblGrid>
                  <w:tr>
                    <w:trPr>
                      <w:trHeight w:val="1659" w:hRule="exact"/>
                    </w:trPr>
                    <w:tc>
                      <w:tcPr>
                        <w:tcW w:w="5607" w:type="dxa"/>
                        <w:tcBorders>
                          <w:top w:val="single" w:sz="12" w:space="0" w:color="000000"/>
                          <w:left w:val="single" w:sz="12" w:space="0" w:color="000000"/>
                          <w:bottom w:val="single" w:sz="4" w:space="0" w:color="000000"/>
                          <w:right w:val="single" w:sz="4" w:space="0" w:color="000000"/>
                        </w:tcBorders>
                      </w:tcPr>
                      <w:p>
                        <w:pPr/>
                      </w:p>
                    </w:tc>
                    <w:tc>
                      <w:tcPr>
                        <w:tcW w:w="3346" w:type="dxa"/>
                        <w:tcBorders>
                          <w:top w:val="single" w:sz="12" w:space="0" w:color="000000"/>
                          <w:left w:val="single" w:sz="4" w:space="0" w:color="000000"/>
                          <w:bottom w:val="single" w:sz="4" w:space="0" w:color="000000"/>
                          <w:right w:val="single" w:sz="12"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进展情况：本季度内开展的财务、综</w:t>
                        </w:r>
                      </w:p>
                      <w:p>
                        <w:pPr>
                          <w:pStyle w:val="TableParagraph"/>
                          <w:spacing w:line="237" w:lineRule="auto"/>
                          <w:ind w:left="23" w:right="7"/>
                          <w:jc w:val="left"/>
                          <w:rPr>
                            <w:rFonts w:ascii="宋体" w:hAnsi="宋体" w:cs="宋体" w:eastAsia="宋体" w:hint="default"/>
                            <w:sz w:val="21"/>
                            <w:szCs w:val="21"/>
                          </w:rPr>
                        </w:pPr>
                        <w:r>
                          <w:rPr>
                            <w:rFonts w:ascii="宋体" w:hAnsi="宋体" w:cs="宋体" w:eastAsia="宋体" w:hint="default"/>
                            <w:spacing w:val="-6"/>
                            <w:sz w:val="21"/>
                            <w:szCs w:val="21"/>
                          </w:rPr>
                          <w:t>合管理等方面的例行审计；针对募集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资金存放与使用情况、重要岗位离</w:t>
                        </w:r>
                        <w:r>
                          <w:rPr>
                            <w:rFonts w:ascii="宋体" w:hAnsi="宋体" w:cs="宋体" w:eastAsia="宋体" w:hint="default"/>
                            <w:w w:val="100"/>
                            <w:sz w:val="21"/>
                            <w:szCs w:val="21"/>
                          </w:rPr>
                          <w:t> </w:t>
                        </w:r>
                        <w:r>
                          <w:rPr>
                            <w:rFonts w:ascii="宋体" w:hAnsi="宋体" w:cs="宋体" w:eastAsia="宋体" w:hint="default"/>
                            <w:spacing w:val="-6"/>
                            <w:sz w:val="21"/>
                            <w:szCs w:val="21"/>
                          </w:rPr>
                          <w:t>任、募集资金存放与使用情况等专项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sz w:val="21"/>
                            <w:szCs w:val="21"/>
                          </w:rPr>
                          <w:t>审计，针对审计中发现的问题，向相</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关责任部门提出整改意见和建议等</w:t>
                        </w:r>
                      </w:p>
                    </w:tc>
                  </w:tr>
                  <w:tr>
                    <w:trPr>
                      <w:trHeight w:val="1102"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）说明内部审计部门本年度按照内审指引及相关规定要求</w:t>
                        </w:r>
                      </w:p>
                      <w:p>
                        <w:pPr>
                          <w:pStyle w:val="TableParagraph"/>
                          <w:spacing w:line="237" w:lineRule="auto"/>
                          <w:ind w:left="14" w:right="27"/>
                          <w:jc w:val="left"/>
                          <w:rPr>
                            <w:rFonts w:ascii="宋体" w:hAnsi="宋体" w:cs="宋体" w:eastAsia="宋体" w:hint="default"/>
                            <w:sz w:val="21"/>
                            <w:szCs w:val="21"/>
                          </w:rPr>
                        </w:pPr>
                        <w:r>
                          <w:rPr>
                            <w:rFonts w:ascii="宋体" w:hAnsi="宋体" w:cs="宋体" w:eastAsia="宋体" w:hint="default"/>
                            <w:spacing w:val="-3"/>
                            <w:sz w:val="21"/>
                            <w:szCs w:val="21"/>
                          </w:rPr>
                          <w:t>对重要的对外投资、购买和出售资产、对外担保、关联交易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募集资金使用和信息披露事务管理等事项进行审计并出具内</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部审计报告的具体情况</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158" w:lineRule="auto"/>
                          <w:ind w:left="23" w:right="5" w:hanging="161"/>
                          <w:jc w:val="left"/>
                          <w:rPr>
                            <w:rFonts w:ascii="宋体" w:hAnsi="宋体" w:cs="宋体" w:eastAsia="宋体" w:hint="default"/>
                            <w:sz w:val="21"/>
                            <w:szCs w:val="21"/>
                          </w:rPr>
                        </w:pPr>
                        <w:r>
                          <w:rPr>
                            <w:rFonts w:ascii="宋体" w:hAnsi="宋体" w:cs="宋体" w:eastAsia="宋体" w:hint="default"/>
                            <w:position w:val="-13"/>
                            <w:sz w:val="21"/>
                            <w:szCs w:val="21"/>
                          </w:rPr>
                          <w:t>、</w:t>
                        </w:r>
                        <w:r>
                          <w:rPr>
                            <w:rFonts w:ascii="宋体" w:hAnsi="宋体" w:cs="宋体" w:eastAsia="宋体" w:hint="default"/>
                            <w:spacing w:val="74"/>
                            <w:position w:val="-13"/>
                            <w:sz w:val="21"/>
                            <w:szCs w:val="21"/>
                          </w:rPr>
                          <w:t> </w:t>
                        </w:r>
                        <w:r>
                          <w:rPr>
                            <w:rFonts w:ascii="宋体" w:hAnsi="宋体" w:cs="宋体" w:eastAsia="宋体" w:hint="default"/>
                            <w:spacing w:val="-6"/>
                            <w:sz w:val="21"/>
                            <w:szCs w:val="21"/>
                          </w:rPr>
                          <w:t>本年度，公司内部审计部门对有关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重大事项进展情况重点关注，对审批</w:t>
                        </w:r>
                      </w:p>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程序、履行情况等方面进行了审计</w:t>
                        </w:r>
                      </w:p>
                    </w:tc>
                  </w:tr>
                  <w:tr>
                    <w:trPr>
                      <w:trHeight w:val="831"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1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）内部审计部门在对内部控制审查过程中发现内部控制存</w:t>
                        </w:r>
                      </w:p>
                      <w:p>
                        <w:pPr>
                          <w:pStyle w:val="TableParagraph"/>
                          <w:spacing w:line="274" w:lineRule="exact" w:before="17"/>
                          <w:ind w:left="14" w:right="27"/>
                          <w:jc w:val="left"/>
                          <w:rPr>
                            <w:rFonts w:ascii="宋体" w:hAnsi="宋体" w:cs="宋体" w:eastAsia="宋体" w:hint="default"/>
                            <w:sz w:val="21"/>
                            <w:szCs w:val="21"/>
                          </w:rPr>
                        </w:pPr>
                        <w:r>
                          <w:rPr>
                            <w:rFonts w:ascii="宋体" w:hAnsi="宋体" w:cs="宋体" w:eastAsia="宋体" w:hint="default"/>
                            <w:sz w:val="21"/>
                            <w:szCs w:val="21"/>
                          </w:rPr>
                          <w:t>在重大缺陷或重大风险的，说明内部控制存在的重大缺陷或</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重大风险，并说明是否向审计委员会报告（如适用）</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7" w:lineRule="exact"/>
                          <w:ind w:left="1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）说明内部审计部门是否按照有关规定评价公司与财务报</w:t>
                        </w:r>
                      </w:p>
                      <w:p>
                        <w:pPr>
                          <w:pStyle w:val="TableParagraph"/>
                          <w:spacing w:line="274" w:lineRule="exact" w:before="16"/>
                          <w:ind w:left="14" w:right="23"/>
                          <w:jc w:val="left"/>
                          <w:rPr>
                            <w:rFonts w:ascii="宋体" w:hAnsi="宋体" w:cs="宋体" w:eastAsia="宋体" w:hint="default"/>
                            <w:sz w:val="21"/>
                            <w:szCs w:val="21"/>
                          </w:rPr>
                        </w:pPr>
                        <w:r>
                          <w:rPr>
                            <w:rFonts w:ascii="宋体" w:hAnsi="宋体" w:cs="宋体" w:eastAsia="宋体" w:hint="default"/>
                            <w:spacing w:val="9"/>
                            <w:sz w:val="21"/>
                            <w:szCs w:val="21"/>
                          </w:rPr>
                          <w:t>告和信息披露事务相关的内部控制制度建立和实施的有效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性，并向审计委员会提交内部控制评价报告</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8"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before="129"/>
                          <w:ind w:left="14" w:right="1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）说明内部审计部门向审计委员会提交下一年度内部审计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工作计划和本年度内部审计工作报告的具体情况</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235" w:right="0"/>
                          <w:jc w:val="left"/>
                          <w:rPr>
                            <w:rFonts w:ascii="宋体" w:hAnsi="宋体" w:cs="宋体" w:eastAsia="宋体" w:hint="default"/>
                            <w:sz w:val="21"/>
                            <w:szCs w:val="21"/>
                          </w:rPr>
                        </w:pPr>
                        <w:r>
                          <w:rPr>
                            <w:rFonts w:ascii="宋体" w:hAnsi="宋体" w:cs="宋体" w:eastAsia="宋体" w:hint="default"/>
                            <w:sz w:val="21"/>
                            <w:szCs w:val="21"/>
                          </w:rPr>
                          <w:t>已向审计委员会提交</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w:t>
                        </w:r>
                      </w:p>
                      <w:p>
                        <w:pPr>
                          <w:pStyle w:val="TableParagraph"/>
                          <w:spacing w:line="274" w:lineRule="exact" w:before="17"/>
                          <w:ind w:left="23" w:right="146"/>
                          <w:jc w:val="left"/>
                          <w:rPr>
                            <w:rFonts w:ascii="宋体" w:hAnsi="宋体" w:cs="宋体" w:eastAsia="宋体" w:hint="default"/>
                            <w:sz w:val="21"/>
                            <w:szCs w:val="21"/>
                          </w:rPr>
                        </w:pPr>
                        <w:r>
                          <w:rPr>
                            <w:rFonts w:ascii="宋体" w:hAnsi="宋体" w:cs="宋体" w:eastAsia="宋体" w:hint="default"/>
                            <w:sz w:val="21"/>
                            <w:szCs w:val="21"/>
                          </w:rPr>
                          <w:t>部审计工作报告以及下一年度内部</w:t>
                        </w:r>
                        <w:r>
                          <w:rPr>
                            <w:rFonts w:ascii="宋体" w:hAnsi="宋体" w:cs="宋体" w:eastAsia="宋体" w:hint="default"/>
                            <w:w w:val="100"/>
                            <w:sz w:val="21"/>
                            <w:szCs w:val="21"/>
                          </w:rPr>
                          <w:t> </w:t>
                        </w:r>
                        <w:r>
                          <w:rPr>
                            <w:rFonts w:ascii="宋体" w:hAnsi="宋体" w:cs="宋体" w:eastAsia="宋体" w:hint="default"/>
                            <w:sz w:val="21"/>
                            <w:szCs w:val="21"/>
                          </w:rPr>
                          <w:t>审计工作计划。</w:t>
                        </w:r>
                      </w:p>
                    </w:tc>
                  </w:tr>
                  <w:tr>
                    <w:trPr>
                      <w:trHeight w:val="557" w:hRule="exact"/>
                    </w:trPr>
                    <w:tc>
                      <w:tcPr>
                        <w:tcW w:w="5607" w:type="dxa"/>
                        <w:tcBorders>
                          <w:top w:val="single" w:sz="4" w:space="0" w:color="000000"/>
                          <w:left w:val="single" w:sz="12" w:space="0" w:color="000000"/>
                          <w:bottom w:val="single" w:sz="4" w:space="0" w:color="000000"/>
                          <w:right w:val="single" w:sz="4" w:space="0" w:color="000000"/>
                        </w:tcBorders>
                      </w:tcPr>
                      <w:p>
                        <w:pPr>
                          <w:pStyle w:val="TableParagraph"/>
                          <w:spacing w:line="249" w:lineRule="exact"/>
                          <w:ind w:left="14"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）说明内部审计工作底稿和内部审计报告的编制和归档是</w:t>
                        </w:r>
                      </w:p>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否符合相关规定</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5" w:hRule="exact"/>
                    </w:trPr>
                    <w:tc>
                      <w:tcPr>
                        <w:tcW w:w="560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3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7"/>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0" w:right="1496"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footerReference w:type="default" r:id="rId23"/>
          <w:pgSz w:w="11910" w:h="16840"/>
          <w:pgMar w:footer="901" w:header="748" w:top="980" w:bottom="1100" w:left="1280" w:right="0"/>
          <w:pgNumType w:start="28"/>
        </w:sectPr>
      </w:pPr>
    </w:p>
    <w:p>
      <w:pPr>
        <w:spacing w:line="240" w:lineRule="auto" w:before="0"/>
        <w:rPr>
          <w:rFonts w:ascii="宋体" w:hAnsi="宋体" w:cs="宋体" w:eastAsia="宋体" w:hint="default"/>
          <w:sz w:val="20"/>
          <w:szCs w:val="20"/>
        </w:rPr>
      </w:pPr>
    </w:p>
    <w:p>
      <w:pPr>
        <w:pStyle w:val="Heading1"/>
        <w:tabs>
          <w:tab w:pos="1279" w:val="left" w:leader="none"/>
        </w:tabs>
        <w:spacing w:line="240" w:lineRule="auto"/>
        <w:ind w:right="619"/>
        <w:jc w:val="center"/>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217"/>
        <w:ind w:left="340" w:right="1328" w:firstLine="480"/>
        <w:jc w:val="left"/>
      </w:pPr>
      <w:r>
        <w:rPr/>
        <w:t>报告期内，公司共召开一次年度股东大会和一次临时股东大会。股东大会的通知、 </w:t>
      </w:r>
      <w:r>
        <w:rPr>
          <w:spacing w:val="-15"/>
        </w:rPr>
        <w:t>召开、出席人员的资格、表决程序符合《公司法》、《上市公司股东大会规则》和公司《章</w:t>
      </w:r>
      <w:r>
        <w:rPr>
          <w:spacing w:val="-98"/>
        </w:rPr>
        <w:t> </w:t>
      </w:r>
      <w:r>
        <w:rPr>
          <w:spacing w:val="-98"/>
        </w:rPr>
      </w:r>
      <w:r>
        <w:rPr/>
        <w:t>程》的有关规定。</w:t>
      </w:r>
    </w:p>
    <w:p>
      <w:pPr>
        <w:pStyle w:val="BodyText"/>
        <w:spacing w:line="240" w:lineRule="auto" w:before="36"/>
        <w:ind w:left="820" w:right="1328"/>
        <w:jc w:val="left"/>
      </w:pP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6 </w:t>
      </w:r>
      <w:r>
        <w:rPr/>
        <w:t>日在公司会议室召开</w:t>
      </w:r>
      <w:r>
        <w:rPr>
          <w:spacing w:val="-60"/>
        </w:rPr>
        <w:t> </w:t>
      </w:r>
      <w:r>
        <w:rPr>
          <w:rFonts w:ascii="Times New Roman" w:hAnsi="Times New Roman" w:cs="Times New Roman" w:eastAsia="Times New Roman" w:hint="default"/>
        </w:rPr>
        <w:t>2010 </w:t>
      </w:r>
      <w:r>
        <w:rPr/>
        <w:t>年年度股东大会。</w:t>
      </w:r>
    </w:p>
    <w:p>
      <w:pPr>
        <w:pStyle w:val="BodyText"/>
        <w:spacing w:line="240" w:lineRule="auto"/>
        <w:ind w:left="580"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日</w:t>
      </w:r>
      <w:r>
        <w:rPr>
          <w:spacing w:val="-120"/>
        </w:rPr>
        <w:t>，</w:t>
      </w:r>
      <w:r>
        <w:rPr/>
        <w:t>公</w:t>
      </w:r>
      <w:r>
        <w:rPr>
          <w:spacing w:val="2"/>
        </w:rPr>
        <w:t>司</w:t>
      </w:r>
      <w:r>
        <w:rPr/>
        <w:t>在巨潮资讯网</w:t>
      </w:r>
      <w:r>
        <w:rPr>
          <w:spacing w:val="-120"/>
        </w:rPr>
        <w:t>、</w:t>
      </w:r>
      <w:r>
        <w:rPr/>
        <w:t>《证券时报</w:t>
      </w:r>
      <w:r>
        <w:rPr>
          <w:spacing w:val="-120"/>
        </w:rPr>
        <w:t>》、</w:t>
      </w:r>
      <w:r>
        <w:rPr/>
        <w:t>《中国证券报</w:t>
      </w:r>
      <w:r>
        <w:rPr>
          <w:spacing w:val="-120"/>
        </w:rPr>
        <w:t>》、</w:t>
      </w:r>
      <w:r>
        <w:rPr/>
        <w:t>《上海证券报</w:t>
      </w:r>
      <w:r>
        <w:rPr>
          <w:spacing w:val="-120"/>
        </w:rPr>
        <w:t>》</w:t>
      </w:r>
      <w:r>
        <w:rPr/>
        <w:t>、</w:t>
      </w:r>
    </w:p>
    <w:p>
      <w:pPr>
        <w:pStyle w:val="BodyText"/>
        <w:spacing w:line="357" w:lineRule="auto"/>
        <w:ind w:left="100" w:right="1423"/>
        <w:jc w:val="left"/>
      </w:pPr>
      <w:r>
        <w:rPr>
          <w:spacing w:val="-3"/>
        </w:rPr>
        <w:t>《证券日报》上以公告形式发出会议通知，明确了召开股东大会的时间、地点、内容及参</w:t>
      </w:r>
      <w:r>
        <w:rPr>
          <w:spacing w:val="-99"/>
        </w:rPr>
        <w:t> </w:t>
      </w:r>
      <w:r>
        <w:rPr>
          <w:spacing w:val="-99"/>
        </w:rPr>
      </w:r>
      <w:r>
        <w:rPr>
          <w:spacing w:val="-2"/>
        </w:rPr>
        <w:t>会方法等。</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21"/>
        </w:rPr>
        <w:t>日，公司在巨潮资讯网、《证券时报》、《中国证券报》、《上海</w:t>
      </w:r>
    </w:p>
    <w:p>
      <w:pPr>
        <w:pStyle w:val="BodyText"/>
        <w:spacing w:line="240" w:lineRule="auto" w:before="5"/>
        <w:ind w:left="100" w:right="1328"/>
        <w:jc w:val="left"/>
      </w:pPr>
      <w:r>
        <w:rPr/>
        <w:t>证券报</w:t>
      </w:r>
      <w:r>
        <w:rPr>
          <w:spacing w:val="-120"/>
        </w:rPr>
        <w:t>》、</w:t>
      </w:r>
      <w:r>
        <w:rPr/>
        <w:t>《证券日报》上以公告形式发出《关于变更</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年年度股东大会会议地点的公</w:t>
      </w:r>
    </w:p>
    <w:p>
      <w:pPr>
        <w:pStyle w:val="BodyText"/>
        <w:spacing w:line="338" w:lineRule="auto"/>
        <w:ind w:left="100" w:right="1436"/>
        <w:jc w:val="both"/>
      </w:pPr>
      <w:r>
        <w:rPr>
          <w:spacing w:val="-5"/>
        </w:rPr>
        <w:t>告》，将本次股东大会会议地点变更为“南京市玄武区苏宁大道</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号苏宁总部办公楼会议 中心</w:t>
      </w:r>
      <w:r>
        <w:rPr>
          <w:spacing w:val="-58"/>
        </w:rPr>
        <w:t> </w:t>
      </w:r>
      <w:r>
        <w:rPr>
          <w:rFonts w:ascii="Times New Roman" w:hAnsi="Times New Roman" w:cs="Times New Roman" w:eastAsia="Times New Roman" w:hint="default"/>
        </w:rPr>
        <w:t>405</w:t>
      </w:r>
      <w:r>
        <w:rPr>
          <w:rFonts w:ascii="Times New Roman" w:hAnsi="Times New Roman" w:cs="Times New Roman" w:eastAsia="Times New Roman" w:hint="default"/>
          <w:spacing w:val="2"/>
        </w:rPr>
        <w:t> </w:t>
      </w:r>
      <w:r>
        <w:rPr>
          <w:spacing w:val="-19"/>
        </w:rPr>
        <w:t>室”。</w:t>
      </w:r>
      <w:r>
        <w:rPr>
          <w:rFonts w:ascii="Times New Roman" w:hAnsi="Times New Roman" w:cs="Times New Roman" w:eastAsia="Times New Roman" w:hint="default"/>
          <w:spacing w:val="-19"/>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日上午</w:t>
      </w:r>
      <w:r>
        <w:rPr>
          <w:spacing w:val="-58"/>
        </w:rPr>
        <w:t> </w:t>
      </w:r>
      <w:r>
        <w:rPr>
          <w:rFonts w:ascii="Times New Roman" w:hAnsi="Times New Roman" w:cs="Times New Roman" w:eastAsia="Times New Roman" w:hint="default"/>
        </w:rPr>
        <w:t>10:00</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年年度股东大会在江苏省南京市玄武区 苏宁大道</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号苏宁总部办公楼会议中心</w:t>
      </w:r>
      <w:r>
        <w:rPr>
          <w:spacing w:val="-58"/>
        </w:rPr>
        <w:t> </w:t>
      </w:r>
      <w:r>
        <w:rPr>
          <w:rFonts w:ascii="Times New Roman" w:hAnsi="Times New Roman" w:cs="Times New Roman" w:eastAsia="Times New Roman" w:hint="default"/>
        </w:rPr>
        <w:t>405</w:t>
      </w:r>
      <w:r>
        <w:rPr>
          <w:rFonts w:ascii="Times New Roman" w:hAnsi="Times New Roman" w:cs="Times New Roman" w:eastAsia="Times New Roman" w:hint="default"/>
          <w:spacing w:val="2"/>
        </w:rPr>
        <w:t> </w:t>
      </w:r>
      <w:r>
        <w:rPr>
          <w:spacing w:val="-5"/>
        </w:rPr>
        <w:t>室召开，出席本次股东大会的股东及股东代理</w:t>
      </w:r>
    </w:p>
    <w:p>
      <w:pPr>
        <w:pStyle w:val="BodyText"/>
        <w:spacing w:line="348" w:lineRule="auto" w:before="27"/>
        <w:ind w:left="100" w:right="1303"/>
        <w:jc w:val="left"/>
      </w:pPr>
      <w:r>
        <w:rPr/>
        <w:t>人共计</w:t>
      </w:r>
      <w:r>
        <w:rPr>
          <w:spacing w:val="-56"/>
        </w:rPr>
        <w:t> </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spacing w:val="-9"/>
        </w:rPr>
        <w:t>人，代表公司有表决权的股份数</w:t>
      </w:r>
      <w:r>
        <w:rPr>
          <w:spacing w:val="-56"/>
        </w:rPr>
        <w:t> </w:t>
      </w:r>
      <w:r>
        <w:rPr>
          <w:rFonts w:ascii="Times New Roman" w:hAnsi="Times New Roman" w:cs="Times New Roman" w:eastAsia="Times New Roman" w:hint="default"/>
        </w:rPr>
        <w:t>3,326,223,696</w:t>
      </w:r>
      <w:r>
        <w:rPr>
          <w:rFonts w:ascii="Times New Roman" w:hAnsi="Times New Roman" w:cs="Times New Roman" w:eastAsia="Times New Roman" w:hint="default"/>
          <w:spacing w:val="4"/>
        </w:rPr>
        <w:t> </w:t>
      </w:r>
      <w:r>
        <w:rPr>
          <w:spacing w:val="-11"/>
        </w:rPr>
        <w:t>股，占公司股本总额的的</w:t>
      </w:r>
      <w:r>
        <w:rPr>
          <w:spacing w:val="-56"/>
        </w:rPr>
        <w:t> </w:t>
      </w:r>
      <w:r>
        <w:rPr>
          <w:rFonts w:ascii="Times New Roman" w:hAnsi="Times New Roman" w:cs="Times New Roman" w:eastAsia="Times New Roman" w:hint="default"/>
          <w:spacing w:val="-1"/>
        </w:rPr>
        <w:t>47.54%</w:t>
      </w:r>
      <w:r>
        <w:rPr>
          <w:spacing w:val="-1"/>
        </w:rPr>
        <w:t>。</w:t>
      </w:r>
      <w:r>
        <w:rPr/>
        <w:t> </w:t>
      </w:r>
      <w:r>
        <w:rPr>
          <w:spacing w:val="-3"/>
        </w:rPr>
        <w:t>会议的召开符合《公司法》和公司《章程》的规定。大会以记名表决方式，审议并通过了</w:t>
      </w:r>
      <w:r>
        <w:rPr>
          <w:spacing w:val="-96"/>
        </w:rPr>
        <w:t> </w:t>
      </w:r>
      <w:r>
        <w:rPr>
          <w:spacing w:val="-96"/>
        </w:rPr>
      </w:r>
      <w:r>
        <w:rPr/>
        <w:t>以下议案：</w:t>
      </w:r>
    </w:p>
    <w:p>
      <w:pPr>
        <w:pStyle w:val="BodyText"/>
        <w:spacing w:line="240" w:lineRule="auto" w:before="46"/>
        <w:ind w:left="580" w:right="1328"/>
        <w:jc w:val="left"/>
      </w:pPr>
      <w:r>
        <w:rPr/>
        <w:t>（</w:t>
      </w:r>
      <w:r>
        <w:rPr>
          <w:rFonts w:ascii="Times New Roman" w:hAnsi="Times New Roman" w:cs="Times New Roman" w:eastAsia="Times New Roman" w:hint="default"/>
          <w:spacing w:val="-1"/>
        </w:rPr>
        <w:t>1</w:t>
      </w:r>
      <w:r>
        <w:rPr>
          <w:spacing w:val="-120"/>
        </w:rPr>
        <w:t>）</w:t>
      </w:r>
      <w:r>
        <w:rPr/>
        <w:t>《</w:t>
      </w:r>
      <w:r>
        <w:rPr>
          <w:rFonts w:ascii="Times New Roman" w:hAnsi="Times New Roman" w:cs="Times New Roman" w:eastAsia="Times New Roman" w:hint="default"/>
        </w:rPr>
        <w:t>2010 </w:t>
      </w:r>
      <w:r>
        <w:rPr/>
        <w:t>年度董事会工作报告</w:t>
      </w:r>
      <w:r>
        <w:rPr>
          <w:spacing w:val="-120"/>
        </w:rPr>
        <w:t>》</w:t>
      </w:r>
      <w:r>
        <w:rPr/>
        <w:t>；</w:t>
      </w:r>
    </w:p>
    <w:p>
      <w:pPr>
        <w:pStyle w:val="BodyText"/>
        <w:spacing w:line="240" w:lineRule="auto"/>
        <w:ind w:left="580" w:right="1328"/>
        <w:jc w:val="left"/>
      </w:pPr>
      <w:r>
        <w:rPr/>
        <w:t>（</w:t>
      </w:r>
      <w:r>
        <w:rPr>
          <w:rFonts w:ascii="Times New Roman" w:hAnsi="Times New Roman" w:cs="Times New Roman" w:eastAsia="Times New Roman" w:hint="default"/>
          <w:spacing w:val="-1"/>
        </w:rPr>
        <w:t>2</w:t>
      </w:r>
      <w:r>
        <w:rPr>
          <w:spacing w:val="-120"/>
        </w:rPr>
        <w:t>）</w:t>
      </w:r>
      <w:r>
        <w:rPr/>
        <w:t>《</w:t>
      </w:r>
      <w:r>
        <w:rPr>
          <w:rFonts w:ascii="Times New Roman" w:hAnsi="Times New Roman" w:cs="Times New Roman" w:eastAsia="Times New Roman" w:hint="default"/>
        </w:rPr>
        <w:t>2010 </w:t>
      </w:r>
      <w:r>
        <w:rPr/>
        <w:t>年度监事会工作报告</w:t>
      </w:r>
      <w:r>
        <w:rPr>
          <w:spacing w:val="-120"/>
        </w:rPr>
        <w:t>》</w:t>
      </w:r>
      <w:r>
        <w:rPr/>
        <w:t>；</w:t>
      </w:r>
    </w:p>
    <w:p>
      <w:pPr>
        <w:pStyle w:val="BodyText"/>
        <w:spacing w:line="240" w:lineRule="auto"/>
        <w:ind w:left="580" w:right="1328"/>
        <w:jc w:val="left"/>
      </w:pPr>
      <w:r>
        <w:rPr/>
        <w:t>（</w:t>
      </w:r>
      <w:r>
        <w:rPr>
          <w:rFonts w:ascii="Times New Roman" w:hAnsi="Times New Roman" w:cs="Times New Roman" w:eastAsia="Times New Roman" w:hint="default"/>
          <w:spacing w:val="-1"/>
        </w:rPr>
        <w:t>3</w:t>
      </w:r>
      <w:r>
        <w:rPr>
          <w:spacing w:val="-120"/>
        </w:rPr>
        <w:t>）</w:t>
      </w:r>
      <w:r>
        <w:rPr/>
        <w:t>《</w:t>
      </w:r>
      <w:r>
        <w:rPr>
          <w:rFonts w:ascii="Times New Roman" w:hAnsi="Times New Roman" w:cs="Times New Roman" w:eastAsia="Times New Roman" w:hint="default"/>
        </w:rPr>
        <w:t>2010 </w:t>
      </w:r>
      <w:r>
        <w:rPr/>
        <w:t>年度财务决算报告</w:t>
      </w:r>
      <w:r>
        <w:rPr>
          <w:spacing w:val="-120"/>
        </w:rPr>
        <w:t>》</w:t>
      </w:r>
      <w:r>
        <w:rPr/>
        <w:t>；</w:t>
      </w:r>
    </w:p>
    <w:p>
      <w:pPr>
        <w:pStyle w:val="BodyText"/>
        <w:spacing w:line="240" w:lineRule="auto"/>
        <w:ind w:left="580" w:right="1328"/>
        <w:jc w:val="left"/>
      </w:pPr>
      <w:r>
        <w:rPr/>
        <w:t>（</w:t>
      </w:r>
      <w:r>
        <w:rPr>
          <w:rFonts w:ascii="Times New Roman" w:hAnsi="Times New Roman" w:cs="Times New Roman" w:eastAsia="Times New Roman" w:hint="default"/>
          <w:spacing w:val="-1"/>
        </w:rPr>
        <w:t>4</w:t>
      </w:r>
      <w:r>
        <w:rPr>
          <w:spacing w:val="-120"/>
        </w:rPr>
        <w:t>）</w:t>
      </w:r>
      <w:r>
        <w:rPr/>
        <w:t>《</w:t>
      </w:r>
      <w:r>
        <w:rPr>
          <w:rFonts w:ascii="Times New Roman" w:hAnsi="Times New Roman" w:cs="Times New Roman" w:eastAsia="Times New Roman" w:hint="default"/>
        </w:rPr>
        <w:t>2010 </w:t>
      </w:r>
      <w:r>
        <w:rPr/>
        <w:t>年年度报告》及《</w:t>
      </w:r>
      <w:r>
        <w:rPr>
          <w:rFonts w:ascii="Times New Roman" w:hAnsi="Times New Roman" w:cs="Times New Roman" w:eastAsia="Times New Roman" w:hint="default"/>
        </w:rPr>
        <w:t>2010 </w:t>
      </w:r>
      <w:r>
        <w:rPr/>
        <w:t>年年度报告摘要</w:t>
      </w:r>
      <w:r>
        <w:rPr>
          <w:spacing w:val="-120"/>
        </w:rPr>
        <w:t>》</w:t>
      </w:r>
      <w:r>
        <w:rPr/>
        <w:t>；</w:t>
      </w:r>
    </w:p>
    <w:p>
      <w:pPr>
        <w:pStyle w:val="BodyText"/>
        <w:spacing w:line="240" w:lineRule="auto"/>
        <w:ind w:left="580" w:right="1328"/>
        <w:jc w:val="left"/>
      </w:pPr>
      <w:r>
        <w:rPr/>
        <w:t>（</w:t>
      </w:r>
      <w:r>
        <w:rPr>
          <w:rFonts w:ascii="Times New Roman" w:hAnsi="Times New Roman" w:cs="Times New Roman" w:eastAsia="Times New Roman" w:hint="default"/>
          <w:spacing w:val="-1"/>
        </w:rPr>
        <w:t>5</w:t>
      </w:r>
      <w:r>
        <w:rPr>
          <w:spacing w:val="-120"/>
        </w:rPr>
        <w:t>）</w:t>
      </w:r>
      <w:r>
        <w:rPr/>
        <w:t>《</w:t>
      </w:r>
      <w:r>
        <w:rPr>
          <w:rFonts w:ascii="Times New Roman" w:hAnsi="Times New Roman" w:cs="Times New Roman" w:eastAsia="Times New Roman" w:hint="default"/>
        </w:rPr>
        <w:t>2010 </w:t>
      </w:r>
      <w:r>
        <w:rPr/>
        <w:t>年度利润分配预案</w:t>
      </w:r>
      <w:r>
        <w:rPr>
          <w:spacing w:val="-120"/>
        </w:rPr>
        <w:t>》</w:t>
      </w:r>
      <w:r>
        <w:rPr/>
        <w:t>；</w:t>
      </w:r>
    </w:p>
    <w:p>
      <w:pPr>
        <w:pStyle w:val="BodyText"/>
        <w:spacing w:line="240" w:lineRule="auto" w:before="136"/>
        <w:ind w:left="580" w:right="1328"/>
        <w:jc w:val="left"/>
      </w:pPr>
      <w:r>
        <w:rPr/>
        <w:t>（</w:t>
      </w:r>
      <w:r>
        <w:rPr>
          <w:rFonts w:ascii="Times New Roman" w:hAnsi="Times New Roman" w:cs="Times New Roman" w:eastAsia="Times New Roman" w:hint="default"/>
          <w:spacing w:val="-1"/>
        </w:rPr>
        <w:t>6</w:t>
      </w:r>
      <w:r>
        <w:rPr>
          <w:spacing w:val="-120"/>
        </w:rPr>
        <w:t>）</w:t>
      </w:r>
      <w:r>
        <w:rPr/>
        <w:t>《关于</w:t>
      </w:r>
      <w:r>
        <w:rPr>
          <w:spacing w:val="-60"/>
        </w:rPr>
        <w:t> </w:t>
      </w:r>
      <w:r>
        <w:rPr>
          <w:rFonts w:ascii="Times New Roman" w:hAnsi="Times New Roman" w:cs="Times New Roman" w:eastAsia="Times New Roman" w:hint="default"/>
        </w:rPr>
        <w:t>2010 </w:t>
      </w:r>
      <w:r>
        <w:rPr/>
        <w:t>年度募集资金存放与使用情况的专项报告</w:t>
      </w:r>
      <w:r>
        <w:rPr>
          <w:spacing w:val="-119"/>
        </w:rPr>
        <w:t>》</w:t>
      </w:r>
      <w:r>
        <w:rPr/>
        <w:t>；</w:t>
      </w:r>
    </w:p>
    <w:p>
      <w:pPr>
        <w:pStyle w:val="BodyText"/>
        <w:spacing w:line="338" w:lineRule="auto"/>
        <w:ind w:left="580" w:right="1328"/>
        <w:jc w:val="left"/>
      </w:pPr>
      <w:r>
        <w:rPr>
          <w:spacing w:val="-13"/>
        </w:rPr>
        <w:t>（</w:t>
      </w:r>
      <w:r>
        <w:rPr>
          <w:rFonts w:ascii="Times New Roman" w:hAnsi="Times New Roman" w:cs="Times New Roman" w:eastAsia="Times New Roman" w:hint="default"/>
          <w:spacing w:val="-13"/>
        </w:rPr>
        <w:t>7</w:t>
      </w:r>
      <w:r>
        <w:rPr>
          <w:spacing w:val="-13"/>
        </w:rPr>
        <w:t>）《关于续聘会计师事务所的议案》。</w:t>
      </w:r>
      <w:r>
        <w:rPr>
          <w:spacing w:val="-114"/>
        </w:rPr>
        <w:t> </w:t>
      </w:r>
      <w:r>
        <w:rPr>
          <w:spacing w:val="-114"/>
        </w:rPr>
      </w:r>
      <w:r>
        <w:rPr>
          <w:spacing w:val="-3"/>
        </w:rPr>
        <w:t>江苏世纪同仁律师事务所许成宝律师、焦红玉律师出席本次股东大会进行见证，并出</w:t>
      </w:r>
    </w:p>
    <w:p>
      <w:pPr>
        <w:pStyle w:val="BodyText"/>
        <w:spacing w:line="338" w:lineRule="auto" w:before="55"/>
        <w:ind w:left="100" w:right="1422"/>
        <w:jc w:val="left"/>
      </w:pPr>
      <w:r>
        <w:rPr/>
        <w:t>具法律意见书</w:t>
      </w:r>
      <w:r>
        <w:rPr>
          <w:spacing w:val="-84"/>
        </w:rPr>
        <w:t>。</w:t>
      </w:r>
      <w:r>
        <w:rPr/>
        <w:t>大会决议分别刊登于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7 </w:t>
      </w:r>
      <w:r>
        <w:rPr/>
        <w:t>日的巨潮资讯网</w:t>
      </w:r>
      <w:r>
        <w:rPr>
          <w:spacing w:val="-120"/>
        </w:rPr>
        <w:t>、</w:t>
      </w:r>
      <w:r>
        <w:rPr/>
        <w:t>《证券时报</w:t>
      </w:r>
      <w:r>
        <w:rPr>
          <w:spacing w:val="-120"/>
        </w:rPr>
        <w:t>》、</w:t>
      </w:r>
      <w:r>
        <w:rPr/>
        <w:t>《中国</w:t>
      </w:r>
      <w:r>
        <w:rPr/>
        <w:t> 证券报</w:t>
      </w:r>
      <w:r>
        <w:rPr>
          <w:spacing w:val="-120"/>
        </w:rPr>
        <w:t>》、</w:t>
      </w:r>
      <w:r>
        <w:rPr/>
        <w:t>《上海证券报</w:t>
      </w:r>
      <w:r>
        <w:rPr>
          <w:spacing w:val="-120"/>
        </w:rPr>
        <w:t>》、</w:t>
      </w:r>
      <w:r>
        <w:rPr/>
        <w:t>《证券日报</w:t>
      </w:r>
      <w:r>
        <w:rPr>
          <w:spacing w:val="-120"/>
        </w:rPr>
        <w:t>》</w:t>
      </w:r>
      <w:r>
        <w:rPr/>
        <w:t>。</w:t>
      </w:r>
    </w:p>
    <w:p>
      <w:pPr>
        <w:pStyle w:val="BodyText"/>
        <w:spacing w:line="338" w:lineRule="auto" w:before="55"/>
        <w:ind w:left="100" w:right="1433" w:firstLine="480"/>
        <w:jc w:val="left"/>
      </w:pPr>
      <w:r>
        <w:rPr>
          <w:rFonts w:ascii="Times New Roman" w:hAnsi="Times New Roman" w:cs="Times New Roman" w:eastAsia="Times New Roman" w:hint="default"/>
        </w:rPr>
        <w:t>2</w:t>
      </w:r>
      <w:r>
        <w:rPr/>
        <w:t>、公司于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日采用现场投票与网络投票相结合的方式，召开</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年第 一次临时股东大会。</w:t>
      </w:r>
    </w:p>
    <w:p>
      <w:pPr>
        <w:pStyle w:val="BodyText"/>
        <w:spacing w:line="348" w:lineRule="auto" w:before="56"/>
        <w:ind w:left="340" w:right="1433" w:firstLine="480"/>
        <w:jc w:val="both"/>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2"/>
        </w:rPr>
        <w:t>日、</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7"/>
        </w:rPr>
        <w:t>日，公司在巨潮资讯网、《证券时报》、《中国证</w:t>
      </w:r>
      <w:r>
        <w:rPr/>
        <w:t> </w:t>
      </w:r>
      <w:r>
        <w:rPr>
          <w:spacing w:val="-16"/>
        </w:rPr>
        <w:t>券报》、《上海证券报》、《证券日报》上以公告形式分别发出会议通知及提示性公告，明</w:t>
      </w:r>
      <w:r>
        <w:rPr>
          <w:spacing w:val="-97"/>
        </w:rPr>
        <w:t> </w:t>
      </w:r>
      <w:r>
        <w:rPr>
          <w:spacing w:val="-97"/>
        </w:rPr>
      </w:r>
      <w:r>
        <w:rPr/>
        <w:t>确了召开股东大会的时间、地点、内容及参会方法等。股东大会现场会议于 </w:t>
      </w:r>
      <w:r>
        <w:rPr>
          <w:rFonts w:ascii="Times New Roman" w:hAnsi="Times New Roman" w:cs="Times New Roman" w:eastAsia="Times New Roman" w:hint="default"/>
          <w:spacing w:val="-3"/>
        </w:rPr>
        <w:t>2011  </w:t>
      </w:r>
      <w:r>
        <w:rPr/>
        <w:t>年</w:t>
      </w:r>
      <w:r>
        <w:rPr>
          <w:spacing w:val="-71"/>
        </w:rPr>
        <w:t> </w:t>
      </w:r>
      <w:r>
        <w:rPr>
          <w:rFonts w:ascii="Times New Roman" w:hAnsi="Times New Roman" w:cs="Times New Roman" w:eastAsia="Times New Roman" w:hint="default"/>
        </w:rPr>
        <w:t>7</w:t>
      </w:r>
    </w:p>
    <w:p>
      <w:pPr>
        <w:spacing w:after="0" w:line="348" w:lineRule="auto"/>
        <w:jc w:val="both"/>
        <w:rPr>
          <w:rFonts w:ascii="Times New Roman" w:hAnsi="Times New Roman" w:cs="Times New Roman" w:eastAsia="Times New Roman" w:hint="default"/>
        </w:rPr>
        <w:sectPr>
          <w:pgSz w:w="11910" w:h="16840"/>
          <w:pgMar w:header="748" w:footer="901" w:top="980" w:bottom="1140" w:left="110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1314"/>
        <w:jc w:val="left"/>
      </w:pPr>
      <w:r>
        <w:rPr/>
        <w:t>月</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日下午</w:t>
      </w:r>
      <w:r>
        <w:rPr>
          <w:spacing w:val="-65"/>
        </w:rPr>
        <w:t> </w:t>
      </w:r>
      <w:r>
        <w:rPr>
          <w:rFonts w:ascii="Times New Roman" w:hAnsi="Times New Roman" w:cs="Times New Roman" w:eastAsia="Times New Roman" w:hint="default"/>
        </w:rPr>
        <w:t>13:30</w:t>
      </w:r>
      <w:r>
        <w:rPr>
          <w:rFonts w:ascii="Times New Roman" w:hAnsi="Times New Roman" w:cs="Times New Roman" w:eastAsia="Times New Roman" w:hint="default"/>
          <w:spacing w:val="-5"/>
        </w:rPr>
        <w:t> </w:t>
      </w:r>
      <w:r>
        <w:rPr/>
        <w:t>在江苏省南京市玄武区苏宁大道</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号苏宁总部办公楼会议中心</w:t>
      </w:r>
      <w:r>
        <w:rPr>
          <w:spacing w:val="-65"/>
        </w:rPr>
        <w:t> </w:t>
      </w:r>
      <w:r>
        <w:rPr>
          <w:rFonts w:ascii="Times New Roman" w:hAnsi="Times New Roman" w:cs="Times New Roman" w:eastAsia="Times New Roman" w:hint="default"/>
        </w:rPr>
        <w:t>405</w:t>
      </w:r>
      <w:r>
        <w:rPr>
          <w:rFonts w:ascii="Times New Roman" w:hAnsi="Times New Roman" w:cs="Times New Roman" w:eastAsia="Times New Roman" w:hint="default"/>
          <w:spacing w:val="-5"/>
        </w:rPr>
        <w:t> </w:t>
      </w:r>
      <w:r>
        <w:rPr/>
        <w:t>室</w:t>
      </w:r>
    </w:p>
    <w:p>
      <w:pPr>
        <w:pStyle w:val="BodyText"/>
        <w:spacing w:line="240" w:lineRule="auto"/>
        <w:ind w:right="1314"/>
        <w:jc w:val="left"/>
      </w:pPr>
      <w:r>
        <w:rPr>
          <w:spacing w:val="6"/>
        </w:rPr>
        <w:t>召开。参加本次股东大会的股东及股东代理人共计 </w:t>
      </w:r>
      <w:r>
        <w:rPr>
          <w:rFonts w:ascii="Times New Roman" w:hAnsi="Times New Roman" w:cs="Times New Roman" w:eastAsia="Times New Roman" w:hint="default"/>
        </w:rPr>
        <w:t>239 </w:t>
      </w:r>
      <w:r>
        <w:rPr>
          <w:rFonts w:ascii="Times New Roman" w:hAnsi="Times New Roman" w:cs="Times New Roman" w:eastAsia="Times New Roman" w:hint="default"/>
          <w:spacing w:val="28"/>
        </w:rPr>
        <w:t> </w:t>
      </w:r>
      <w:r>
        <w:rPr>
          <w:spacing w:val="6"/>
        </w:rPr>
        <w:t>人，代表有表决权的股份数</w:t>
      </w:r>
    </w:p>
    <w:p>
      <w:pPr>
        <w:pStyle w:val="BodyText"/>
        <w:spacing w:line="338" w:lineRule="auto"/>
        <w:ind w:right="1314"/>
        <w:jc w:val="left"/>
      </w:pPr>
      <w:r>
        <w:rPr>
          <w:rFonts w:ascii="Times New Roman" w:hAnsi="Times New Roman" w:cs="Times New Roman" w:eastAsia="Times New Roman" w:hint="default"/>
        </w:rPr>
        <w:t>3,726,585,098 </w:t>
      </w:r>
      <w:r>
        <w:rPr/>
        <w:t>股，占公司股本总额的</w:t>
      </w:r>
      <w:r>
        <w:rPr>
          <w:spacing w:val="-52"/>
        </w:rPr>
        <w:t> </w:t>
      </w:r>
      <w:r>
        <w:rPr>
          <w:rFonts w:ascii="Times New Roman" w:hAnsi="Times New Roman" w:cs="Times New Roman" w:eastAsia="Times New Roman" w:hint="default"/>
        </w:rPr>
        <w:t>53.27%</w:t>
      </w:r>
      <w:r>
        <w:rPr/>
        <w:t>。会议的召开符合《公司法》和公司《章 程》的规定。大会以记名表决方式，审议并通过了以下议案：</w:t>
      </w:r>
    </w:p>
    <w:p>
      <w:pPr>
        <w:pStyle w:val="BodyText"/>
        <w:spacing w:line="240" w:lineRule="auto" w:before="55"/>
        <w:ind w:left="620" w:right="1314"/>
        <w:jc w:val="left"/>
      </w:pPr>
      <w:r>
        <w:rPr>
          <w:spacing w:val="-1"/>
        </w:rPr>
        <w:t>（</w:t>
      </w:r>
      <w:r>
        <w:rPr>
          <w:rFonts w:ascii="Times New Roman" w:hAnsi="Times New Roman" w:cs="Times New Roman" w:eastAsia="Times New Roman" w:hint="default"/>
        </w:rPr>
        <w:t>1</w:t>
      </w:r>
      <w:r>
        <w:rPr>
          <w:spacing w:val="-120"/>
        </w:rPr>
        <w:t>）</w:t>
      </w:r>
      <w:r>
        <w:rPr/>
        <w:t>《关于公司符合非公开发行股票条件的议案</w:t>
      </w:r>
      <w:r>
        <w:rPr>
          <w:spacing w:val="-119"/>
        </w:rPr>
        <w:t>》</w:t>
      </w:r>
      <w:r>
        <w:rPr/>
        <w:t>；</w:t>
      </w:r>
    </w:p>
    <w:p>
      <w:pPr>
        <w:pStyle w:val="BodyText"/>
        <w:spacing w:line="240" w:lineRule="auto"/>
        <w:ind w:left="620" w:right="1314"/>
        <w:jc w:val="left"/>
      </w:pPr>
      <w:r>
        <w:rPr>
          <w:spacing w:val="-1"/>
        </w:rPr>
        <w:t>（</w:t>
      </w:r>
      <w:r>
        <w:rPr>
          <w:rFonts w:ascii="Times New Roman" w:hAnsi="Times New Roman" w:cs="Times New Roman" w:eastAsia="Times New Roman" w:hint="default"/>
        </w:rPr>
        <w:t>2</w:t>
      </w:r>
      <w:r>
        <w:rPr>
          <w:spacing w:val="-120"/>
        </w:rPr>
        <w:t>）</w:t>
      </w:r>
      <w:r>
        <w:rPr/>
        <w:t>《关于公司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年非公开发行股票方案的议案</w:t>
      </w:r>
      <w:r>
        <w:rPr>
          <w:spacing w:val="-120"/>
        </w:rPr>
        <w:t>》</w:t>
      </w:r>
      <w:r>
        <w:rPr/>
        <w:t>（该议案需逐项审议</w:t>
      </w:r>
      <w:r>
        <w:rPr>
          <w:spacing w:val="-119"/>
        </w:rPr>
        <w:t>）</w:t>
      </w:r>
      <w:r>
        <w:rPr/>
        <w:t>；</w:t>
      </w:r>
    </w:p>
    <w:p>
      <w:pPr>
        <w:pStyle w:val="BodyText"/>
        <w:spacing w:line="240" w:lineRule="auto"/>
        <w:ind w:left="980" w:right="1314"/>
        <w:jc w:val="left"/>
      </w:pPr>
      <w:r>
        <w:rPr/>
        <w:t>①发行股票的类型和面值</w:t>
      </w:r>
    </w:p>
    <w:p>
      <w:pPr>
        <w:pStyle w:val="BodyText"/>
        <w:spacing w:line="240" w:lineRule="auto" w:before="154"/>
        <w:ind w:left="980" w:right="1314"/>
        <w:jc w:val="left"/>
      </w:pPr>
      <w:r>
        <w:rPr/>
        <w:t>②发行股票的方式</w:t>
      </w:r>
    </w:p>
    <w:p>
      <w:pPr>
        <w:pStyle w:val="BodyText"/>
        <w:spacing w:line="240" w:lineRule="auto" w:before="154"/>
        <w:ind w:left="980" w:right="1314"/>
        <w:jc w:val="left"/>
      </w:pPr>
      <w:r>
        <w:rPr/>
        <w:t>③发行股票的对象及认购方式</w:t>
      </w:r>
    </w:p>
    <w:p>
      <w:pPr>
        <w:pStyle w:val="BodyText"/>
        <w:spacing w:line="240" w:lineRule="auto" w:before="154"/>
        <w:ind w:left="980" w:right="1314"/>
        <w:jc w:val="left"/>
      </w:pPr>
      <w:r>
        <w:rPr/>
        <w:t>④发行股票的数量</w:t>
      </w:r>
    </w:p>
    <w:p>
      <w:pPr>
        <w:pStyle w:val="BodyText"/>
        <w:spacing w:line="240" w:lineRule="auto" w:before="154"/>
        <w:ind w:left="980" w:right="1314"/>
        <w:jc w:val="left"/>
      </w:pPr>
      <w:r>
        <w:rPr/>
        <w:t>⑤发行股票的价格</w:t>
      </w:r>
    </w:p>
    <w:p>
      <w:pPr>
        <w:pStyle w:val="BodyText"/>
        <w:spacing w:line="240" w:lineRule="auto" w:before="154"/>
        <w:ind w:left="980" w:right="1314"/>
        <w:jc w:val="left"/>
      </w:pPr>
      <w:r>
        <w:rPr/>
        <w:t>⑥发行股票的限售期</w:t>
      </w:r>
    </w:p>
    <w:p>
      <w:pPr>
        <w:pStyle w:val="BodyText"/>
        <w:spacing w:line="240" w:lineRule="auto" w:before="154"/>
        <w:ind w:left="980" w:right="1314"/>
        <w:jc w:val="left"/>
      </w:pPr>
      <w:r>
        <w:rPr/>
        <w:t>⑦募集资金用途</w:t>
      </w:r>
    </w:p>
    <w:p>
      <w:pPr>
        <w:pStyle w:val="BodyText"/>
        <w:spacing w:line="240" w:lineRule="auto" w:before="154"/>
        <w:ind w:left="980" w:right="1314"/>
        <w:jc w:val="left"/>
      </w:pPr>
      <w:r>
        <w:rPr/>
        <w:t>⑧上市地</w:t>
      </w:r>
    </w:p>
    <w:p>
      <w:pPr>
        <w:pStyle w:val="BodyText"/>
        <w:spacing w:line="240" w:lineRule="auto" w:before="154"/>
        <w:ind w:left="980" w:right="1314"/>
        <w:jc w:val="left"/>
      </w:pPr>
      <w:r>
        <w:rPr/>
        <w:t>⑨本次非公开发行股票前的滚存利润安排</w:t>
      </w:r>
    </w:p>
    <w:p>
      <w:pPr>
        <w:pStyle w:val="BodyText"/>
        <w:spacing w:line="240" w:lineRule="auto" w:before="154"/>
        <w:ind w:left="980" w:right="1314"/>
        <w:jc w:val="left"/>
      </w:pPr>
      <w:r>
        <w:rPr/>
        <w:t>⑩本次非公开发行股票决议的有效期限</w:t>
      </w:r>
    </w:p>
    <w:p>
      <w:pPr>
        <w:pStyle w:val="BodyText"/>
        <w:spacing w:line="240" w:lineRule="auto" w:before="154"/>
        <w:ind w:left="620" w:right="1314"/>
        <w:jc w:val="left"/>
      </w:pPr>
      <w:r>
        <w:rPr>
          <w:spacing w:val="-1"/>
        </w:rPr>
        <w:t>（</w:t>
      </w:r>
      <w:r>
        <w:rPr>
          <w:rFonts w:ascii="Times New Roman" w:hAnsi="Times New Roman" w:cs="Times New Roman" w:eastAsia="Times New Roman" w:hint="default"/>
        </w:rPr>
        <w:t>3</w:t>
      </w:r>
      <w:r>
        <w:rPr>
          <w:spacing w:val="-120"/>
        </w:rPr>
        <w:t>）</w:t>
      </w:r>
      <w:r>
        <w:rPr/>
        <w:t>《关于本次非公开发行股票涉及重大关联交易的议案</w:t>
      </w:r>
      <w:r>
        <w:rPr>
          <w:spacing w:val="-119"/>
        </w:rPr>
        <w:t>》</w:t>
      </w:r>
      <w:r>
        <w:rPr/>
        <w:t>；</w:t>
      </w:r>
    </w:p>
    <w:p>
      <w:pPr>
        <w:pStyle w:val="BodyText"/>
        <w:spacing w:line="240" w:lineRule="auto"/>
        <w:ind w:left="620" w:right="1314"/>
        <w:jc w:val="left"/>
      </w:pPr>
      <w:r>
        <w:rPr>
          <w:spacing w:val="-1"/>
        </w:rPr>
        <w:t>（</w:t>
      </w:r>
      <w:r>
        <w:rPr>
          <w:rFonts w:ascii="Times New Roman" w:hAnsi="Times New Roman" w:cs="Times New Roman" w:eastAsia="Times New Roman" w:hint="default"/>
        </w:rPr>
        <w:t>4</w:t>
      </w:r>
      <w:r>
        <w:rPr>
          <w:spacing w:val="-120"/>
        </w:rPr>
        <w:t>）</w:t>
      </w:r>
      <w:r>
        <w:rPr/>
        <w:t>《关于公司与特定对象签订附条件生效的股份认</w:t>
      </w:r>
      <w:r>
        <w:rPr>
          <w:spacing w:val="1"/>
        </w:rPr>
        <w:t>购</w:t>
      </w:r>
      <w:r>
        <w:rPr/>
        <w:t>协议的议案</w:t>
      </w:r>
      <w:r>
        <w:rPr>
          <w:spacing w:val="-120"/>
        </w:rPr>
        <w:t>》</w:t>
      </w:r>
      <w:r>
        <w:rPr/>
        <w:t>；</w:t>
      </w:r>
    </w:p>
    <w:p>
      <w:pPr>
        <w:pStyle w:val="BodyText"/>
        <w:spacing w:line="240" w:lineRule="auto"/>
        <w:ind w:left="620" w:right="1314"/>
        <w:jc w:val="left"/>
      </w:pPr>
      <w:r>
        <w:rPr>
          <w:spacing w:val="-1"/>
        </w:rPr>
        <w:t>（</w:t>
      </w:r>
      <w:r>
        <w:rPr>
          <w:rFonts w:ascii="Times New Roman" w:hAnsi="Times New Roman" w:cs="Times New Roman" w:eastAsia="Times New Roman" w:hint="default"/>
        </w:rPr>
        <w:t>5</w:t>
      </w:r>
      <w:r>
        <w:rPr>
          <w:spacing w:val="-120"/>
        </w:rPr>
        <w:t>）</w:t>
      </w:r>
      <w:r>
        <w:rPr/>
        <w:t>《苏宁电器股份有限公司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年非公开发行股票预案</w:t>
      </w:r>
      <w:r>
        <w:rPr>
          <w:spacing w:val="-120"/>
        </w:rPr>
        <w:t>》</w:t>
      </w:r>
      <w:r>
        <w:rPr/>
        <w:t>；</w:t>
      </w:r>
    </w:p>
    <w:p>
      <w:pPr>
        <w:pStyle w:val="BodyText"/>
        <w:spacing w:line="240" w:lineRule="auto"/>
        <w:ind w:left="620" w:right="1314"/>
        <w:jc w:val="left"/>
      </w:pPr>
      <w:r>
        <w:rPr>
          <w:spacing w:val="-1"/>
        </w:rPr>
        <w:t>（</w:t>
      </w:r>
      <w:r>
        <w:rPr>
          <w:rFonts w:ascii="Times New Roman" w:hAnsi="Times New Roman" w:cs="Times New Roman" w:eastAsia="Times New Roman" w:hint="default"/>
        </w:rPr>
        <w:t>6</w:t>
      </w:r>
      <w:r>
        <w:rPr>
          <w:spacing w:val="-120"/>
        </w:rPr>
        <w:t>）</w:t>
      </w:r>
      <w:r>
        <w:rPr/>
        <w:t>《关于本次非公开发行股票募集资金使用的可行性报告的议案</w:t>
      </w:r>
      <w:r>
        <w:rPr>
          <w:spacing w:val="-119"/>
        </w:rPr>
        <w:t>》</w:t>
      </w:r>
      <w:r>
        <w:rPr/>
        <w:t>；</w:t>
      </w:r>
    </w:p>
    <w:p>
      <w:pPr>
        <w:pStyle w:val="BodyText"/>
        <w:spacing w:line="240" w:lineRule="auto" w:before="136"/>
        <w:ind w:left="620" w:right="1314"/>
        <w:jc w:val="left"/>
      </w:pPr>
      <w:r>
        <w:rPr>
          <w:spacing w:val="-1"/>
        </w:rPr>
        <w:t>（</w:t>
      </w:r>
      <w:r>
        <w:rPr>
          <w:rFonts w:ascii="Times New Roman" w:hAnsi="Times New Roman" w:cs="Times New Roman" w:eastAsia="Times New Roman" w:hint="default"/>
        </w:rPr>
        <w:t>7</w:t>
      </w:r>
      <w:r>
        <w:rPr>
          <w:spacing w:val="-120"/>
        </w:rPr>
        <w:t>）</w:t>
      </w:r>
      <w:r>
        <w:rPr/>
        <w:t>《董事会关于前次募集资金使用情况的专项报告</w:t>
      </w:r>
      <w:r>
        <w:rPr>
          <w:spacing w:val="-119"/>
        </w:rPr>
        <w:t>》</w:t>
      </w:r>
      <w:r>
        <w:rPr/>
        <w:t>；</w:t>
      </w:r>
    </w:p>
    <w:p>
      <w:pPr>
        <w:pStyle w:val="BodyText"/>
        <w:spacing w:line="240" w:lineRule="auto"/>
        <w:ind w:left="620" w:right="1314"/>
        <w:jc w:val="left"/>
      </w:pPr>
      <w:r>
        <w:rPr>
          <w:spacing w:val="-1"/>
        </w:rPr>
        <w:t>（</w:t>
      </w:r>
      <w:r>
        <w:rPr>
          <w:rFonts w:ascii="Times New Roman" w:hAnsi="Times New Roman" w:cs="Times New Roman" w:eastAsia="Times New Roman" w:hint="default"/>
        </w:rPr>
        <w:t>8</w:t>
      </w:r>
      <w:r>
        <w:rPr>
          <w:spacing w:val="-120"/>
        </w:rPr>
        <w:t>）</w:t>
      </w:r>
      <w:r>
        <w:rPr/>
        <w:t>《关于同意张近东先生免于以要约收购方式增持公司股份的议案</w:t>
      </w:r>
      <w:r>
        <w:rPr>
          <w:spacing w:val="-119"/>
        </w:rPr>
        <w:t>》</w:t>
      </w:r>
      <w:r>
        <w:rPr/>
        <w:t>；</w:t>
      </w:r>
    </w:p>
    <w:p>
      <w:pPr>
        <w:pStyle w:val="BodyText"/>
        <w:spacing w:line="338" w:lineRule="auto"/>
        <w:ind w:right="1314" w:firstLine="480"/>
        <w:jc w:val="left"/>
      </w:pPr>
      <w:r>
        <w:rPr>
          <w:spacing w:val="4"/>
        </w:rPr>
        <w:t>（</w:t>
      </w:r>
      <w:r>
        <w:rPr>
          <w:rFonts w:ascii="Times New Roman" w:hAnsi="Times New Roman" w:cs="Times New Roman" w:eastAsia="Times New Roman" w:hint="default"/>
          <w:spacing w:val="4"/>
        </w:rPr>
        <w:t>9</w:t>
      </w:r>
      <w:r>
        <w:rPr>
          <w:spacing w:val="-116"/>
        </w:rPr>
        <w:t>）</w:t>
      </w:r>
      <w:r>
        <w:rPr>
          <w:spacing w:val="4"/>
        </w:rPr>
        <w:t>《关</w:t>
      </w:r>
      <w:r>
        <w:rPr>
          <w:spacing w:val="2"/>
        </w:rPr>
        <w:t>于</w:t>
      </w:r>
      <w:r>
        <w:rPr>
          <w:spacing w:val="4"/>
        </w:rPr>
        <w:t>提请股东</w:t>
      </w:r>
      <w:r>
        <w:rPr>
          <w:spacing w:val="2"/>
        </w:rPr>
        <w:t>大</w:t>
      </w:r>
      <w:r>
        <w:rPr>
          <w:spacing w:val="4"/>
        </w:rPr>
        <w:t>会授权董事</w:t>
      </w:r>
      <w:r>
        <w:rPr>
          <w:spacing w:val="2"/>
        </w:rPr>
        <w:t>会</w:t>
      </w:r>
      <w:r>
        <w:rPr>
          <w:spacing w:val="4"/>
        </w:rPr>
        <w:t>全权办</w:t>
      </w:r>
      <w:r>
        <w:rPr>
          <w:spacing w:val="2"/>
        </w:rPr>
        <w:t>理</w:t>
      </w:r>
      <w:r>
        <w:rPr>
          <w:spacing w:val="4"/>
        </w:rPr>
        <w:t>本次非公开</w:t>
      </w:r>
      <w:r>
        <w:rPr>
          <w:spacing w:val="2"/>
        </w:rPr>
        <w:t>发</w:t>
      </w:r>
      <w:r>
        <w:rPr>
          <w:spacing w:val="4"/>
        </w:rPr>
        <w:t>行股票</w:t>
      </w:r>
      <w:r>
        <w:rPr>
          <w:spacing w:val="2"/>
        </w:rPr>
        <w:t>相</w:t>
      </w:r>
      <w:r>
        <w:rPr>
          <w:spacing w:val="4"/>
        </w:rPr>
        <w:t>关事宜的</w:t>
      </w:r>
      <w:r>
        <w:rPr/>
        <w:t>议</w:t>
      </w:r>
      <w:r>
        <w:rPr/>
        <w:t> 案</w:t>
      </w:r>
      <w:r>
        <w:rPr>
          <w:spacing w:val="-120"/>
        </w:rPr>
        <w:t>》</w:t>
      </w:r>
      <w:r>
        <w:rPr/>
        <w:t>。</w:t>
      </w:r>
    </w:p>
    <w:p>
      <w:pPr>
        <w:pStyle w:val="BodyText"/>
        <w:spacing w:line="357" w:lineRule="auto" w:before="55"/>
        <w:ind w:right="1436" w:firstLine="480"/>
        <w:jc w:val="left"/>
      </w:pPr>
      <w:r>
        <w:rPr>
          <w:spacing w:val="-3"/>
        </w:rPr>
        <w:t>江苏世纪同仁律师事务所许成宝律师、焦红玉律师出席本次股东大会进行见证，并</w:t>
      </w:r>
      <w:r>
        <w:rPr/>
        <w:t> 出具法律意见书。大会决议分别刊登于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8 </w:t>
      </w:r>
      <w:r>
        <w:rPr>
          <w:spacing w:val="-16"/>
        </w:rPr>
        <w:t>日的巨潮资讯网、《证券时报》、</w:t>
      </w:r>
    </w:p>
    <w:p>
      <w:pPr>
        <w:pStyle w:val="BodyText"/>
        <w:spacing w:line="240" w:lineRule="auto" w:before="5"/>
        <w:ind w:right="1314"/>
        <w:jc w:val="left"/>
      </w:pPr>
      <w:r>
        <w:rPr/>
        <w:t>《中国证券报</w:t>
      </w:r>
      <w:r>
        <w:rPr>
          <w:spacing w:val="-121"/>
        </w:rPr>
        <w:t>》</w:t>
      </w:r>
      <w:r>
        <w:rPr>
          <w:spacing w:val="-120"/>
        </w:rPr>
        <w:t>、</w:t>
      </w:r>
      <w:r>
        <w:rPr/>
        <w:t>《上海证券报</w:t>
      </w:r>
      <w:r>
        <w:rPr>
          <w:spacing w:val="-120"/>
        </w:rPr>
        <w:t>》、</w:t>
      </w:r>
      <w:r>
        <w:rPr/>
        <w:t>《证券日报</w:t>
      </w:r>
      <w:r>
        <w:rPr>
          <w:spacing w:val="-120"/>
        </w:rPr>
        <w:t>》</w:t>
      </w:r>
      <w:r>
        <w:rPr/>
        <w:t>。</w:t>
      </w:r>
    </w:p>
    <w:p>
      <w:pPr>
        <w:spacing w:after="0" w:line="240" w:lineRule="auto"/>
        <w:jc w:val="left"/>
        <w:sectPr>
          <w:pgSz w:w="11910" w:h="16840"/>
          <w:pgMar w:header="748" w:footer="901" w:top="980" w:bottom="1140" w:left="1300" w:right="0"/>
        </w:sectPr>
      </w:pPr>
    </w:p>
    <w:p>
      <w:pPr>
        <w:spacing w:line="240" w:lineRule="auto" w:before="0"/>
        <w:rPr>
          <w:rFonts w:ascii="宋体" w:hAnsi="宋体" w:cs="宋体" w:eastAsia="宋体" w:hint="default"/>
          <w:sz w:val="20"/>
          <w:szCs w:val="20"/>
        </w:rPr>
      </w:pPr>
    </w:p>
    <w:p>
      <w:pPr>
        <w:pStyle w:val="Heading1"/>
        <w:spacing w:line="240" w:lineRule="auto"/>
        <w:ind w:right="657"/>
        <w:jc w:val="center"/>
        <w:rPr>
          <w:b w:val="0"/>
          <w:bCs w:val="0"/>
        </w:rPr>
      </w:pPr>
      <w:bookmarkStart w:name="_TOC_250004" w:id="7"/>
      <w:r>
        <w:rPr/>
        <w:t>第七节</w:t>
      </w:r>
      <w:r>
        <w:rPr>
          <w:spacing w:val="-11"/>
        </w:rPr>
        <w:t> </w:t>
      </w:r>
      <w:r>
        <w:rPr/>
        <w:t>董事会报告</w:t>
      </w:r>
      <w:bookmarkEnd w:id="7"/>
      <w:r>
        <w:rPr>
          <w:b w:val="0"/>
          <w:bCs w:val="0"/>
        </w:rPr>
      </w:r>
    </w:p>
    <w:p>
      <w:pPr>
        <w:pStyle w:val="BodyText"/>
        <w:spacing w:line="357" w:lineRule="auto" w:before="217"/>
        <w:ind w:right="1328" w:firstLine="480"/>
        <w:jc w:val="left"/>
      </w:pPr>
      <w:r>
        <w:rPr/>
        <w:t>过去几年以来，中国零售业正在发生着潜移默化的转型变革。一方面，结构转型、 </w:t>
      </w:r>
      <w:r>
        <w:rPr>
          <w:spacing w:val="-3"/>
        </w:rPr>
        <w:t>拉动内需的产业政策长期持续推进，将促进零售业稳定的发展，但宏观调控政策也带来</w:t>
      </w:r>
      <w:r>
        <w:rPr>
          <w:spacing w:val="-98"/>
        </w:rPr>
        <w:t> </w:t>
      </w:r>
      <w:r>
        <w:rPr>
          <w:spacing w:val="-98"/>
        </w:rPr>
      </w:r>
      <w:r>
        <w:rPr>
          <w:spacing w:val="-3"/>
        </w:rPr>
        <w:t>了短期内的影响；另一方面，互联网技术、智能终端等信息科技的蓬勃发展和快速应用</w:t>
      </w:r>
      <w:r>
        <w:rPr>
          <w:spacing w:val="-100"/>
        </w:rPr>
        <w:t> </w:t>
      </w:r>
      <w:r>
        <w:rPr>
          <w:spacing w:val="-100"/>
        </w:rPr>
      </w:r>
      <w:r>
        <w:rPr>
          <w:spacing w:val="-3"/>
        </w:rPr>
        <w:t>要求零售业的商业模式必须尽快实现转型升级。同时，随着社会成本的增加、用户体验</w:t>
      </w:r>
      <w:r>
        <w:rPr>
          <w:spacing w:val="-100"/>
        </w:rPr>
        <w:t> </w:t>
      </w:r>
      <w:r>
        <w:rPr>
          <w:spacing w:val="-100"/>
        </w:rPr>
      </w:r>
      <w:r>
        <w:rPr>
          <w:spacing w:val="-3"/>
        </w:rPr>
        <w:t>要求的提升、市场竞争层次的提高，零售业必须要实现从店面网络快速拓展阶段向全面</w:t>
      </w:r>
      <w:r>
        <w:rPr>
          <w:spacing w:val="-98"/>
        </w:rPr>
        <w:t> </w:t>
      </w:r>
      <w:r>
        <w:rPr>
          <w:spacing w:val="-98"/>
        </w:rPr>
      </w:r>
      <w:r>
        <w:rPr/>
        <w:t>精细化经营管理阶段的过渡。</w:t>
      </w:r>
    </w:p>
    <w:p>
      <w:pPr>
        <w:pStyle w:val="BodyText"/>
        <w:spacing w:line="350" w:lineRule="auto" w:before="37"/>
        <w:ind w:right="1314" w:firstLine="480"/>
        <w:jc w:val="left"/>
      </w:pPr>
      <w:r>
        <w:rPr>
          <w:spacing w:val="-3"/>
        </w:rPr>
        <w:t>公司始终注重发展的长远战略和规划，对市场环境、行业趋势的演变不断进行前瞻</w:t>
      </w:r>
      <w:r>
        <w:rPr/>
        <w:t> 性的研究，</w:t>
      </w:r>
      <w:r>
        <w:rPr>
          <w:rFonts w:ascii="Times New Roman" w:hAnsi="Times New Roman" w:cs="Times New Roman" w:eastAsia="Times New Roman" w:hint="default"/>
        </w:rPr>
        <w:t>2009 </w:t>
      </w:r>
      <w:r>
        <w:rPr/>
        <w:t>年开始苏宁就提出了“营销变革”并率先尝试实体店与互联网业务共</w:t>
      </w:r>
      <w:r>
        <w:rPr>
          <w:spacing w:val="-97"/>
        </w:rPr>
        <w:t> </w:t>
      </w:r>
      <w:r>
        <w:rPr>
          <w:spacing w:val="-97"/>
        </w:rPr>
      </w:r>
      <w:r>
        <w:rPr/>
        <w:t>举的战略。通过三年的不断实践、完善，</w:t>
      </w:r>
      <w:r>
        <w:rPr>
          <w:rFonts w:ascii="Times New Roman" w:hAnsi="Times New Roman" w:cs="Times New Roman" w:eastAsia="Times New Roman" w:hint="default"/>
        </w:rPr>
        <w:t>2011 </w:t>
      </w:r>
      <w:r>
        <w:rPr/>
        <w:t>年公司完整地提出了面向未来十年发展</w:t>
      </w:r>
      <w:r>
        <w:rPr>
          <w:spacing w:val="-96"/>
        </w:rPr>
        <w:t> </w:t>
      </w:r>
      <w:r>
        <w:rPr>
          <w:spacing w:val="-96"/>
        </w:rPr>
      </w:r>
      <w:r>
        <w:rPr/>
        <w:t>的战略规划，以“科技转型、智慧升级”为核心，从连锁发展、营销创新、电子商务、</w:t>
      </w:r>
      <w:r>
        <w:rPr/>
        <w:t> </w:t>
      </w:r>
      <w:r>
        <w:rPr>
          <w:spacing w:val="-3"/>
        </w:rPr>
        <w:t>服务升级等方面阐述了清晰的发展路径，最终就是要实现由单纯的产品提供商向综合消</w:t>
      </w:r>
      <w:r>
        <w:rPr>
          <w:spacing w:val="-99"/>
        </w:rPr>
        <w:t> </w:t>
      </w:r>
      <w:r>
        <w:rPr>
          <w:spacing w:val="-99"/>
        </w:rPr>
      </w:r>
      <w:r>
        <w:rPr>
          <w:spacing w:val="-6"/>
        </w:rPr>
        <w:t>费解决方案提供商转变，从全品类的商品提供、内容和增值服务的提供，为个人、家庭、</w:t>
      </w:r>
      <w:r>
        <w:rPr>
          <w:spacing w:val="-98"/>
        </w:rPr>
        <w:t> </w:t>
      </w:r>
      <w:r>
        <w:rPr>
          <w:spacing w:val="-98"/>
        </w:rPr>
      </w:r>
      <w:r>
        <w:rPr/>
        <w:t>中小企业进行全方位的需求运营。</w:t>
      </w:r>
    </w:p>
    <w:p>
      <w:pPr>
        <w:pStyle w:val="BodyText"/>
        <w:spacing w:line="352" w:lineRule="auto" w:before="43"/>
        <w:ind w:right="1433"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9"/>
        </w:rPr>
        <w:t> </w:t>
      </w:r>
      <w:r>
        <w:rPr/>
        <w:t>年，由于宏观调控政策的影响，短期内一级市场以及部分发达的二级市场增 </w:t>
      </w:r>
      <w:r>
        <w:rPr>
          <w:spacing w:val="-3"/>
        </w:rPr>
        <w:t>长放缓，边际效应有所下降，而二、三级市场正处于网络铺设和优化阶段，经营管理成</w:t>
      </w:r>
      <w:r>
        <w:rPr>
          <w:spacing w:val="-97"/>
        </w:rPr>
        <w:t> </w:t>
      </w:r>
      <w:r>
        <w:rPr>
          <w:spacing w:val="-97"/>
        </w:rPr>
      </w:r>
      <w:r>
        <w:rPr>
          <w:spacing w:val="-3"/>
        </w:rPr>
        <w:t>熟度有待进一步提升，同时该部分地区的消费能力增强和需求释放尚需时日，还处于投</w:t>
      </w:r>
      <w:r>
        <w:rPr>
          <w:spacing w:val="-99"/>
        </w:rPr>
        <w:t> </w:t>
      </w:r>
      <w:r>
        <w:rPr>
          <w:spacing w:val="-99"/>
        </w:rPr>
      </w:r>
      <w:r>
        <w:rPr>
          <w:spacing w:val="-3"/>
        </w:rPr>
        <w:t>入期。另一方面，随着社会成本的上升，公司也面临着一定程度的物业租金、人员费用</w:t>
      </w:r>
      <w:r>
        <w:rPr>
          <w:spacing w:val="-97"/>
        </w:rPr>
        <w:t> </w:t>
      </w:r>
      <w:r>
        <w:rPr>
          <w:spacing w:val="-97"/>
        </w:rPr>
      </w:r>
      <w:r>
        <w:rPr/>
        <w:t>和运营成本上升的阶段性压力。</w:t>
      </w:r>
    </w:p>
    <w:p>
      <w:pPr>
        <w:pStyle w:val="BodyText"/>
        <w:spacing w:line="357" w:lineRule="auto" w:before="41"/>
        <w:ind w:right="1328" w:firstLine="480"/>
        <w:jc w:val="left"/>
      </w:pPr>
      <w:r>
        <w:rPr/>
        <w:t>公司正视发展中存在的问题，制定了明确的短期和中长期结合的策略。短期来看， </w:t>
      </w:r>
      <w:r>
        <w:rPr>
          <w:spacing w:val="-3"/>
        </w:rPr>
        <w:t>从店面的经营质量提升、内部管理成本控制、产品结构优化毛利提升和市场推广活动的</w:t>
      </w:r>
      <w:r>
        <w:rPr>
          <w:spacing w:val="-98"/>
        </w:rPr>
        <w:t> </w:t>
      </w:r>
      <w:r>
        <w:rPr>
          <w:spacing w:val="-98"/>
        </w:rPr>
      </w:r>
      <w:r>
        <w:rPr>
          <w:spacing w:val="-3"/>
        </w:rPr>
        <w:t>加强进行了大量的努力，保持一定程度的业绩增长；更重要的是，公司着眼于中长期的</w:t>
      </w:r>
      <w:r>
        <w:rPr>
          <w:spacing w:val="-100"/>
        </w:rPr>
        <w:t> </w:t>
      </w:r>
      <w:r>
        <w:rPr>
          <w:spacing w:val="-100"/>
        </w:rPr>
      </w:r>
      <w:r>
        <w:rPr>
          <w:spacing w:val="-3"/>
        </w:rPr>
        <w:t>发展，进行了大量的基础性建设，在这一点上，公司不会因为短期的效益而动摇，包括</w:t>
      </w:r>
      <w:r>
        <w:rPr>
          <w:spacing w:val="-97"/>
        </w:rPr>
        <w:t> </w:t>
      </w:r>
      <w:r>
        <w:rPr>
          <w:spacing w:val="-97"/>
        </w:rPr>
      </w:r>
      <w:r>
        <w:rPr/>
        <w:t>以下几个方面：</w:t>
      </w:r>
    </w:p>
    <w:p>
      <w:pPr>
        <w:pStyle w:val="BodyText"/>
        <w:spacing w:line="357" w:lineRule="auto" w:before="36"/>
        <w:ind w:right="1435" w:firstLine="480"/>
        <w:jc w:val="both"/>
      </w:pPr>
      <w:r>
        <w:rPr>
          <w:spacing w:val="-3"/>
        </w:rPr>
        <w:t>连锁发展方面，在一线城市和发达的二线城市，继续大力推进旗舰店战略，完善店</w:t>
      </w:r>
      <w:r>
        <w:rPr/>
        <w:t> </w:t>
      </w:r>
      <w:r>
        <w:rPr>
          <w:spacing w:val="-3"/>
        </w:rPr>
        <w:t>面标准、丰富产品品类、提升店面环境、加强服务体验；在二、三级市场及部分四级市</w:t>
      </w:r>
      <w:r>
        <w:rPr>
          <w:spacing w:val="-101"/>
        </w:rPr>
        <w:t> </w:t>
      </w:r>
      <w:r>
        <w:rPr>
          <w:spacing w:val="-101"/>
        </w:rPr>
      </w:r>
      <w:r>
        <w:rPr>
          <w:spacing w:val="-3"/>
        </w:rPr>
        <w:t>场，贯彻渠道下沉策略，在目前相对较低的市场成本之下，加快网络布局；积极借鉴海</w:t>
      </w:r>
      <w:r>
        <w:rPr>
          <w:spacing w:val="-97"/>
        </w:rPr>
        <w:t> </w:t>
      </w:r>
      <w:r>
        <w:rPr>
          <w:spacing w:val="-97"/>
        </w:rPr>
      </w:r>
      <w:r>
        <w:rPr>
          <w:spacing w:val="-3"/>
        </w:rPr>
        <w:t>外零售业经验，全面规划乐购仕生活广场的新型业态，在商品品种、产品结构、展示方</w:t>
      </w:r>
      <w:r>
        <w:rPr>
          <w:spacing w:val="-96"/>
        </w:rPr>
        <w:t> </w:t>
      </w:r>
      <w:r>
        <w:rPr>
          <w:spacing w:val="-96"/>
        </w:rPr>
      </w:r>
      <w:r>
        <w:rPr/>
        <w:t>式、服务流程、销售模式、商业氛围等方面全面进行商业业态升级试点。</w:t>
      </w:r>
    </w:p>
    <w:p>
      <w:pPr>
        <w:pStyle w:val="BodyText"/>
        <w:spacing w:line="240" w:lineRule="auto" w:before="36"/>
        <w:ind w:left="620" w:right="1314"/>
        <w:jc w:val="left"/>
      </w:pPr>
      <w:r>
        <w:rPr>
          <w:spacing w:val="-3"/>
        </w:rPr>
        <w:t>物流建设方面，坚持后台先行的发展策略，物流基地批量开发、快速复制的模式取</w:t>
      </w:r>
    </w:p>
    <w:p>
      <w:pPr>
        <w:spacing w:after="0" w:line="240" w:lineRule="auto"/>
        <w:jc w:val="left"/>
        <w:sectPr>
          <w:pgSz w:w="11910" w:h="16840"/>
          <w:pgMar w:header="748" w:footer="901" w:top="980" w:bottom="1140" w:left="1300" w:right="0"/>
        </w:sectPr>
      </w:pPr>
    </w:p>
    <w:p>
      <w:pPr>
        <w:spacing w:line="240" w:lineRule="auto" w:before="6"/>
        <w:rPr>
          <w:rFonts w:ascii="宋体" w:hAnsi="宋体" w:cs="宋体" w:eastAsia="宋体" w:hint="default"/>
          <w:sz w:val="29"/>
          <w:szCs w:val="29"/>
        </w:rPr>
      </w:pPr>
    </w:p>
    <w:p>
      <w:pPr>
        <w:pStyle w:val="BodyText"/>
        <w:spacing w:line="338" w:lineRule="auto" w:before="26"/>
        <w:ind w:right="1436"/>
        <w:jc w:val="both"/>
      </w:pPr>
      <w:r>
        <w:rPr/>
        <w:t>得突破，报告期末已有 </w:t>
      </w:r>
      <w:r>
        <w:rPr>
          <w:rFonts w:ascii="Times New Roman" w:hAnsi="Times New Roman" w:cs="Times New Roman" w:eastAsia="Times New Roman" w:hint="default"/>
        </w:rPr>
        <w:t>8 </w:t>
      </w:r>
      <w:r>
        <w:rPr/>
        <w:t>家物流基地运营，</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家物流基地进入施工阶段，另完成签约 储备 </w:t>
      </w:r>
      <w:r>
        <w:rPr>
          <w:rFonts w:ascii="Times New Roman" w:hAnsi="Times New Roman" w:cs="Times New Roman" w:eastAsia="Times New Roman" w:hint="default"/>
        </w:rPr>
        <w:t>24</w:t>
      </w:r>
      <w:r>
        <w:rPr>
          <w:rFonts w:ascii="Times New Roman" w:hAnsi="Times New Roman" w:cs="Times New Roman" w:eastAsia="Times New Roman" w:hint="default"/>
          <w:spacing w:val="-32"/>
        </w:rPr>
        <w:t> </w:t>
      </w:r>
      <w:r>
        <w:rPr/>
        <w:t>家；全面设计和试运营小件商品的仓储、快递体系，有效支撑线上销售业务的 快速发展和图书、百货、日用品等新品类的拓展。</w:t>
      </w:r>
    </w:p>
    <w:p>
      <w:pPr>
        <w:pStyle w:val="BodyText"/>
        <w:spacing w:line="357" w:lineRule="auto" w:before="55"/>
        <w:ind w:right="1310" w:firstLine="480"/>
        <w:jc w:val="left"/>
      </w:pPr>
      <w:r>
        <w:rPr>
          <w:spacing w:val="-6"/>
        </w:rPr>
        <w:t>营销转型方面，通过运营总部的组建，整合店面零售、市场推广、客户服务等职能，</w:t>
      </w:r>
      <w:r>
        <w:rPr/>
        <w:t> </w:t>
      </w:r>
      <w:r>
        <w:rPr>
          <w:spacing w:val="-3"/>
        </w:rPr>
        <w:t>提升以客户为导向的经营能力；持续强化以商品研究为中心的采购能力，在满足消费者</w:t>
      </w:r>
    </w:p>
    <w:p>
      <w:pPr>
        <w:pStyle w:val="BodyText"/>
        <w:spacing w:line="338" w:lineRule="auto" w:before="36"/>
        <w:ind w:right="1438"/>
        <w:jc w:val="both"/>
      </w:pPr>
      <w:r>
        <w:rPr>
          <w:spacing w:val="2"/>
        </w:rPr>
        <w:t>多样化的商品需求基础上，</w:t>
      </w:r>
      <w:r>
        <w:rPr>
          <w:rFonts w:ascii="Times New Roman" w:hAnsi="Times New Roman" w:cs="Times New Roman" w:eastAsia="Times New Roman" w:hint="default"/>
          <w:spacing w:val="2"/>
        </w:rPr>
        <w:t>OEM</w:t>
      </w:r>
      <w:r>
        <w:rPr>
          <w:spacing w:val="2"/>
        </w:rPr>
        <w:t>、自主品牌的产品销售占比不断提升，产品经营效益</w:t>
      </w:r>
      <w:r>
        <w:rPr>
          <w:spacing w:val="-117"/>
        </w:rPr>
        <w:t> </w:t>
      </w:r>
      <w:r>
        <w:rPr>
          <w:spacing w:val="-117"/>
        </w:rPr>
      </w:r>
      <w:r>
        <w:rPr/>
        <w:t>随之提升。</w:t>
      </w:r>
    </w:p>
    <w:p>
      <w:pPr>
        <w:pStyle w:val="BodyText"/>
        <w:spacing w:line="357" w:lineRule="auto" w:before="56"/>
        <w:ind w:right="1310" w:firstLine="480"/>
        <w:jc w:val="left"/>
      </w:pPr>
      <w:r>
        <w:rPr>
          <w:spacing w:val="-6"/>
        </w:rPr>
        <w:t>苏宁易购逐步实现公司化独立运营，从经营定位、核心能力、运营模式、技术体系、</w:t>
      </w:r>
      <w:r>
        <w:rPr/>
        <w:t> </w:t>
      </w:r>
      <w:r>
        <w:rPr>
          <w:spacing w:val="-3"/>
        </w:rPr>
        <w:t>团队建设等方面已经搭建了清晰的经营框架，形成了明确的发展路径。苏宁易购已成为</w:t>
      </w:r>
      <w:r>
        <w:rPr>
          <w:spacing w:val="-99"/>
        </w:rPr>
        <w:t> </w:t>
      </w:r>
      <w:r>
        <w:rPr>
          <w:spacing w:val="-99"/>
        </w:rPr>
      </w:r>
      <w:r>
        <w:rPr/>
        <w:t>公司未来十年最重要的发展战略之一。</w:t>
      </w:r>
    </w:p>
    <w:p>
      <w:pPr>
        <w:pStyle w:val="BodyText"/>
        <w:spacing w:line="357" w:lineRule="auto" w:before="36"/>
        <w:ind w:right="1328" w:firstLine="480"/>
        <w:jc w:val="left"/>
      </w:pPr>
      <w:r>
        <w:rPr/>
        <w:t>内部管理方面，持续进行信息化投入，依托信息平台，坚持推进制度化、标准化、 </w:t>
      </w:r>
      <w:r>
        <w:rPr>
          <w:spacing w:val="-3"/>
        </w:rPr>
        <w:t>简单化、透明化的“四化”管理理念，强化组织绩效、岗位绩效和人员绩效，提升大企</w:t>
      </w:r>
      <w:r>
        <w:rPr>
          <w:spacing w:val="-102"/>
        </w:rPr>
        <w:t> </w:t>
      </w:r>
      <w:r>
        <w:rPr>
          <w:spacing w:val="-102"/>
        </w:rPr>
      </w:r>
      <w:r>
        <w:rPr/>
        <w:t>业的运作效率。</w:t>
      </w:r>
    </w:p>
    <w:p>
      <w:pPr>
        <w:pStyle w:val="BodyText"/>
        <w:spacing w:line="357" w:lineRule="auto" w:before="36"/>
        <w:ind w:right="1439" w:firstLine="480"/>
        <w:jc w:val="both"/>
      </w:pPr>
      <w:r>
        <w:rPr>
          <w:spacing w:val="-3"/>
        </w:rPr>
        <w:t>我们认为，不论市场形势在短期内有什么样的变化，这不会改变零售业的本质，我</w:t>
      </w:r>
      <w:r>
        <w:rPr/>
        <w:t> </w:t>
      </w:r>
      <w:r>
        <w:rPr>
          <w:spacing w:val="-3"/>
        </w:rPr>
        <w:t>们必须要立足长远，加大投入、加快发展公司的核心竞争能力建设，这才是公司实现长</w:t>
      </w:r>
      <w:r>
        <w:rPr>
          <w:spacing w:val="-102"/>
        </w:rPr>
        <w:t> </w:t>
      </w:r>
      <w:r>
        <w:rPr>
          <w:spacing w:val="-102"/>
        </w:rPr>
      </w:r>
      <w:r>
        <w:rPr/>
        <w:t>期持续发展，投资者获得长期持续回报的正确路径。</w:t>
      </w:r>
    </w:p>
    <w:p>
      <w:pPr>
        <w:pStyle w:val="BodyText"/>
        <w:spacing w:line="338" w:lineRule="auto" w:before="36"/>
        <w:ind w:right="1437" w:firstLine="480"/>
        <w:jc w:val="both"/>
      </w:pPr>
      <w:r>
        <w:rPr/>
        <w:t>报告期内，公司实现营业总收入</w:t>
      </w:r>
      <w:r>
        <w:rPr>
          <w:spacing w:val="-58"/>
        </w:rPr>
        <w:t> </w:t>
      </w:r>
      <w:r>
        <w:rPr>
          <w:rFonts w:ascii="Times New Roman" w:hAnsi="Times New Roman" w:cs="Times New Roman" w:eastAsia="Times New Roman" w:hint="default"/>
        </w:rPr>
        <w:t>938.89</w:t>
      </w:r>
      <w:r>
        <w:rPr>
          <w:rFonts w:ascii="Times New Roman" w:hAnsi="Times New Roman" w:cs="Times New Roman" w:eastAsia="Times New Roman" w:hint="default"/>
          <w:spacing w:val="2"/>
        </w:rPr>
        <w:t> </w:t>
      </w:r>
      <w:r>
        <w:rPr/>
        <w:t>亿元，较上年同期增长</w:t>
      </w:r>
      <w:r>
        <w:rPr>
          <w:spacing w:val="-57"/>
        </w:rPr>
        <w:t> </w:t>
      </w:r>
      <w:r>
        <w:rPr>
          <w:rFonts w:ascii="Times New Roman" w:hAnsi="Times New Roman" w:cs="Times New Roman" w:eastAsia="Times New Roman" w:hint="default"/>
        </w:rPr>
        <w:t>24.35%</w:t>
      </w:r>
      <w:r>
        <w:rPr/>
        <w:t>，营业利润 </w:t>
      </w:r>
      <w:r>
        <w:rPr>
          <w:rFonts w:ascii="Times New Roman" w:hAnsi="Times New Roman" w:cs="Times New Roman" w:eastAsia="Times New Roman" w:hint="default"/>
        </w:rPr>
        <w:t>64.44</w:t>
      </w:r>
      <w:r>
        <w:rPr>
          <w:rFonts w:ascii="Times New Roman" w:hAnsi="Times New Roman" w:cs="Times New Roman" w:eastAsia="Times New Roman" w:hint="default"/>
          <w:spacing w:val="1"/>
        </w:rPr>
        <w:t> </w:t>
      </w:r>
      <w:r>
        <w:rPr/>
        <w:t>亿元，较上年同期增长</w:t>
      </w:r>
      <w:r>
        <w:rPr>
          <w:spacing w:val="-58"/>
        </w:rPr>
        <w:t> </w:t>
      </w:r>
      <w:r>
        <w:rPr>
          <w:rFonts w:ascii="Times New Roman" w:hAnsi="Times New Roman" w:cs="Times New Roman" w:eastAsia="Times New Roman" w:hint="default"/>
        </w:rPr>
        <w:t>18.63%</w:t>
      </w:r>
      <w:r>
        <w:rPr/>
        <w:t>，实现归属于母公司股东的净利润</w:t>
      </w:r>
      <w:r>
        <w:rPr>
          <w:spacing w:val="-58"/>
        </w:rPr>
        <w:t> </w:t>
      </w:r>
      <w:r>
        <w:rPr>
          <w:rFonts w:ascii="Times New Roman" w:hAnsi="Times New Roman" w:cs="Times New Roman" w:eastAsia="Times New Roman" w:hint="default"/>
        </w:rPr>
        <w:t>48.21</w:t>
      </w:r>
      <w:r>
        <w:rPr>
          <w:rFonts w:ascii="Times New Roman" w:hAnsi="Times New Roman" w:cs="Times New Roman" w:eastAsia="Times New Roman" w:hint="default"/>
          <w:spacing w:val="1"/>
        </w:rPr>
        <w:t> </w:t>
      </w:r>
      <w:r>
        <w:rPr/>
        <w:t>亿元，同 比增长</w:t>
      </w:r>
      <w:r>
        <w:rPr>
          <w:spacing w:val="-75"/>
        </w:rPr>
        <w:t> </w:t>
      </w:r>
      <w:r>
        <w:rPr>
          <w:rFonts w:ascii="Times New Roman" w:hAnsi="Times New Roman" w:cs="Times New Roman" w:eastAsia="Times New Roman" w:hint="default"/>
        </w:rPr>
        <w:t>20.16%</w:t>
      </w:r>
      <w:r>
        <w:rPr/>
        <w:t>。总的来看，管理层认为公司增长基本符合预期，长期战略在</w:t>
      </w:r>
      <w:r>
        <w:rPr>
          <w:spacing w:val="-7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年得 到了有力贯彻，为新十年的发展实现了良好的开端。</w:t>
      </w:r>
    </w:p>
    <w:p>
      <w:pPr>
        <w:spacing w:line="240" w:lineRule="auto" w:before="11"/>
        <w:rPr>
          <w:rFonts w:ascii="宋体" w:hAnsi="宋体" w:cs="宋体" w:eastAsia="宋体" w:hint="default"/>
          <w:sz w:val="35"/>
          <w:szCs w:val="35"/>
        </w:rPr>
      </w:pPr>
    </w:p>
    <w:p>
      <w:pPr>
        <w:pStyle w:val="BodyText"/>
        <w:spacing w:line="240" w:lineRule="auto" w:before="0"/>
        <w:ind w:left="620" w:right="1314"/>
        <w:jc w:val="left"/>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年重大事件回顾</w:t>
      </w:r>
    </w:p>
    <w:p>
      <w:pPr>
        <w:pStyle w:val="BodyText"/>
        <w:spacing w:line="240" w:lineRule="auto"/>
        <w:ind w:left="620" w:right="1314"/>
        <w:jc w:val="left"/>
      </w:pPr>
      <w:r>
        <w:rPr>
          <w:rFonts w:ascii="Times New Roman" w:hAnsi="Times New Roman" w:cs="Times New Roman" w:eastAsia="Times New Roman" w:hint="default"/>
        </w:rPr>
        <w:t>1</w:t>
      </w:r>
      <w:r>
        <w:rPr/>
        <w:t>、全面启动新十年发展战略</w:t>
      </w:r>
    </w:p>
    <w:p>
      <w:pPr>
        <w:pStyle w:val="BodyText"/>
        <w:spacing w:line="348" w:lineRule="auto"/>
        <w:ind w:left="286" w:right="1317" w:firstLine="419"/>
        <w:jc w:val="both"/>
      </w:pPr>
      <w:r>
        <w:rPr>
          <w:rFonts w:ascii="Wingdings" w:hAnsi="Wingdings" w:cs="Wingdings" w:eastAsia="Wingdings" w:hint="default"/>
          <w:w w:val="100"/>
        </w:rPr>
        <w:t></w:t>
      </w:r>
      <w:r>
        <w:rPr>
          <w:rFonts w:ascii="Wingdings" w:hAnsi="Wingdings" w:cs="Wingdings" w:eastAsia="Wingdings" w:hint="default"/>
          <w:spacing w:val="-139"/>
          <w:w w:val="100"/>
        </w:rPr>
        <w:t></w:t>
      </w:r>
      <w:r>
        <w:rPr>
          <w:rFonts w:ascii="Times New Roman" w:hAnsi="Times New Roman" w:cs="Times New Roman" w:eastAsia="Times New Roman" w:hint="default"/>
          <w:spacing w:val="-139"/>
          <w:w w:val="100"/>
        </w:rPr>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spacing w:val="-13"/>
        </w:rPr>
        <w:t>月，公司位于南京徐庄软件园内的新总部办公楼（以下称“徐庄总部”）</w:t>
      </w:r>
      <w:r>
        <w:rPr/>
        <w:t> </w:t>
      </w:r>
      <w:r>
        <w:rPr>
          <w:spacing w:val="-4"/>
        </w:rPr>
        <w:t>投入使用，有力地支撑公司开启更为广阔的发展空间，为实现“科技苏宁、智慧苏宁”</w:t>
      </w:r>
      <w:r>
        <w:rPr>
          <w:spacing w:val="-87"/>
        </w:rPr>
        <w:t> </w:t>
      </w:r>
      <w:r>
        <w:rPr>
          <w:spacing w:val="-87"/>
        </w:rPr>
      </w:r>
      <w:r>
        <w:rPr/>
        <w:t>奠定坚实的基础。</w:t>
      </w:r>
    </w:p>
    <w:p>
      <w:pPr>
        <w:pStyle w:val="BodyText"/>
        <w:spacing w:line="352" w:lineRule="auto" w:before="46"/>
        <w:ind w:left="286" w:right="1405" w:firstLine="419"/>
        <w:jc w:val="both"/>
      </w:pPr>
      <w:r>
        <w:rPr>
          <w:rFonts w:ascii="Wingdings" w:hAnsi="Wingdings" w:cs="Wingdings" w:eastAsia="Wingdings" w:hint="default"/>
        </w:rPr>
        <w:t></w:t>
      </w:r>
      <w:r>
        <w:rPr>
          <w:rFonts w:ascii="Wingdings" w:hAnsi="Wingdings" w:cs="Wingdings" w:eastAsia="Wingdings" w:hint="default"/>
          <w:spacing w:val="-146"/>
        </w:rPr>
        <w:t></w:t>
      </w:r>
      <w:r>
        <w:rPr>
          <w:rFonts w:ascii="Times New Roman" w:hAnsi="Times New Roman" w:cs="Times New Roman" w:eastAsia="Times New Roman" w:hint="default"/>
          <w:spacing w:val="-146"/>
        </w:rPr>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月，公司发布</w:t>
      </w:r>
      <w:r>
        <w:rPr>
          <w:spacing w:val="-60"/>
        </w:rPr>
        <w:t> </w:t>
      </w:r>
      <w:r>
        <w:rPr>
          <w:rFonts w:ascii="宋体" w:hAnsi="宋体" w:cs="宋体" w:eastAsia="宋体" w:hint="default"/>
        </w:rPr>
        <w:t>2011-2020</w:t>
      </w:r>
      <w:r>
        <w:rPr>
          <w:rFonts w:ascii="宋体" w:hAnsi="宋体" w:cs="宋体" w:eastAsia="宋体" w:hint="default"/>
          <w:spacing w:val="-60"/>
        </w:rPr>
        <w:t> </w:t>
      </w:r>
      <w:r>
        <w:rPr/>
        <w:t>新十年发展规划，从连锁发展、营销创新、 电子商务、服务升级等方面阐述了未来十年整体发展战略，立志将苏宁打造为一个在 连锁地域、经营规模、科技创新、服务能力等方面都具备全球化竞争力的世界级一流 企业。</w:t>
      </w:r>
    </w:p>
    <w:p>
      <w:pPr>
        <w:pStyle w:val="BodyText"/>
        <w:spacing w:line="240" w:lineRule="auto" w:before="41"/>
        <w:ind w:left="706" w:right="1314"/>
        <w:jc w:val="left"/>
      </w:pPr>
      <w:r>
        <w:rPr>
          <w:rFonts w:ascii="Wingdings" w:hAnsi="Wingdings" w:cs="Wingdings" w:eastAsia="Wingdings" w:hint="default"/>
        </w:rPr>
        <w:t></w:t>
      </w:r>
      <w:r>
        <w:rPr>
          <w:rFonts w:ascii="Wingdings" w:hAnsi="Wingdings" w:cs="Wingdings" w:eastAsia="Wingdings" w:hint="default"/>
          <w:spacing w:val="-122"/>
        </w:rPr>
        <w:t></w:t>
      </w:r>
      <w:r>
        <w:rPr>
          <w:rFonts w:ascii="Times New Roman" w:hAnsi="Times New Roman" w:cs="Times New Roman" w:eastAsia="Times New Roman" w:hint="default"/>
          <w:spacing w:val="-122"/>
        </w:rPr>
      </w:r>
      <w:r>
        <w:rPr/>
        <w:t>为更好的把握市场机遇，实施公司十年发展战略，在考虑未来的资本性支出及</w:t>
      </w:r>
    </w:p>
    <w:p>
      <w:pPr>
        <w:spacing w:after="0" w:line="240" w:lineRule="auto"/>
        <w:jc w:val="left"/>
        <w:sectPr>
          <w:pgSz w:w="11910" w:h="16840"/>
          <w:pgMar w:header="748" w:footer="901" w:top="980" w:bottom="1100" w:left="1300" w:right="0"/>
        </w:sectPr>
      </w:pPr>
    </w:p>
    <w:p>
      <w:pPr>
        <w:spacing w:line="240" w:lineRule="auto" w:before="6"/>
        <w:rPr>
          <w:rFonts w:ascii="宋体" w:hAnsi="宋体" w:cs="宋体" w:eastAsia="宋体" w:hint="default"/>
          <w:sz w:val="29"/>
          <w:szCs w:val="29"/>
        </w:rPr>
      </w:pPr>
    </w:p>
    <w:p>
      <w:pPr>
        <w:pStyle w:val="BodyText"/>
        <w:spacing w:line="357" w:lineRule="auto" w:before="26"/>
        <w:ind w:left="286" w:right="1300"/>
        <w:jc w:val="left"/>
      </w:pPr>
      <w:r>
        <w:rPr/>
        <w:t>流动资金需求，充分分析营运资金状况与盈利能力的同时，</w:t>
      </w: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6</w:t>
      </w:r>
      <w:r>
        <w:rPr>
          <w:rFonts w:ascii="宋体" w:hAnsi="宋体" w:cs="宋体" w:eastAsia="宋体" w:hint="default"/>
          <w:spacing w:val="-68"/>
        </w:rPr>
        <w:t> </w:t>
      </w:r>
      <w:r>
        <w:rPr>
          <w:spacing w:val="-3"/>
        </w:rPr>
        <w:t>月，经董事会审</w:t>
      </w:r>
      <w:r>
        <w:rPr/>
        <w:t> </w:t>
      </w:r>
      <w:r>
        <w:rPr>
          <w:spacing w:val="-7"/>
        </w:rPr>
        <w:t>议通过，公司提出向南京润东投资有限公司（张近东先生之全资子公司）、北京弘毅贰</w:t>
      </w:r>
      <w:r>
        <w:rPr>
          <w:spacing w:val="-91"/>
        </w:rPr>
        <w:t> </w:t>
      </w:r>
      <w:r>
        <w:rPr>
          <w:spacing w:val="-91"/>
        </w:rPr>
      </w:r>
      <w:r>
        <w:rPr/>
        <w:t>零壹零股权投资中心（有限合伙）以及新华人寿保险股份有限公司三名特定投资者发 行人民币普通股（</w:t>
      </w:r>
      <w:r>
        <w:rPr>
          <w:rFonts w:ascii="宋体" w:hAnsi="宋体" w:cs="宋体" w:eastAsia="宋体" w:hint="default"/>
        </w:rPr>
        <w:t>A</w:t>
      </w:r>
      <w:r>
        <w:rPr>
          <w:rFonts w:ascii="宋体" w:hAnsi="宋体" w:cs="宋体" w:eastAsia="宋体" w:hint="default"/>
          <w:spacing w:val="-61"/>
        </w:rPr>
        <w:t> </w:t>
      </w:r>
      <w:r>
        <w:rPr/>
        <w:t>股）</w:t>
      </w:r>
      <w:r>
        <w:rPr>
          <w:rFonts w:ascii="宋体" w:hAnsi="宋体" w:cs="宋体" w:eastAsia="宋体" w:hint="default"/>
        </w:rPr>
        <w:t>447,154,480</w:t>
      </w:r>
      <w:r>
        <w:rPr>
          <w:rFonts w:ascii="宋体" w:hAnsi="宋体" w:cs="宋体" w:eastAsia="宋体" w:hint="default"/>
          <w:spacing w:val="-61"/>
        </w:rPr>
        <w:t> </w:t>
      </w:r>
      <w:r>
        <w:rPr/>
        <w:t>股，募集资金约</w:t>
      </w:r>
      <w:r>
        <w:rPr>
          <w:spacing w:val="-61"/>
        </w:rPr>
        <w:t> </w:t>
      </w:r>
      <w:r>
        <w:rPr>
          <w:rFonts w:ascii="宋体" w:hAnsi="宋体" w:cs="宋体" w:eastAsia="宋体" w:hint="default"/>
        </w:rPr>
        <w:t>55</w:t>
      </w:r>
      <w:r>
        <w:rPr>
          <w:rFonts w:ascii="宋体" w:hAnsi="宋体" w:cs="宋体" w:eastAsia="宋体" w:hint="default"/>
          <w:spacing w:val="-61"/>
        </w:rPr>
        <w:t> </w:t>
      </w:r>
      <w:r>
        <w:rPr/>
        <w:t>亿元，用于加快连锁店面的 </w:t>
      </w:r>
      <w:r>
        <w:rPr>
          <w:spacing w:val="-4"/>
        </w:rPr>
        <w:t>发展，促进物流平台建设，提升信息应用能力，并适度补充流动资金提升供应链效率。</w:t>
      </w:r>
      <w:r>
        <w:rPr>
          <w:spacing w:val="-85"/>
        </w:rPr>
        <w:t> </w:t>
      </w:r>
      <w:r>
        <w:rPr>
          <w:spacing w:val="-85"/>
        </w:rPr>
      </w:r>
      <w:r>
        <w:rPr>
          <w:rFonts w:ascii="宋体" w:hAnsi="宋体" w:cs="宋体" w:eastAsia="宋体" w:hint="default"/>
        </w:rPr>
        <w:t>2011</w:t>
      </w:r>
      <w:r>
        <w:rPr>
          <w:rFonts w:ascii="宋体" w:hAnsi="宋体" w:cs="宋体" w:eastAsia="宋体" w:hint="default"/>
          <w:spacing w:val="-80"/>
        </w:rPr>
        <w:t> </w:t>
      </w:r>
      <w:r>
        <w:rPr/>
        <w:t>年</w:t>
      </w:r>
      <w:r>
        <w:rPr>
          <w:spacing w:val="-79"/>
        </w:rPr>
        <w:t> </w:t>
      </w:r>
      <w:r>
        <w:rPr>
          <w:rFonts w:ascii="宋体" w:hAnsi="宋体" w:cs="宋体" w:eastAsia="宋体" w:hint="default"/>
        </w:rPr>
        <w:t>10</w:t>
      </w:r>
      <w:r>
        <w:rPr>
          <w:rFonts w:ascii="宋体" w:hAnsi="宋体" w:cs="宋体" w:eastAsia="宋体" w:hint="default"/>
          <w:spacing w:val="-79"/>
        </w:rPr>
        <w:t> </w:t>
      </w:r>
      <w:r>
        <w:rPr/>
        <w:t>月，公司本次非公开发行事项已经获得中国证监会发审会审核无条件通过。 截止本报告披露日，公司正在履行相关发行核准程序。</w:t>
      </w:r>
    </w:p>
    <w:p>
      <w:pPr>
        <w:pStyle w:val="BodyText"/>
        <w:spacing w:line="240" w:lineRule="auto" w:before="37"/>
        <w:ind w:left="620" w:right="1314"/>
        <w:jc w:val="left"/>
      </w:pPr>
      <w:r>
        <w:rPr>
          <w:rFonts w:ascii="Times New Roman" w:hAnsi="Times New Roman" w:cs="Times New Roman" w:eastAsia="Times New Roman" w:hint="default"/>
        </w:rPr>
        <w:t>2</w:t>
      </w:r>
      <w:r>
        <w:rPr/>
        <w:t>、升级实体网络平台，巩固国内国际发展成果</w:t>
      </w:r>
    </w:p>
    <w:p>
      <w:pPr>
        <w:pStyle w:val="BodyText"/>
        <w:spacing w:line="338" w:lineRule="auto"/>
        <w:ind w:left="620" w:right="1420"/>
        <w:jc w:val="left"/>
      </w:pPr>
      <w:r>
        <w:rPr/>
        <w:t>（</w:t>
      </w:r>
      <w:r>
        <w:rPr>
          <w:rFonts w:ascii="Times New Roman" w:hAnsi="Times New Roman" w:cs="Times New Roman" w:eastAsia="Times New Roman" w:hint="default"/>
        </w:rPr>
        <w:t>1</w:t>
      </w:r>
      <w:r>
        <w:rPr/>
        <w:t>）推进针对性的连锁发展策略，提高市场占有率 在消费市场以及消费群体进一步细分的基础上，公司已基本形成了“</w:t>
      </w:r>
      <w:r>
        <w:rPr>
          <w:rFonts w:ascii="Times New Roman" w:hAnsi="Times New Roman" w:cs="Times New Roman" w:eastAsia="Times New Roman" w:hint="default"/>
        </w:rPr>
        <w:t>Expo </w:t>
      </w:r>
      <w:r>
        <w:rPr>
          <w:rFonts w:ascii="Times New Roman" w:hAnsi="Times New Roman" w:cs="Times New Roman" w:eastAsia="Times New Roman" w:hint="default"/>
          <w:spacing w:val="2"/>
        </w:rPr>
        <w:t> </w:t>
      </w:r>
      <w:r>
        <w:rPr/>
        <w:t>超级旗</w:t>
      </w:r>
    </w:p>
    <w:p>
      <w:pPr>
        <w:pStyle w:val="BodyText"/>
        <w:spacing w:line="357" w:lineRule="auto" w:before="27"/>
        <w:ind w:right="1438"/>
        <w:jc w:val="both"/>
      </w:pPr>
      <w:r>
        <w:rPr>
          <w:spacing w:val="-26"/>
        </w:rPr>
        <w:t>舰店”、“常规店”、“精品店”、“县镇店”四种店面业态，“苏宁”、“乐购仕”双品牌的</w:t>
      </w:r>
      <w:r>
        <w:rPr>
          <w:spacing w:val="-84"/>
        </w:rPr>
        <w:t> </w:t>
      </w:r>
      <w:r>
        <w:rPr>
          <w:spacing w:val="-84"/>
        </w:rPr>
      </w:r>
      <w:r>
        <w:rPr/>
        <w:t>连锁网络架构，通过有效的组合推广，满足不同市场以及不同消费者的需求。</w:t>
      </w:r>
    </w:p>
    <w:p>
      <w:pPr>
        <w:pStyle w:val="BodyText"/>
        <w:tabs>
          <w:tab w:pos="1040" w:val="left" w:leader="none"/>
        </w:tabs>
        <w:spacing w:line="338" w:lineRule="auto" w:before="36"/>
        <w:ind w:left="620" w:right="1436"/>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Expo</w:t>
      </w:r>
      <w:r>
        <w:rPr>
          <w:rFonts w:ascii="Times New Roman" w:hAnsi="Times New Roman" w:cs="Times New Roman" w:eastAsia="Times New Roman" w:hint="default"/>
          <w:spacing w:val="-2"/>
        </w:rPr>
        <w:t> </w:t>
      </w:r>
      <w:r>
        <w:rPr/>
        <w:t>超级旗舰店加快建设，提升消费者购物体验 报告期内，公司大力推进一二级市场</w:t>
      </w:r>
      <w:r>
        <w:rPr>
          <w:spacing w:val="-60"/>
        </w:rPr>
        <w:t> </w:t>
      </w:r>
      <w:r>
        <w:rPr>
          <w:rFonts w:ascii="Times New Roman" w:hAnsi="Times New Roman" w:cs="Times New Roman" w:eastAsia="Times New Roman" w:hint="default"/>
        </w:rPr>
        <w:t>Expo </w:t>
      </w:r>
      <w:r>
        <w:rPr/>
        <w:t>超级旗舰店的新开和重装升级工作，树</w:t>
      </w:r>
    </w:p>
    <w:p>
      <w:pPr>
        <w:pStyle w:val="BodyText"/>
        <w:spacing w:line="338" w:lineRule="auto" w:before="27"/>
        <w:ind w:right="1433"/>
        <w:jc w:val="both"/>
      </w:pPr>
      <w:r>
        <w:rPr/>
        <w:t>立超级旗舰店全新形象。报告期内，公司新开</w:t>
      </w:r>
      <w:r>
        <w:rPr>
          <w:spacing w:val="-52"/>
        </w:rPr>
        <w:t> </w:t>
      </w:r>
      <w:r>
        <w:rPr>
          <w:rFonts w:ascii="Times New Roman" w:hAnsi="Times New Roman" w:cs="Times New Roman" w:eastAsia="Times New Roman" w:hint="default"/>
        </w:rPr>
        <w:t>Expo</w:t>
      </w:r>
      <w:r>
        <w:rPr>
          <w:rFonts w:ascii="Times New Roman" w:hAnsi="Times New Roman" w:cs="Times New Roman" w:eastAsia="Times New Roman" w:hint="default"/>
          <w:spacing w:val="7"/>
        </w:rPr>
        <w:t> </w:t>
      </w:r>
      <w:r>
        <w:rPr/>
        <w:t>超级旗舰店</w:t>
      </w:r>
      <w:r>
        <w:rPr>
          <w:spacing w:val="-53"/>
        </w:rPr>
        <w:t> </w:t>
      </w:r>
      <w:r>
        <w:rPr>
          <w:rFonts w:ascii="Times New Roman" w:hAnsi="Times New Roman" w:cs="Times New Roman" w:eastAsia="Times New Roman" w:hint="default"/>
        </w:rPr>
        <w:t>66</w:t>
      </w:r>
      <w:r>
        <w:rPr>
          <w:rFonts w:ascii="Times New Roman" w:hAnsi="Times New Roman" w:cs="Times New Roman" w:eastAsia="Times New Roman" w:hint="default"/>
          <w:spacing w:val="5"/>
        </w:rPr>
        <w:t> </w:t>
      </w:r>
      <w:r>
        <w:rPr/>
        <w:t>家，升级改造</w:t>
      </w:r>
      <w:r>
        <w:rPr>
          <w:spacing w:val="-53"/>
        </w:rPr>
        <w:t> </w:t>
      </w:r>
      <w:r>
        <w:rPr>
          <w:rFonts w:ascii="Times New Roman" w:hAnsi="Times New Roman" w:cs="Times New Roman" w:eastAsia="Times New Roman" w:hint="default"/>
        </w:rPr>
        <w:t>Expo </w:t>
      </w:r>
      <w:r>
        <w:rPr/>
        <w:t>超级旗舰店 </w:t>
      </w:r>
      <w:r>
        <w:rPr>
          <w:rFonts w:ascii="Times New Roman" w:hAnsi="Times New Roman" w:cs="Times New Roman" w:eastAsia="Times New Roman" w:hint="default"/>
        </w:rPr>
        <w:t>31</w:t>
      </w:r>
      <w:r>
        <w:rPr>
          <w:rFonts w:ascii="Times New Roman" w:hAnsi="Times New Roman" w:cs="Times New Roman" w:eastAsia="Times New Roman" w:hint="default"/>
          <w:spacing w:val="-32"/>
        </w:rPr>
        <w:t> </w:t>
      </w:r>
      <w:r>
        <w:rPr/>
        <w:t>家，推动店面商品品类拓展和产品陈列展示的革新，极大提高了消费者 购物体验，有力地支撑了公司连锁网络平台持续竞争能力的建设。</w:t>
      </w:r>
    </w:p>
    <w:p>
      <w:pPr>
        <w:pStyle w:val="BodyText"/>
        <w:tabs>
          <w:tab w:pos="1040" w:val="left" w:leader="none"/>
        </w:tabs>
        <w:spacing w:line="338" w:lineRule="auto" w:before="55"/>
        <w:ind w:left="620" w:right="1317"/>
        <w:jc w:val="left"/>
      </w:pPr>
      <w:r>
        <w:rPr>
          <w:rFonts w:ascii="Wingdings" w:hAnsi="Wingdings" w:cs="Wingdings" w:eastAsia="Wingdings" w:hint="default"/>
        </w:rPr>
        <w:t></w:t>
      </w:r>
      <w:r>
        <w:rPr>
          <w:rFonts w:ascii="Times New Roman" w:hAnsi="Times New Roman" w:cs="Times New Roman" w:eastAsia="Times New Roman" w:hint="default"/>
        </w:rPr>
        <w:tab/>
      </w:r>
      <w:r>
        <w:rPr/>
        <w:t>精品店有效展开精准营销，锁定特定消费群体 </w:t>
      </w:r>
      <w:r>
        <w:rPr>
          <w:spacing w:val="-5"/>
        </w:rPr>
        <w:t>公司通过在北京、上海、深圳等城市核心购物中心开设“</w:t>
      </w:r>
      <w:r>
        <w:rPr>
          <w:rFonts w:ascii="Times New Roman" w:hAnsi="Times New Roman" w:cs="Times New Roman" w:eastAsia="Times New Roman" w:hint="default"/>
          <w:spacing w:val="-5"/>
        </w:rPr>
        <w:t>SUNING</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5"/>
        </w:rPr>
        <w:t>ELITE</w:t>
      </w:r>
      <w:r>
        <w:rPr>
          <w:spacing w:val="-5"/>
        </w:rPr>
        <w:t>”精品店，</w:t>
      </w:r>
    </w:p>
    <w:p>
      <w:pPr>
        <w:pStyle w:val="BodyText"/>
        <w:spacing w:line="357" w:lineRule="auto" w:before="27"/>
        <w:ind w:right="1316"/>
        <w:jc w:val="both"/>
      </w:pPr>
      <w:r>
        <w:rPr>
          <w:spacing w:val="-3"/>
        </w:rPr>
        <w:t>总结巩固了精品店在商品臻选、陈列方式、自营销售、服务创新等方面的经验，并将这</w:t>
      </w:r>
      <w:r>
        <w:rPr>
          <w:spacing w:val="-97"/>
        </w:rPr>
        <w:t> </w:t>
      </w:r>
      <w:r>
        <w:rPr>
          <w:spacing w:val="-97"/>
        </w:rPr>
      </w:r>
      <w:r>
        <w:rPr>
          <w:spacing w:val="-3"/>
        </w:rPr>
        <w:t>一模式推广至沈阳、济南、武汉等次发达城市的核心商圈，进一步吸收中高收入人群对</w:t>
      </w:r>
      <w:r>
        <w:rPr>
          <w:spacing w:val="-102"/>
        </w:rPr>
        <w:t> </w:t>
      </w:r>
      <w:r>
        <w:rPr>
          <w:spacing w:val="-102"/>
        </w:rPr>
      </w:r>
      <w:r>
        <w:rPr>
          <w:spacing w:val="-6"/>
        </w:rPr>
        <w:t>差异化产品的购买力。同时公司还以精品店为发展平台，持续探索和推动自主营销模式。</w:t>
      </w:r>
    </w:p>
    <w:p>
      <w:pPr>
        <w:pStyle w:val="BodyText"/>
        <w:tabs>
          <w:tab w:pos="1040" w:val="left" w:leader="none"/>
        </w:tabs>
        <w:spacing w:line="338" w:lineRule="auto" w:before="36"/>
        <w:ind w:left="620" w:right="1439"/>
        <w:jc w:val="left"/>
      </w:pPr>
      <w:r>
        <w:rPr>
          <w:rFonts w:ascii="Wingdings" w:hAnsi="Wingdings" w:cs="Wingdings" w:eastAsia="Wingdings" w:hint="default"/>
        </w:rPr>
        <w:t></w:t>
      </w:r>
      <w:r>
        <w:rPr>
          <w:rFonts w:ascii="Times New Roman" w:hAnsi="Times New Roman" w:cs="Times New Roman" w:eastAsia="Times New Roman" w:hint="default"/>
        </w:rPr>
        <w:tab/>
      </w:r>
      <w:r>
        <w:rPr/>
        <w:t>常规店、县镇店开发进一步完善连锁网络布局 </w:t>
      </w:r>
      <w:r>
        <w:rPr>
          <w:spacing w:val="-3"/>
        </w:rPr>
        <w:t>报告期内，公司在进一步完善一二级空白市场的同时，结合区域特点、运营管理能</w:t>
      </w:r>
    </w:p>
    <w:p>
      <w:pPr>
        <w:pStyle w:val="BodyText"/>
        <w:spacing w:line="357" w:lineRule="auto" w:before="55"/>
        <w:ind w:right="1318"/>
        <w:jc w:val="both"/>
      </w:pPr>
      <w:r>
        <w:rPr>
          <w:spacing w:val="-3"/>
        </w:rPr>
        <w:t>力等综合考量，加快三、四级市场常规店以及县镇店的开发，有效提升三、四级市场连</w:t>
      </w:r>
      <w:r>
        <w:rPr>
          <w:spacing w:val="-97"/>
        </w:rPr>
        <w:t> </w:t>
      </w:r>
      <w:r>
        <w:rPr>
          <w:spacing w:val="-97"/>
        </w:rPr>
      </w:r>
      <w:r>
        <w:rPr>
          <w:spacing w:val="-6"/>
        </w:rPr>
        <w:t>锁店占比。报告期末，三四级市场连锁店数量占比较上年同期提升</w:t>
      </w:r>
      <w:r>
        <w:rPr>
          <w:spacing w:val="-56"/>
        </w:rPr>
        <w:t> </w:t>
      </w:r>
      <w:r>
        <w:rPr>
          <w:rFonts w:ascii="Times New Roman" w:hAnsi="Times New Roman" w:cs="Times New Roman" w:eastAsia="Times New Roman" w:hint="default"/>
          <w:spacing w:val="-11"/>
        </w:rPr>
        <w:t>5.48%</w:t>
      </w:r>
      <w:r>
        <w:rPr>
          <w:spacing w:val="-11"/>
        </w:rPr>
        <w:t>，达到</w:t>
      </w:r>
      <w:r>
        <w:rPr>
          <w:spacing w:val="-56"/>
        </w:rPr>
        <w:t> </w:t>
      </w:r>
      <w:r>
        <w:rPr>
          <w:rFonts w:ascii="Times New Roman" w:hAnsi="Times New Roman" w:cs="Times New Roman" w:eastAsia="Times New Roman" w:hint="default"/>
        </w:rPr>
        <w:t>36.52%</w:t>
      </w:r>
      <w:r>
        <w:rPr/>
        <w:t>。</w:t>
      </w:r>
    </w:p>
    <w:p>
      <w:pPr>
        <w:pStyle w:val="BodyText"/>
        <w:tabs>
          <w:tab w:pos="1040" w:val="left" w:leader="none"/>
        </w:tabs>
        <w:spacing w:line="240" w:lineRule="auto" w:before="5"/>
        <w:ind w:left="620" w:right="1314"/>
        <w:jc w:val="left"/>
      </w:pPr>
      <w:r>
        <w:rPr>
          <w:rFonts w:ascii="Wingdings" w:hAnsi="Wingdings" w:cs="Wingdings" w:eastAsia="Wingdings" w:hint="default"/>
        </w:rPr>
        <w:t></w:t>
      </w:r>
      <w:r>
        <w:rPr>
          <w:rFonts w:ascii="Times New Roman" w:hAnsi="Times New Roman" w:cs="Times New Roman" w:eastAsia="Times New Roman" w:hint="default"/>
        </w:rPr>
        <w:tab/>
      </w:r>
      <w:r>
        <w:rPr/>
        <w:t>双品牌运作实现突破，开拓连锁发展新格局</w:t>
      </w:r>
    </w:p>
    <w:p>
      <w:pPr>
        <w:pStyle w:val="BodyText"/>
        <w:spacing w:line="357" w:lineRule="auto" w:before="137"/>
        <w:ind w:right="1316" w:firstLine="480"/>
        <w:jc w:val="both"/>
      </w:pPr>
      <w:r>
        <w:rPr/>
        <w:t>控股日本</w:t>
      </w:r>
      <w:r>
        <w:rPr>
          <w:spacing w:val="-57"/>
        </w:rPr>
        <w:t> </w:t>
      </w:r>
      <w:r>
        <w:rPr>
          <w:rFonts w:ascii="宋体" w:hAnsi="宋体" w:cs="宋体" w:eastAsia="宋体" w:hint="default"/>
        </w:rPr>
        <w:t>LAOX</w:t>
      </w:r>
      <w:r>
        <w:rPr>
          <w:rFonts w:ascii="宋体" w:hAnsi="宋体" w:cs="宋体" w:eastAsia="宋体" w:hint="default"/>
          <w:spacing w:val="-56"/>
        </w:rPr>
        <w:t> </w:t>
      </w:r>
      <w:r>
        <w:rPr>
          <w:spacing w:val="-10"/>
        </w:rPr>
        <w:t>后，公司将</w:t>
      </w:r>
      <w:r>
        <w:rPr>
          <w:spacing w:val="-56"/>
        </w:rPr>
        <w:t> </w:t>
      </w:r>
      <w:r>
        <w:rPr>
          <w:rFonts w:ascii="宋体" w:hAnsi="宋体" w:cs="宋体" w:eastAsia="宋体" w:hint="default"/>
        </w:rPr>
        <w:t>LAOX</w:t>
      </w:r>
      <w:r>
        <w:rPr>
          <w:rFonts w:ascii="宋体" w:hAnsi="宋体" w:cs="宋体" w:eastAsia="宋体" w:hint="default"/>
          <w:spacing w:val="-56"/>
        </w:rPr>
        <w:t> </w:t>
      </w:r>
      <w:r>
        <w:rPr>
          <w:spacing w:val="-3"/>
        </w:rPr>
        <w:t>品牌引入中国市场，开设日本风格的乐购仕生活广</w:t>
      </w:r>
      <w:r>
        <w:rPr/>
        <w:t> </w:t>
      </w:r>
      <w:r>
        <w:rPr>
          <w:spacing w:val="-2"/>
        </w:rPr>
        <w:t>场（</w:t>
      </w:r>
      <w:r>
        <w:rPr>
          <w:rFonts w:ascii="宋体" w:hAnsi="宋体" w:cs="宋体" w:eastAsia="宋体" w:hint="default"/>
          <w:spacing w:val="-2"/>
        </w:rPr>
        <w:t>LAOX</w:t>
      </w:r>
      <w:r>
        <w:rPr>
          <w:rFonts w:ascii="宋体" w:hAnsi="宋体" w:cs="宋体" w:eastAsia="宋体" w:hint="default"/>
          <w:spacing w:val="-59"/>
        </w:rPr>
        <w:t> </w:t>
      </w:r>
      <w:r>
        <w:rPr>
          <w:rFonts w:ascii="宋体" w:hAnsi="宋体" w:cs="宋体" w:eastAsia="宋体" w:hint="default"/>
          <w:spacing w:val="-4"/>
        </w:rPr>
        <w:t>LIFE</w:t>
      </w:r>
      <w:r>
        <w:rPr>
          <w:spacing w:val="-4"/>
        </w:rPr>
        <w:t>），通过全新的商业设计、商品规划与组合以及优质的客户服务，为消费</w:t>
      </w:r>
      <w:r>
        <w:rPr>
          <w:spacing w:val="-118"/>
        </w:rPr>
        <w:t> </w:t>
      </w:r>
      <w:r>
        <w:rPr>
          <w:spacing w:val="-118"/>
        </w:rPr>
      </w:r>
      <w:r>
        <w:rPr>
          <w:spacing w:val="-6"/>
        </w:rPr>
        <w:t>者打造一站式家庭购物中心，并与“苏宁电器”实现双品牌运作，开拓连锁发展新格局。</w:t>
      </w:r>
    </w:p>
    <w:p>
      <w:pPr>
        <w:spacing w:after="0" w:line="357" w:lineRule="auto"/>
        <w:jc w:val="both"/>
        <w:sectPr>
          <w:footerReference w:type="default" r:id="rId24"/>
          <w:pgSz w:w="11910" w:h="16840"/>
          <w:pgMar w:footer="1117" w:header="748" w:top="980" w:bottom="1300" w:left="1300" w:right="0"/>
          <w:pgNumType w:start="33"/>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京、上海等发达城市的店面选址开发工作也在同步展开。</w:t>
      </w:r>
    </w:p>
    <w:p>
      <w:pPr>
        <w:pStyle w:val="BodyText"/>
        <w:spacing w:line="338" w:lineRule="auto" w:before="154"/>
        <w:ind w:left="620" w:right="1436"/>
        <w:jc w:val="left"/>
      </w:pPr>
      <w:r>
        <w:rPr/>
        <w:t>（</w:t>
      </w:r>
      <w:r>
        <w:rPr>
          <w:rFonts w:ascii="Times New Roman" w:hAnsi="Times New Roman" w:cs="Times New Roman" w:eastAsia="Times New Roman" w:hint="default"/>
        </w:rPr>
        <w:t>2</w:t>
      </w:r>
      <w:r>
        <w:rPr/>
        <w:t>）完善自建店开发标准，逐步形成自建店规模化开发能力 </w:t>
      </w:r>
      <w:r>
        <w:rPr>
          <w:spacing w:val="-3"/>
        </w:rPr>
        <w:t>报告期内公司还从自建店规划、开发、业态组合、装潢、商品规划等方面进行了明</w:t>
      </w:r>
    </w:p>
    <w:p>
      <w:pPr>
        <w:pStyle w:val="BodyText"/>
        <w:spacing w:line="357" w:lineRule="auto" w:before="55"/>
        <w:ind w:right="1437"/>
        <w:jc w:val="both"/>
      </w:pPr>
      <w:r>
        <w:rPr>
          <w:spacing w:val="-3"/>
        </w:rPr>
        <w:t>确，对自建店开发速度以及开发质量均形成了明确的指导标准，公司逐步形成了批量开</w:t>
      </w:r>
      <w:r>
        <w:rPr>
          <w:spacing w:val="-98"/>
        </w:rPr>
        <w:t> </w:t>
      </w:r>
      <w:r>
        <w:rPr>
          <w:spacing w:val="-98"/>
        </w:rPr>
      </w:r>
      <w:r>
        <w:rPr>
          <w:spacing w:val="-3"/>
        </w:rPr>
        <w:t>发的能力。随着公司进一步加强与地产开发商的合作，通过实施定制开发等方式，自建</w:t>
      </w:r>
      <w:r>
        <w:rPr>
          <w:spacing w:val="-102"/>
        </w:rPr>
        <w:t> </w:t>
      </w:r>
      <w:r>
        <w:rPr>
          <w:spacing w:val="-102"/>
        </w:rPr>
      </w:r>
      <w:r>
        <w:rPr/>
        <w:t>店模式将得到快速复制推广。</w:t>
      </w:r>
    </w:p>
    <w:p>
      <w:pPr>
        <w:pStyle w:val="BodyText"/>
        <w:spacing w:line="240" w:lineRule="auto" w:before="36"/>
        <w:ind w:left="740" w:right="1314"/>
        <w:jc w:val="left"/>
      </w:pPr>
      <w:r>
        <w:rPr/>
        <w:t>（</w:t>
      </w:r>
      <w:r>
        <w:rPr>
          <w:rFonts w:ascii="Times New Roman" w:hAnsi="Times New Roman" w:cs="Times New Roman" w:eastAsia="Times New Roman" w:hint="default"/>
        </w:rPr>
        <w:t>3</w:t>
      </w:r>
      <w:r>
        <w:rPr/>
        <w:t>）控股日本</w:t>
      </w:r>
      <w:r>
        <w:rPr>
          <w:spacing w:val="-61"/>
        </w:rPr>
        <w:t> </w:t>
      </w:r>
      <w:r>
        <w:rPr>
          <w:rFonts w:ascii="Times New Roman" w:hAnsi="Times New Roman" w:cs="Times New Roman" w:eastAsia="Times New Roman" w:hint="default"/>
        </w:rPr>
        <w:t>LAOX</w:t>
      </w:r>
      <w:r>
        <w:rPr/>
        <w:t>，巩固海外发展平台</w:t>
      </w:r>
    </w:p>
    <w:p>
      <w:pPr>
        <w:pStyle w:val="BodyText"/>
        <w:spacing w:line="338" w:lineRule="auto" w:before="136"/>
        <w:ind w:right="1346" w:firstLine="480"/>
        <w:jc w:val="both"/>
      </w:pPr>
      <w:r>
        <w:rPr>
          <w:rFonts w:ascii="Times New Roman" w:hAnsi="Times New Roman" w:cs="Times New Roman" w:eastAsia="Times New Roman" w:hint="default"/>
        </w:rPr>
        <w:t>6 </w:t>
      </w:r>
      <w:r>
        <w:rPr/>
        <w:t>月 </w:t>
      </w:r>
      <w:r>
        <w:rPr>
          <w:rFonts w:ascii="Times New Roman" w:hAnsi="Times New Roman" w:cs="Times New Roman" w:eastAsia="Times New Roman" w:hint="default"/>
        </w:rPr>
        <w:t>28 </w:t>
      </w:r>
      <w:r>
        <w:rPr>
          <w:spacing w:val="3"/>
        </w:rPr>
        <w:t>日，公司宣布通过境外子公司 </w:t>
      </w:r>
      <w:r>
        <w:rPr>
          <w:rFonts w:ascii="Times New Roman" w:hAnsi="Times New Roman" w:cs="Times New Roman" w:eastAsia="Times New Roman" w:hint="default"/>
        </w:rPr>
        <w:t>GRANDA MAGIC</w:t>
      </w:r>
      <w:r>
        <w:rPr>
          <w:rFonts w:ascii="Times New Roman" w:hAnsi="Times New Roman" w:cs="Times New Roman" w:eastAsia="Times New Roman" w:hint="default"/>
          <w:spacing w:val="34"/>
        </w:rPr>
        <w:t> </w:t>
      </w:r>
      <w:r>
        <w:rPr>
          <w:rFonts w:ascii="Times New Roman" w:hAnsi="Times New Roman" w:cs="Times New Roman" w:eastAsia="Times New Roman" w:hint="default"/>
        </w:rPr>
        <w:t>LIMITED</w:t>
      </w:r>
      <w:r>
        <w:rPr/>
        <w:t>（以下简称</w:t>
      </w:r>
      <w:r>
        <w:rPr>
          <w:spacing w:val="4"/>
        </w:rPr>
        <w:t> </w:t>
      </w:r>
      <w:r>
        <w:rPr>
          <w:spacing w:val="-12"/>
          <w:w w:val="99"/>
        </w:rPr>
        <w:t>“</w:t>
      </w:r>
      <w:r>
        <w:rPr>
          <w:rFonts w:ascii="Times New Roman" w:hAnsi="Times New Roman" w:cs="Times New Roman" w:eastAsia="Times New Roman" w:hint="default"/>
          <w:spacing w:val="-12"/>
          <w:w w:val="99"/>
        </w:rPr>
        <w:t>MAGIC</w:t>
      </w:r>
      <w:r>
        <w:rPr>
          <w:spacing w:val="-12"/>
          <w:w w:val="99"/>
        </w:rPr>
        <w:t>”）认购日本</w:t>
      </w:r>
      <w:r>
        <w:rPr>
          <w:spacing w:val="-54"/>
          <w:w w:val="99"/>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1"/>
          <w:w w:val="99"/>
        </w:rPr>
        <w:t> </w:t>
      </w:r>
      <w:r>
        <w:rPr>
          <w:spacing w:val="-9"/>
          <w:w w:val="99"/>
        </w:rPr>
        <w:t>株式会社（以下简称“</w:t>
      </w:r>
      <w:r>
        <w:rPr>
          <w:rFonts w:ascii="Times New Roman" w:hAnsi="Times New Roman" w:cs="Times New Roman" w:eastAsia="Times New Roman" w:hint="default"/>
          <w:spacing w:val="-9"/>
          <w:w w:val="99"/>
        </w:rPr>
        <w:t>LAOX</w:t>
      </w:r>
      <w:r>
        <w:rPr>
          <w:spacing w:val="-9"/>
          <w:w w:val="99"/>
        </w:rPr>
        <w:t>”）新发行的</w:t>
      </w:r>
      <w:r>
        <w:rPr>
          <w:spacing w:val="-57"/>
          <w:w w:val="99"/>
        </w:rPr>
        <w:t> </w:t>
      </w:r>
      <w:r>
        <w:rPr>
          <w:rFonts w:ascii="Times New Roman" w:hAnsi="Times New Roman" w:cs="Times New Roman" w:eastAsia="Times New Roman" w:hint="default"/>
        </w:rPr>
        <w:t>179,235,000</w:t>
      </w:r>
      <w:r>
        <w:rPr>
          <w:rFonts w:ascii="Times New Roman" w:hAnsi="Times New Roman" w:cs="Times New Roman" w:eastAsia="Times New Roman" w:hint="default"/>
          <w:spacing w:val="3"/>
        </w:rPr>
        <w:t> </w:t>
      </w:r>
      <w:r>
        <w:rPr/>
        <w:t>股</w:t>
      </w:r>
      <w:r>
        <w:rPr>
          <w:spacing w:val="-115"/>
        </w:rPr>
        <w:t> </w:t>
      </w:r>
      <w:r>
        <w:rPr>
          <w:spacing w:val="-16"/>
          <w:w w:val="99"/>
        </w:rPr>
        <w:t>股份。交易完成后，</w:t>
      </w:r>
      <w:r>
        <w:rPr>
          <w:rFonts w:ascii="Times New Roman" w:hAnsi="Times New Roman" w:cs="Times New Roman" w:eastAsia="Times New Roman" w:hint="default"/>
          <w:spacing w:val="-16"/>
          <w:w w:val="99"/>
        </w:rPr>
        <w:t>MAGIC</w:t>
      </w:r>
      <w:r>
        <w:rPr>
          <w:rFonts w:ascii="Times New Roman" w:hAnsi="Times New Roman" w:cs="Times New Roman" w:eastAsia="Times New Roman" w:hint="default"/>
          <w:spacing w:val="2"/>
          <w:w w:val="99"/>
        </w:rPr>
        <w:t> </w:t>
      </w:r>
      <w:r>
        <w:rPr>
          <w:w w:val="99"/>
        </w:rPr>
        <w:t>已持有</w:t>
      </w:r>
      <w:r>
        <w:rPr>
          <w:spacing w:val="-57"/>
          <w:w w:val="99"/>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w w:val="99"/>
        </w:rPr>
        <w:t> </w:t>
      </w:r>
      <w:r>
        <w:rPr/>
        <w:t>发行在外</w:t>
      </w:r>
      <w:r>
        <w:rPr>
          <w:spacing w:val="-59"/>
        </w:rPr>
        <w:t> </w:t>
      </w:r>
      <w:r>
        <w:rPr>
          <w:rFonts w:ascii="Times New Roman" w:hAnsi="Times New Roman" w:cs="Times New Roman" w:eastAsia="Times New Roman" w:hint="default"/>
          <w:spacing w:val="-8"/>
        </w:rPr>
        <w:t>51%</w:t>
      </w:r>
      <w:r>
        <w:rPr>
          <w:spacing w:val="-8"/>
        </w:rPr>
        <w:t>的普通股股权，实现了对</w:t>
      </w:r>
      <w:r>
        <w:rPr>
          <w:spacing w:val="-56"/>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58"/>
          <w:w w:val="99"/>
        </w:rPr>
        <w:t> </w:t>
      </w:r>
      <w:r>
        <w:rPr>
          <w:rFonts w:ascii="Times New Roman" w:hAnsi="Times New Roman" w:cs="Times New Roman" w:eastAsia="Times New Roman" w:hint="default"/>
          <w:spacing w:val="-58"/>
          <w:w w:val="99"/>
        </w:rPr>
      </w:r>
      <w:r>
        <w:rPr>
          <w:spacing w:val="-3"/>
        </w:rPr>
        <w:t>公司的绝对控股。随着自身经营能力、管理能力、人才培养能力的提升等，</w:t>
      </w:r>
      <w:r>
        <w:rPr>
          <w:rFonts w:ascii="Times New Roman" w:hAnsi="Times New Roman" w:cs="Times New Roman" w:eastAsia="Times New Roman" w:hint="default"/>
          <w:spacing w:val="-3"/>
        </w:rPr>
        <w:t>LAOX </w:t>
      </w:r>
      <w:r>
        <w:rPr/>
        <w:t>将协</w:t>
      </w:r>
      <w:r>
        <w:rPr>
          <w:spacing w:val="-105"/>
        </w:rPr>
        <w:t> </w:t>
      </w:r>
      <w:r>
        <w:rPr/>
        <w:t>同香港镭射，为支撑公司开拓海外业务，推进全球化发展战略，搭建稳固的发展平台。</w:t>
      </w:r>
    </w:p>
    <w:p>
      <w:pPr>
        <w:pStyle w:val="BodyText"/>
        <w:spacing w:line="240" w:lineRule="auto" w:before="55"/>
        <w:ind w:left="620" w:right="1314"/>
        <w:jc w:val="left"/>
      </w:pPr>
      <w:r>
        <w:rPr>
          <w:rFonts w:ascii="Times New Roman" w:hAnsi="Times New Roman" w:cs="Times New Roman" w:eastAsia="Times New Roman" w:hint="default"/>
        </w:rPr>
        <w:t>3</w:t>
      </w:r>
      <w:r>
        <w:rPr/>
        <w:t>、推进组织变革与营销创新</w:t>
      </w:r>
    </w:p>
    <w:p>
      <w:pPr>
        <w:pStyle w:val="BodyText"/>
        <w:spacing w:line="338" w:lineRule="auto"/>
        <w:ind w:left="620" w:right="1328"/>
        <w:jc w:val="left"/>
      </w:pPr>
      <w:r>
        <w:rPr/>
        <w:t>（</w:t>
      </w:r>
      <w:r>
        <w:rPr>
          <w:rFonts w:ascii="Times New Roman" w:hAnsi="Times New Roman" w:cs="Times New Roman" w:eastAsia="Times New Roman" w:hint="default"/>
        </w:rPr>
        <w:t>1</w:t>
      </w:r>
      <w:r>
        <w:rPr/>
        <w:t>）成立大运营体系，全面提升销售、服务能力 公司运营总部成立后，着手加强对终端销售队伍销售能力和服务技巧提升的培训，</w:t>
      </w:r>
    </w:p>
    <w:p>
      <w:pPr>
        <w:pStyle w:val="BodyText"/>
        <w:spacing w:line="240" w:lineRule="auto" w:before="55"/>
        <w:ind w:right="0"/>
        <w:jc w:val="both"/>
      </w:pPr>
      <w:r>
        <w:rPr/>
        <w:t>深入市场和消费者需求的研究，终端销售能力和客户服务质量提升取得一定成效。</w:t>
      </w:r>
    </w:p>
    <w:p>
      <w:pPr>
        <w:pStyle w:val="BodyText"/>
        <w:tabs>
          <w:tab w:pos="980" w:val="left" w:leader="none"/>
        </w:tabs>
        <w:spacing w:line="240" w:lineRule="auto" w:before="154"/>
        <w:ind w:left="565" w:right="1314"/>
        <w:jc w:val="left"/>
      </w:pPr>
      <w:r>
        <w:rPr>
          <w:rFonts w:ascii="Wingdings" w:hAnsi="Wingdings" w:cs="Wingdings" w:eastAsia="Wingdings" w:hint="default"/>
        </w:rPr>
        <w:t></w:t>
      </w:r>
      <w:r>
        <w:rPr>
          <w:rFonts w:ascii="Times New Roman" w:hAnsi="Times New Roman" w:cs="Times New Roman" w:eastAsia="Times New Roman" w:hint="default"/>
        </w:rPr>
        <w:tab/>
      </w:r>
      <w:r>
        <w:rPr/>
        <w:t>强化店面培训，增强终端销售能力</w:t>
      </w:r>
    </w:p>
    <w:p>
      <w:pPr>
        <w:pStyle w:val="BodyText"/>
        <w:spacing w:line="240" w:lineRule="auto" w:before="137"/>
        <w:ind w:left="620" w:right="1314"/>
        <w:jc w:val="left"/>
      </w:pPr>
      <w:r>
        <w:rPr>
          <w:rFonts w:ascii="宋体" w:hAnsi="宋体" w:cs="宋体" w:eastAsia="宋体" w:hint="default"/>
        </w:rPr>
        <w:t>2011</w:t>
      </w:r>
      <w:r>
        <w:rPr>
          <w:rFonts w:ascii="宋体" w:hAnsi="宋体" w:cs="宋体" w:eastAsia="宋体" w:hint="default"/>
          <w:spacing w:val="-32"/>
        </w:rPr>
        <w:t> </w:t>
      </w:r>
      <w:r>
        <w:rPr/>
        <w:t>年</w:t>
      </w:r>
      <w:r>
        <w:rPr>
          <w:spacing w:val="-32"/>
        </w:rPr>
        <w:t> </w:t>
      </w:r>
      <w:r>
        <w:rPr>
          <w:rFonts w:ascii="宋体" w:hAnsi="宋体" w:cs="宋体" w:eastAsia="宋体" w:hint="default"/>
        </w:rPr>
        <w:t>10</w:t>
      </w:r>
      <w:r>
        <w:rPr>
          <w:rFonts w:ascii="宋体" w:hAnsi="宋体" w:cs="宋体" w:eastAsia="宋体" w:hint="default"/>
          <w:spacing w:val="-32"/>
        </w:rPr>
        <w:t> </w:t>
      </w:r>
      <w:r>
        <w:rPr/>
        <w:t>月，公司</w:t>
      </w:r>
      <w:r>
        <w:rPr>
          <w:spacing w:val="2"/>
        </w:rPr>
        <w:t>率</w:t>
      </w:r>
      <w:r>
        <w:rPr/>
        <w:t>先在家电零售行业成立首个“店</w:t>
      </w:r>
      <w:r>
        <w:rPr>
          <w:spacing w:val="1"/>
        </w:rPr>
        <w:t>长</w:t>
      </w:r>
      <w:r>
        <w:rPr/>
        <w:t>学院</w:t>
      </w:r>
      <w:r>
        <w:rPr>
          <w:spacing w:val="-120"/>
        </w:rPr>
        <w:t>”</w:t>
      </w:r>
      <w:r>
        <w:rPr/>
        <w:t>，培养各业态店长</w:t>
      </w:r>
    </w:p>
    <w:p>
      <w:pPr>
        <w:pStyle w:val="BodyText"/>
        <w:spacing w:line="357" w:lineRule="auto" w:before="154"/>
        <w:ind w:right="1436"/>
        <w:jc w:val="both"/>
      </w:pPr>
      <w:r>
        <w:rPr>
          <w:rFonts w:ascii="宋体" w:hAnsi="宋体" w:cs="宋体" w:eastAsia="宋体" w:hint="default"/>
        </w:rPr>
        <w:t>512</w:t>
      </w:r>
      <w:r>
        <w:rPr>
          <w:rFonts w:ascii="宋体" w:hAnsi="宋体" w:cs="宋体" w:eastAsia="宋体" w:hint="default"/>
          <w:spacing w:val="-59"/>
        </w:rPr>
        <w:t> </w:t>
      </w:r>
      <w:r>
        <w:rPr>
          <w:spacing w:val="-9"/>
        </w:rPr>
        <w:t>人、储备督导</w:t>
      </w:r>
      <w:r>
        <w:rPr>
          <w:spacing w:val="-60"/>
        </w:rPr>
        <w:t> </w:t>
      </w:r>
      <w:r>
        <w:rPr>
          <w:rFonts w:ascii="宋体" w:hAnsi="宋体" w:cs="宋体" w:eastAsia="宋体" w:hint="default"/>
        </w:rPr>
        <w:t>2300</w:t>
      </w:r>
      <w:r>
        <w:rPr>
          <w:rFonts w:ascii="宋体" w:hAnsi="宋体" w:cs="宋体" w:eastAsia="宋体" w:hint="default"/>
          <w:spacing w:val="-59"/>
        </w:rPr>
        <w:t> </w:t>
      </w:r>
      <w:r>
        <w:rPr>
          <w:spacing w:val="-6"/>
        </w:rPr>
        <w:t>人。开发完成销售专员系列课程，认证讲师</w:t>
      </w:r>
      <w:r>
        <w:rPr>
          <w:spacing w:val="-58"/>
        </w:rPr>
        <w:t> </w:t>
      </w:r>
      <w:r>
        <w:rPr>
          <w:rFonts w:ascii="宋体" w:hAnsi="宋体" w:cs="宋体" w:eastAsia="宋体" w:hint="default"/>
        </w:rPr>
        <w:t>330</w:t>
      </w:r>
      <w:r>
        <w:rPr>
          <w:rFonts w:ascii="宋体" w:hAnsi="宋体" w:cs="宋体" w:eastAsia="宋体" w:hint="default"/>
          <w:spacing w:val="-59"/>
        </w:rPr>
        <w:t> </w:t>
      </w:r>
      <w:r>
        <w:rPr>
          <w:spacing w:val="-11"/>
        </w:rPr>
        <w:t>名，累计对</w:t>
      </w:r>
      <w:r>
        <w:rPr>
          <w:spacing w:val="-59"/>
        </w:rPr>
        <w:t> </w:t>
      </w:r>
      <w:r>
        <w:rPr>
          <w:rFonts w:ascii="宋体" w:hAnsi="宋体" w:cs="宋体" w:eastAsia="宋体" w:hint="default"/>
        </w:rPr>
        <w:t>6800 </w:t>
      </w:r>
      <w:r>
        <w:rPr/>
        <w:t>名员工进行培训考核，有效提升店面销售人员的产品知识和销售能力。</w:t>
      </w:r>
    </w:p>
    <w:p>
      <w:pPr>
        <w:pStyle w:val="BodyText"/>
        <w:spacing w:line="338" w:lineRule="auto" w:before="37"/>
        <w:ind w:left="620" w:right="1436"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丰富推广方式，注重精准营销 </w:t>
      </w:r>
      <w:r>
        <w:rPr>
          <w:spacing w:val="-3"/>
        </w:rPr>
        <w:t>报告期内公司调整了媒介组合策略，在传统平面媒体投放的基础上，充分利用了央</w:t>
      </w:r>
    </w:p>
    <w:p>
      <w:pPr>
        <w:pStyle w:val="BodyText"/>
        <w:spacing w:line="357" w:lineRule="auto" w:before="55"/>
        <w:ind w:right="1434"/>
        <w:jc w:val="both"/>
      </w:pPr>
      <w:r>
        <w:rPr>
          <w:spacing w:val="-3"/>
        </w:rPr>
        <w:t>视、卫视、网络以及覆盖核心商圈与交通枢纽的户外广告等形式；促销策划方面，更加</w:t>
      </w:r>
      <w:r>
        <w:rPr>
          <w:spacing w:val="-97"/>
        </w:rPr>
        <w:t> </w:t>
      </w:r>
      <w:r>
        <w:rPr>
          <w:spacing w:val="-97"/>
        </w:rPr>
      </w:r>
      <w:r>
        <w:rPr>
          <w:spacing w:val="-3"/>
        </w:rPr>
        <w:t>贴近消费者需求，围绕营销事件传播、节庆促销、品类促销、自主及主推产品策划、政</w:t>
      </w:r>
      <w:r>
        <w:rPr>
          <w:spacing w:val="-105"/>
        </w:rPr>
        <w:t> </w:t>
      </w:r>
      <w:r>
        <w:rPr>
          <w:spacing w:val="-105"/>
        </w:rPr>
      </w:r>
      <w:r>
        <w:rPr>
          <w:spacing w:val="-3"/>
        </w:rPr>
        <w:t>策促销等展开；同时，公司还利用品牌团购、会员营销、新品上市等活动提升了面对目</w:t>
      </w:r>
      <w:r>
        <w:rPr>
          <w:spacing w:val="-96"/>
        </w:rPr>
        <w:t> </w:t>
      </w:r>
      <w:r>
        <w:rPr>
          <w:spacing w:val="-96"/>
        </w:rPr>
      </w:r>
      <w:r>
        <w:rPr/>
        <w:t>标顾客的精准销售。</w:t>
      </w:r>
    </w:p>
    <w:p>
      <w:pPr>
        <w:pStyle w:val="BodyText"/>
        <w:spacing w:line="240" w:lineRule="auto" w:before="36"/>
        <w:ind w:left="680" w:right="1314"/>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创新服务方式，提升顾客购物体验</w:t>
      </w:r>
    </w:p>
    <w:p>
      <w:pPr>
        <w:pStyle w:val="BodyText"/>
        <w:spacing w:line="240" w:lineRule="auto" w:before="137"/>
        <w:ind w:left="620"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65"/>
        </w:rPr>
        <w:t>，</w:t>
      </w:r>
      <w:r>
        <w:rPr/>
        <w:t>公司面向消费者推出</w:t>
      </w:r>
      <w:r>
        <w:rPr>
          <w:spacing w:val="-65"/>
        </w:rPr>
        <w:t>了</w:t>
      </w:r>
      <w:r>
        <w:rPr/>
        <w:t>“延时赔付承</w:t>
      </w:r>
      <w:r>
        <w:rPr>
          <w:spacing w:val="-65"/>
        </w:rPr>
        <w:t>诺</w:t>
      </w:r>
      <w:r>
        <w:rPr/>
        <w:t>“</w:t>
      </w:r>
      <w:r>
        <w:rPr>
          <w:spacing w:val="-185"/>
        </w:rPr>
        <w:t>、</w:t>
      </w:r>
      <w:r>
        <w:rPr/>
        <w:t>“空调售后退换</w:t>
      </w:r>
      <w:r>
        <w:rPr>
          <w:spacing w:val="-3"/>
        </w:rPr>
        <w:t>送</w:t>
      </w:r>
      <w:r>
        <w:rPr/>
        <w:t>装一体服务</w:t>
      </w:r>
      <w:r>
        <w:rPr>
          <w:spacing w:val="-120"/>
        </w:rPr>
        <w:t>”</w:t>
      </w:r>
      <w:r>
        <w:rPr/>
        <w:t>、</w:t>
      </w:r>
    </w:p>
    <w:p>
      <w:pPr>
        <w:pStyle w:val="BodyText"/>
        <w:spacing w:line="338" w:lineRule="auto"/>
        <w:ind w:right="1344"/>
        <w:jc w:val="both"/>
      </w:pPr>
      <w:r>
        <w:rPr/>
        <w:t>以及“售后</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小时准时化服务”政策，并且建立了全流程监管，强化了服务监管职能， 服务投诉率下降到</w:t>
      </w:r>
      <w:r>
        <w:rPr>
          <w:spacing w:val="-48"/>
        </w:rPr>
        <w:t> </w:t>
      </w:r>
      <w:r>
        <w:rPr>
          <w:rFonts w:ascii="Times New Roman" w:hAnsi="Times New Roman" w:cs="Times New Roman" w:eastAsia="Times New Roman" w:hint="default"/>
          <w:spacing w:val="-2"/>
        </w:rPr>
        <w:t>0.88%</w:t>
      </w:r>
      <w:r>
        <w:rPr>
          <w:spacing w:val="-2"/>
        </w:rPr>
        <w:t>。呼叫中心通过对“服务易栈”以及“自助服务”进行升级完</w:t>
      </w:r>
    </w:p>
    <w:p>
      <w:pPr>
        <w:spacing w:after="0" w:line="338" w:lineRule="auto"/>
        <w:jc w:val="both"/>
        <w:sectPr>
          <w:footerReference w:type="default" r:id="rId25"/>
          <w:pgSz w:w="11910" w:h="16840"/>
          <w:pgMar w:footer="1117" w:header="748" w:top="980" w:bottom="1300" w:left="1300" w:right="0"/>
          <w:pgNumType w:start="34"/>
        </w:sectPr>
      </w:pPr>
    </w:p>
    <w:p>
      <w:pPr>
        <w:spacing w:line="240" w:lineRule="auto" w:before="6"/>
        <w:rPr>
          <w:rFonts w:ascii="宋体" w:hAnsi="宋体" w:cs="宋体" w:eastAsia="宋体" w:hint="default"/>
          <w:sz w:val="29"/>
          <w:szCs w:val="29"/>
        </w:rPr>
      </w:pPr>
    </w:p>
    <w:p>
      <w:pPr>
        <w:pStyle w:val="BodyText"/>
        <w:spacing w:line="240" w:lineRule="auto" w:before="26"/>
        <w:ind w:left="760" w:right="0"/>
        <w:jc w:val="left"/>
      </w:pPr>
      <w:r>
        <w:rPr/>
        <w:t>（</w:t>
      </w:r>
      <w:r>
        <w:rPr>
          <w:rFonts w:ascii="Times New Roman" w:hAnsi="Times New Roman" w:cs="Times New Roman" w:eastAsia="Times New Roman" w:hint="default"/>
        </w:rPr>
        <w:t>2</w:t>
      </w:r>
      <w:r>
        <w:rPr/>
        <w:t>）创新合作模式，持续推进采购创新</w:t>
      </w:r>
    </w:p>
    <w:p>
      <w:pPr>
        <w:pStyle w:val="BodyText"/>
        <w:spacing w:line="338" w:lineRule="auto"/>
        <w:ind w:left="760" w:right="1436" w:firstLine="86"/>
        <w:jc w:val="left"/>
      </w:pPr>
      <w:r>
        <w:rPr>
          <w:rFonts w:ascii="Wingdings" w:hAnsi="Wingdings" w:cs="Wingdings" w:eastAsia="Wingdings" w:hint="default"/>
        </w:rPr>
        <w:t></w:t>
      </w:r>
      <w:r>
        <w:rPr>
          <w:rFonts w:ascii="Wingdings" w:hAnsi="Wingdings" w:cs="Wingdings" w:eastAsia="Wingdings" w:hint="default"/>
          <w:spacing w:val="-146"/>
        </w:rPr>
        <w:t></w:t>
      </w:r>
      <w:r>
        <w:rPr>
          <w:rFonts w:ascii="Times New Roman" w:hAnsi="Times New Roman" w:cs="Times New Roman" w:eastAsia="Times New Roman" w:hint="default"/>
          <w:spacing w:val="-146"/>
        </w:rPr>
      </w:r>
      <w:r>
        <w:rPr/>
        <w:t>供应商合作创新升级 </w:t>
      </w:r>
      <w:r>
        <w:rPr>
          <w:spacing w:val="-3"/>
        </w:rPr>
        <w:t>公司继续推进培育全品类大客户、构筑战略性合作伙伴的采购策略，进一步加强与</w:t>
      </w:r>
    </w:p>
    <w:p>
      <w:pPr>
        <w:pStyle w:val="BodyText"/>
        <w:spacing w:line="348" w:lineRule="auto" w:before="55"/>
        <w:ind w:left="280" w:right="1303"/>
        <w:jc w:val="left"/>
      </w:pPr>
      <w:r>
        <w:rPr>
          <w:spacing w:val="-3"/>
        </w:rPr>
        <w:t>三星、</w:t>
      </w:r>
      <w:r>
        <w:rPr>
          <w:rFonts w:ascii="宋体" w:hAnsi="宋体" w:cs="宋体" w:eastAsia="宋体" w:hint="default"/>
          <w:spacing w:val="-3"/>
        </w:rPr>
        <w:t>LG</w:t>
      </w:r>
      <w:r>
        <w:rPr>
          <w:spacing w:val="-3"/>
        </w:rPr>
        <w:t>、美的、惠而浦、海尔、海信、联想、</w:t>
      </w:r>
      <w:r>
        <w:rPr>
          <w:rFonts w:ascii="宋体" w:hAnsi="宋体" w:cs="宋体" w:eastAsia="宋体" w:hint="default"/>
          <w:spacing w:val="-3"/>
        </w:rPr>
        <w:t>TCL</w:t>
      </w:r>
      <w:r>
        <w:rPr>
          <w:spacing w:val="-3"/>
        </w:rPr>
        <w:t>、长虹、中国联通等品牌的高层次、</w:t>
      </w:r>
      <w:r>
        <w:rPr>
          <w:spacing w:val="-95"/>
        </w:rPr>
        <w:t> </w:t>
      </w:r>
      <w:r>
        <w:rPr>
          <w:spacing w:val="-95"/>
        </w:rPr>
      </w:r>
      <w:r>
        <w:rPr>
          <w:spacing w:val="-7"/>
        </w:rPr>
        <w:t>全方位互访沟通，深入探讨发展规划，有效整合各方资源；与三星签订 </w:t>
      </w:r>
      <w:r>
        <w:rPr>
          <w:rFonts w:ascii="Times New Roman" w:hAnsi="Times New Roman" w:cs="Times New Roman" w:eastAsia="Times New Roman" w:hint="default"/>
        </w:rPr>
        <w:t>CPFR</w:t>
      </w:r>
      <w:r>
        <w:rPr>
          <w:rFonts w:ascii="Times New Roman" w:hAnsi="Times New Roman" w:cs="Times New Roman" w:eastAsia="Times New Roman" w:hint="default"/>
          <w:spacing w:val="-38"/>
        </w:rPr>
        <w:t> </w:t>
      </w:r>
      <w:r>
        <w:rPr/>
        <w:t>合作协议， 进一步推动了双方供应链资源的高效协同。</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spacing w:val="-5"/>
        </w:rPr>
        <w:t>11 </w:t>
      </w:r>
      <w:r>
        <w:rPr/>
        <w:t>月，公司召开全球供应商战略发 </w:t>
      </w:r>
      <w:r>
        <w:rPr>
          <w:spacing w:val="-3"/>
        </w:rPr>
        <w:t>展通报大会，大会参会人员规模和层次均开创了零售行业先河，巩固和扩大了我司的行</w:t>
      </w:r>
      <w:r>
        <w:rPr>
          <w:spacing w:val="-98"/>
        </w:rPr>
        <w:t> </w:t>
      </w:r>
      <w:r>
        <w:rPr>
          <w:spacing w:val="-98"/>
        </w:rPr>
      </w:r>
      <w:r>
        <w:rPr/>
        <w:t>业影响力。</w:t>
      </w:r>
    </w:p>
    <w:p>
      <w:pPr>
        <w:pStyle w:val="BodyText"/>
        <w:spacing w:line="240" w:lineRule="auto" w:before="46"/>
        <w:ind w:left="846" w:right="0"/>
        <w:jc w:val="left"/>
      </w:pPr>
      <w:r>
        <w:rPr>
          <w:rFonts w:ascii="Wingdings" w:hAnsi="Wingdings" w:cs="Wingdings" w:eastAsia="Wingdings" w:hint="default"/>
        </w:rPr>
        <w:t></w:t>
      </w:r>
      <w:r>
        <w:rPr>
          <w:rFonts w:ascii="Wingdings" w:hAnsi="Wingdings" w:cs="Wingdings" w:eastAsia="Wingdings" w:hint="default"/>
          <w:spacing w:val="-146"/>
        </w:rPr>
        <w:t></w:t>
      </w:r>
      <w:r>
        <w:rPr>
          <w:rFonts w:ascii="Times New Roman" w:hAnsi="Times New Roman" w:cs="Times New Roman" w:eastAsia="Times New Roman" w:hint="default"/>
          <w:spacing w:val="-146"/>
        </w:rPr>
      </w:r>
      <w:r>
        <w:rPr/>
        <w:t>自主营销循序推进</w:t>
      </w:r>
    </w:p>
    <w:p>
      <w:pPr>
        <w:pStyle w:val="BodyText"/>
        <w:spacing w:line="357" w:lineRule="auto" w:before="137"/>
        <w:ind w:left="280" w:right="0" w:firstLine="528"/>
        <w:jc w:val="left"/>
      </w:pPr>
      <w:r>
        <w:rPr>
          <w:spacing w:val="2"/>
        </w:rPr>
        <w:t>公司继续推进自主营销工作，通过自有品牌、品牌授权、独家代理、定制包销、</w:t>
      </w:r>
      <w:r>
        <w:rPr/>
        <w:t> 产品买断等方式进一步提升自营能力，自主产品销售规模较快提升。</w:t>
      </w:r>
    </w:p>
    <w:p>
      <w:pPr>
        <w:pStyle w:val="BodyText"/>
        <w:tabs>
          <w:tab w:pos="1180" w:val="left" w:leader="none"/>
        </w:tabs>
        <w:spacing w:line="240" w:lineRule="auto" w:before="36"/>
        <w:ind w:left="76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5"/>
        </w:rPr>
        <w:t>体系建设方面，成立自主产品销售管理部，推进自主产品多渠道、多方式销售；</w:t>
      </w:r>
    </w:p>
    <w:p>
      <w:pPr>
        <w:pStyle w:val="BodyText"/>
        <w:tabs>
          <w:tab w:pos="1180" w:val="left" w:leader="none"/>
        </w:tabs>
        <w:spacing w:line="338" w:lineRule="auto" w:before="137"/>
        <w:ind w:left="100" w:right="1433" w:firstLine="66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spacing w:val="-1"/>
        </w:rPr>
        <w:t>产品运作方面，在彩电、冰洗、空调品类突出产品运作，先后实现了飞利浦彩</w:t>
      </w:r>
      <w:r>
        <w:rPr/>
        <w:t> 电、惠而浦冰洗以及三菱重工空调独家代理模式；</w:t>
      </w:r>
    </w:p>
    <w:p>
      <w:pPr>
        <w:pStyle w:val="BodyText"/>
        <w:spacing w:line="348" w:lineRule="auto" w:before="56"/>
        <w:ind w:left="280" w:right="1346" w:firstLine="480"/>
        <w:jc w:val="both"/>
      </w:pPr>
      <w:r>
        <w:rPr>
          <w:rFonts w:ascii="Wingdings" w:hAnsi="Wingdings" w:cs="Wingdings" w:eastAsia="Wingdings" w:hint="default"/>
        </w:rPr>
        <w:t></w:t>
      </w:r>
      <w:r>
        <w:rPr>
          <w:rFonts w:ascii="Wingdings" w:hAnsi="Wingdings" w:cs="Wingdings" w:eastAsia="Wingdings" w:hint="default"/>
          <w:spacing w:val="-57"/>
        </w:rPr>
        <w:t></w:t>
      </w:r>
      <w:r>
        <w:rPr>
          <w:rFonts w:ascii="Times New Roman" w:hAnsi="Times New Roman" w:cs="Times New Roman" w:eastAsia="Times New Roman" w:hint="default"/>
          <w:spacing w:val="-57"/>
        </w:rPr>
      </w:r>
      <w:r>
        <w:rPr/>
        <w:t>产品拓展方面，从品牌和品类两个维度展开，在原有惠而浦、松桥、法迪欧、 </w:t>
      </w:r>
      <w:r>
        <w:rPr>
          <w:spacing w:val="-3"/>
        </w:rPr>
        <w:t>伊莱克斯品牌基础上新增加了扎努西和约克两个授权品牌，产品品类已拓展到空调、彩</w:t>
      </w:r>
      <w:r>
        <w:rPr>
          <w:spacing w:val="-98"/>
        </w:rPr>
        <w:t> </w:t>
      </w:r>
      <w:r>
        <w:rPr>
          <w:spacing w:val="-98"/>
        </w:rPr>
      </w:r>
      <w:r>
        <w:rPr/>
        <w:t>电、洗衣机、小家电、厨卫产品、相机、线材、环境电器等，自主产品体系逐步完善。</w:t>
      </w:r>
    </w:p>
    <w:p>
      <w:pPr>
        <w:pStyle w:val="BodyText"/>
        <w:spacing w:line="240" w:lineRule="auto" w:before="46"/>
        <w:ind w:left="760" w:right="0"/>
        <w:jc w:val="left"/>
      </w:pPr>
      <w:r>
        <w:rPr>
          <w:rFonts w:ascii="Times New Roman" w:hAnsi="Times New Roman" w:cs="Times New Roman" w:eastAsia="Times New Roman" w:hint="default"/>
        </w:rPr>
        <w:t>4</w:t>
      </w:r>
      <w:r>
        <w:rPr/>
        <w:t>、电子商务平台独立运营，各项指标有效提升</w:t>
      </w:r>
    </w:p>
    <w:p>
      <w:pPr>
        <w:pStyle w:val="BodyText"/>
        <w:spacing w:line="357" w:lineRule="auto"/>
        <w:ind w:left="280" w:right="1328" w:firstLine="480"/>
        <w:jc w:val="left"/>
      </w:pP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23</w:t>
      </w:r>
      <w:r>
        <w:rPr>
          <w:rFonts w:ascii="宋体" w:hAnsi="宋体" w:cs="宋体" w:eastAsia="宋体" w:hint="default"/>
          <w:spacing w:val="-56"/>
        </w:rPr>
        <w:t> </w:t>
      </w:r>
      <w:r>
        <w:rPr/>
        <w:t>日，公司在南京发布了</w:t>
      </w:r>
      <w:r>
        <w:rPr>
          <w:spacing w:val="-55"/>
        </w:rPr>
        <w:t> </w:t>
      </w:r>
      <w:r>
        <w:rPr>
          <w:rFonts w:ascii="宋体" w:hAnsi="宋体" w:cs="宋体" w:eastAsia="宋体" w:hint="default"/>
        </w:rPr>
        <w:t>2011</w:t>
      </w:r>
      <w:r>
        <w:rPr>
          <w:rFonts w:ascii="宋体" w:hAnsi="宋体" w:cs="宋体" w:eastAsia="宋体" w:hint="default"/>
          <w:spacing w:val="-56"/>
        </w:rPr>
        <w:t> </w:t>
      </w:r>
      <w:r>
        <w:rPr/>
        <w:t>年电子商务整体发展规划，</w:t>
      </w:r>
      <w:r>
        <w:rPr>
          <w:rFonts w:ascii="宋体" w:hAnsi="宋体" w:cs="宋体" w:eastAsia="宋体" w:hint="default"/>
        </w:rPr>
        <w:t>B2C</w:t>
      </w:r>
      <w:r>
        <w:rPr>
          <w:rFonts w:ascii="宋体" w:hAnsi="宋体" w:cs="宋体" w:eastAsia="宋体" w:hint="default"/>
          <w:spacing w:val="-56"/>
        </w:rPr>
        <w:t> </w:t>
      </w:r>
      <w:r>
        <w:rPr/>
        <w:t>业务作为上市 公司控股的独立运营体系，逐步实现公司化方式运作。报告期内，公司围绕客户体验、 商品规划、促销推广等方面展开工作，取得一定的成绩。</w:t>
      </w:r>
    </w:p>
    <w:p>
      <w:pPr>
        <w:pStyle w:val="BodyText"/>
        <w:spacing w:line="338" w:lineRule="auto" w:before="36"/>
        <w:ind w:left="280" w:right="1427" w:firstLine="480"/>
        <w:jc w:val="left"/>
      </w:pPr>
      <w:r>
        <w:rPr>
          <w:rFonts w:ascii="Wingdings" w:hAnsi="Wingdings" w:cs="Wingdings" w:eastAsia="Wingdings" w:hint="default"/>
        </w:rPr>
        <w:t></w:t>
      </w:r>
      <w:r>
        <w:rPr>
          <w:rFonts w:ascii="Wingdings" w:hAnsi="Wingdings" w:cs="Wingdings" w:eastAsia="Wingdings" w:hint="default"/>
          <w:spacing w:val="-49"/>
        </w:rPr>
        <w:t></w:t>
      </w:r>
      <w:r>
        <w:rPr>
          <w:rFonts w:ascii="Times New Roman" w:hAnsi="Times New Roman" w:cs="Times New Roman" w:eastAsia="Times New Roman" w:hint="default"/>
          <w:spacing w:val="-49"/>
        </w:rPr>
      </w:r>
      <w:r>
        <w:rPr/>
        <w:t>优化网站架构搭建和购物流程设计，加快页面响应速度，通过关联词、同义词 检索来提高商品检索准确度，提升用户网站浏览体验；</w:t>
      </w:r>
    </w:p>
    <w:p>
      <w:pPr>
        <w:pStyle w:val="BodyText"/>
        <w:spacing w:line="338" w:lineRule="auto" w:before="55"/>
        <w:ind w:left="280" w:right="1427" w:firstLine="480"/>
        <w:jc w:val="left"/>
      </w:pPr>
      <w:r>
        <w:rPr>
          <w:rFonts w:ascii="Wingdings" w:hAnsi="Wingdings" w:cs="Wingdings" w:eastAsia="Wingdings" w:hint="default"/>
        </w:rPr>
        <w:t></w:t>
      </w:r>
      <w:r>
        <w:rPr>
          <w:rFonts w:ascii="Wingdings" w:hAnsi="Wingdings" w:cs="Wingdings" w:eastAsia="Wingdings" w:hint="default"/>
          <w:spacing w:val="-49"/>
        </w:rPr>
        <w:t></w:t>
      </w:r>
      <w:r>
        <w:rPr>
          <w:rFonts w:ascii="Times New Roman" w:hAnsi="Times New Roman" w:cs="Times New Roman" w:eastAsia="Times New Roman" w:hint="default"/>
          <w:spacing w:val="-49"/>
        </w:rPr>
      </w:r>
      <w:r>
        <w:rPr/>
        <w:t>积极拓展图书、百货、虚拟产品等新品类，不断提高易购产品丰富度，初步实 现向综合性购物网站平台的迈进；</w:t>
      </w:r>
    </w:p>
    <w:p>
      <w:pPr>
        <w:pStyle w:val="BodyText"/>
        <w:spacing w:line="338" w:lineRule="auto" w:before="55"/>
        <w:ind w:left="280" w:right="1427" w:firstLine="480"/>
        <w:jc w:val="left"/>
      </w:pPr>
      <w:r>
        <w:rPr>
          <w:rFonts w:ascii="Wingdings" w:hAnsi="Wingdings" w:cs="Wingdings" w:eastAsia="Wingdings" w:hint="default"/>
        </w:rPr>
        <w:t></w:t>
      </w:r>
      <w:r>
        <w:rPr>
          <w:rFonts w:ascii="Wingdings" w:hAnsi="Wingdings" w:cs="Wingdings" w:eastAsia="Wingdings" w:hint="default"/>
          <w:spacing w:val="-49"/>
        </w:rPr>
        <w:t></w:t>
      </w:r>
      <w:r>
        <w:rPr>
          <w:rFonts w:ascii="Times New Roman" w:hAnsi="Times New Roman" w:cs="Times New Roman" w:eastAsia="Times New Roman" w:hint="default"/>
          <w:spacing w:val="-49"/>
        </w:rPr>
      </w:r>
      <w:r>
        <w:rPr/>
        <w:t>自建物流快递体系，加强快递人员配送服务培训，不断提高快递配送准时度和 配送服务质量，提升用户的网络购物体验；</w:t>
      </w:r>
    </w:p>
    <w:p>
      <w:pPr>
        <w:pStyle w:val="BodyText"/>
        <w:spacing w:line="338" w:lineRule="auto" w:before="56"/>
        <w:ind w:left="280" w:right="1426" w:firstLine="480"/>
        <w:jc w:val="left"/>
      </w:pPr>
      <w:r>
        <w:rPr>
          <w:rFonts w:ascii="Wingdings" w:hAnsi="Wingdings" w:cs="Wingdings" w:eastAsia="Wingdings" w:hint="default"/>
          <w:w w:val="99"/>
        </w:rPr>
        <w:t></w:t>
      </w:r>
      <w:r>
        <w:rPr>
          <w:rFonts w:ascii="Wingdings" w:hAnsi="Wingdings" w:cs="Wingdings" w:eastAsia="Wingdings" w:hint="default"/>
          <w:spacing w:val="-43"/>
          <w:w w:val="99"/>
        </w:rPr>
        <w:t></w:t>
      </w:r>
      <w:r>
        <w:rPr>
          <w:rFonts w:ascii="Times New Roman" w:hAnsi="Times New Roman" w:cs="Times New Roman" w:eastAsia="Times New Roman" w:hint="default"/>
          <w:spacing w:val="-43"/>
          <w:w w:val="99"/>
        </w:rPr>
      </w:r>
      <w:r>
        <w:rPr>
          <w:spacing w:val="-7"/>
        </w:rPr>
        <w:t>通过开展“周二半价”、“周四夜市”等特色网络营销策划活动，迅速积聚易购</w:t>
      </w:r>
      <w:r>
        <w:rPr/>
        <w:t> 网页人气和品牌影响力，有效推动了销售。</w:t>
      </w:r>
    </w:p>
    <w:p>
      <w:pPr>
        <w:pStyle w:val="BodyText"/>
        <w:spacing w:line="240" w:lineRule="auto" w:before="55"/>
        <w:ind w:left="760" w:right="0"/>
        <w:jc w:val="left"/>
      </w:pPr>
      <w:r>
        <w:rPr/>
        <w:t>自明确 </w:t>
      </w:r>
      <w:r>
        <w:rPr>
          <w:rFonts w:ascii="Times New Roman" w:hAnsi="Times New Roman" w:cs="Times New Roman" w:eastAsia="Times New Roman" w:hint="default"/>
        </w:rPr>
        <w:t>B2C</w:t>
      </w:r>
      <w:r>
        <w:rPr>
          <w:rFonts w:ascii="Times New Roman" w:hAnsi="Times New Roman" w:cs="Times New Roman" w:eastAsia="Times New Roman" w:hint="default"/>
          <w:spacing w:val="7"/>
        </w:rPr>
        <w:t> </w:t>
      </w:r>
      <w:r>
        <w:rPr/>
        <w:t>业务独立展开运营后，公司根据零售企业的特点，以江苏苏宁易购电</w:t>
      </w:r>
    </w:p>
    <w:p>
      <w:pPr>
        <w:spacing w:after="0" w:line="240" w:lineRule="auto"/>
        <w:jc w:val="left"/>
        <w:sectPr>
          <w:footerReference w:type="default" r:id="rId26"/>
          <w:pgSz w:w="11910" w:h="16840"/>
          <w:pgMar w:footer="1117" w:header="748" w:top="980" w:bottom="1300" w:left="1160" w:right="0"/>
          <w:pgNumType w:start="35"/>
        </w:sectPr>
      </w:pPr>
    </w:p>
    <w:p>
      <w:pPr>
        <w:spacing w:line="240" w:lineRule="auto" w:before="6"/>
        <w:rPr>
          <w:rFonts w:ascii="宋体" w:hAnsi="宋体" w:cs="宋体" w:eastAsia="宋体" w:hint="default"/>
          <w:sz w:val="29"/>
          <w:szCs w:val="29"/>
        </w:rPr>
      </w:pPr>
    </w:p>
    <w:p>
      <w:pPr>
        <w:pStyle w:val="BodyText"/>
        <w:spacing w:line="240" w:lineRule="auto" w:before="26"/>
        <w:ind w:right="1314"/>
        <w:jc w:val="left"/>
      </w:pPr>
      <w:r>
        <w:rPr/>
        <w:t>业务体系的运营架构，同时梳理</w:t>
      </w:r>
      <w:r>
        <w:rPr>
          <w:spacing w:val="-61"/>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t>业务与现有体系各项业务往来的操作模式。</w:t>
      </w:r>
    </w:p>
    <w:p>
      <w:pPr>
        <w:pStyle w:val="BodyText"/>
        <w:spacing w:line="240" w:lineRule="auto"/>
        <w:ind w:left="620" w:right="1314"/>
        <w:jc w:val="left"/>
        <w:rPr>
          <w:rFonts w:ascii="Times New Roman" w:hAnsi="Times New Roman" w:cs="Times New Roman" w:eastAsia="Times New Roman" w:hint="default"/>
        </w:rPr>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15"/>
        </w:rPr>
        <w:t>，</w:t>
      </w:r>
      <w:r>
        <w:rPr/>
        <w:t>公司</w:t>
      </w:r>
      <w:r>
        <w:rPr>
          <w:spacing w:val="-60"/>
        </w:rPr>
        <w:t> </w:t>
      </w:r>
      <w:r>
        <w:rPr>
          <w:rFonts w:ascii="Times New Roman" w:hAnsi="Times New Roman" w:cs="Times New Roman" w:eastAsia="Times New Roman" w:hint="default"/>
          <w:spacing w:val="-2"/>
        </w:rPr>
        <w:t>B</w:t>
      </w:r>
      <w:r>
        <w:rPr>
          <w:rFonts w:ascii="Times New Roman" w:hAnsi="Times New Roman" w:cs="Times New Roman" w:eastAsia="Times New Roman" w:hint="default"/>
        </w:rPr>
        <w:t>2C</w:t>
      </w:r>
      <w:r>
        <w:rPr>
          <w:rFonts w:ascii="Times New Roman" w:hAnsi="Times New Roman" w:cs="Times New Roman" w:eastAsia="Times New Roman" w:hint="default"/>
          <w:spacing w:val="1"/>
        </w:rPr>
        <w:t> </w:t>
      </w:r>
      <w:r>
        <w:rPr>
          <w:spacing w:val="2"/>
        </w:rPr>
        <w:t>业</w:t>
      </w:r>
      <w:r>
        <w:rPr/>
        <w:t>务共实现销售收入约为</w:t>
      </w:r>
      <w:r>
        <w:rPr>
          <w:spacing w:val="-60"/>
        </w:rPr>
        <w:t> </w:t>
      </w:r>
      <w:r>
        <w:rPr>
          <w:rFonts w:ascii="Times New Roman" w:hAnsi="Times New Roman" w:cs="Times New Roman" w:eastAsia="Times New Roman" w:hint="default"/>
        </w:rPr>
        <w:t>59 </w:t>
      </w:r>
      <w:r>
        <w:rPr/>
        <w:t>亿</w:t>
      </w:r>
      <w:r>
        <w:rPr>
          <w:spacing w:val="-15"/>
        </w:rPr>
        <w:t>元</w:t>
      </w:r>
      <w:r>
        <w:rPr/>
        <w:t>（含税</w:t>
      </w:r>
      <w:r>
        <w:rPr>
          <w:spacing w:val="-120"/>
        </w:rPr>
        <w:t>）</w:t>
      </w:r>
      <w:r>
        <w:rPr>
          <w:spacing w:val="-15"/>
        </w:rPr>
        <w:t>，</w:t>
      </w:r>
      <w:r>
        <w:rPr/>
        <w:t>注册会员超过</w:t>
      </w:r>
      <w:r>
        <w:rPr>
          <w:spacing w:val="-60"/>
        </w:rPr>
        <w:t> </w:t>
      </w:r>
      <w:r>
        <w:rPr>
          <w:rFonts w:ascii="Times New Roman" w:hAnsi="Times New Roman" w:cs="Times New Roman" w:eastAsia="Times New Roman" w:hint="default"/>
        </w:rPr>
        <w:t>1000</w:t>
      </w:r>
    </w:p>
    <w:p>
      <w:pPr>
        <w:pStyle w:val="BodyText"/>
        <w:spacing w:line="240" w:lineRule="auto"/>
        <w:ind w:right="1314"/>
        <w:jc w:val="left"/>
      </w:pPr>
      <w:r>
        <w:rPr/>
        <w:t>万，位居国内电子商务行业前三甲。</w:t>
      </w:r>
    </w:p>
    <w:p>
      <w:pPr>
        <w:pStyle w:val="BodyText"/>
        <w:spacing w:line="240" w:lineRule="auto" w:before="154"/>
        <w:ind w:left="620" w:right="1314"/>
        <w:jc w:val="left"/>
      </w:pPr>
      <w:r>
        <w:rPr>
          <w:rFonts w:ascii="Times New Roman" w:hAnsi="Times New Roman" w:cs="Times New Roman" w:eastAsia="Times New Roman" w:hint="default"/>
        </w:rPr>
        <w:t>5</w:t>
      </w:r>
      <w:r>
        <w:rPr/>
        <w:t>、完善后台平台建设</w:t>
      </w:r>
    </w:p>
    <w:p>
      <w:pPr>
        <w:pStyle w:val="BodyText"/>
        <w:spacing w:line="240" w:lineRule="auto"/>
        <w:ind w:left="620" w:right="1314"/>
        <w:jc w:val="left"/>
      </w:pPr>
      <w:r>
        <w:rPr/>
        <w:t>（</w:t>
      </w:r>
      <w:r>
        <w:rPr>
          <w:rFonts w:ascii="Times New Roman" w:hAnsi="Times New Roman" w:cs="Times New Roman" w:eastAsia="Times New Roman" w:hint="default"/>
        </w:rPr>
        <w:t>1</w:t>
      </w:r>
      <w:r>
        <w:rPr/>
        <w:t>）现代化物流建设方面</w:t>
      </w:r>
    </w:p>
    <w:p>
      <w:pPr>
        <w:pStyle w:val="BodyText"/>
        <w:tabs>
          <w:tab w:pos="1040" w:val="left" w:leader="none"/>
        </w:tabs>
        <w:spacing w:line="240" w:lineRule="auto"/>
        <w:ind w:left="620" w:right="1314"/>
        <w:jc w:val="left"/>
      </w:pPr>
      <w:r>
        <w:rPr>
          <w:rFonts w:ascii="Wingdings" w:hAnsi="Wingdings" w:cs="Wingdings" w:eastAsia="Wingdings" w:hint="default"/>
        </w:rPr>
        <w:t></w:t>
      </w:r>
      <w:r>
        <w:rPr>
          <w:rFonts w:ascii="Times New Roman" w:hAnsi="Times New Roman" w:cs="Times New Roman" w:eastAsia="Times New Roman" w:hint="default"/>
        </w:rPr>
        <w:tab/>
      </w:r>
      <w:r>
        <w:rPr/>
        <w:t>物流基地建设</w:t>
      </w:r>
    </w:p>
    <w:p>
      <w:pPr>
        <w:pStyle w:val="BodyText"/>
        <w:spacing w:line="340" w:lineRule="auto" w:before="137"/>
        <w:ind w:right="1426" w:firstLine="540"/>
        <w:jc w:val="left"/>
      </w:pPr>
      <w:r>
        <w:rPr>
          <w:rFonts w:ascii="Wingdings" w:hAnsi="Wingdings" w:cs="Wingdings" w:eastAsia="Wingdings" w:hint="default"/>
        </w:rPr>
        <w:t></w:t>
      </w:r>
      <w:r>
        <w:rPr>
          <w:rFonts w:ascii="Wingdings" w:hAnsi="Wingdings" w:cs="Wingdings" w:eastAsia="Wingdings" w:hint="default"/>
          <w:spacing w:val="-108"/>
        </w:rPr>
        <w:t></w:t>
      </w:r>
      <w:r>
        <w:rPr>
          <w:rFonts w:ascii="Times New Roman" w:hAnsi="Times New Roman" w:cs="Times New Roman" w:eastAsia="Times New Roman" w:hint="default"/>
          <w:spacing w:val="-108"/>
        </w:rPr>
      </w:r>
      <w:r>
        <w:rPr/>
        <w:t>无锡、成都、合肥、天津物流基地建成投入运营；广州、厦门、杭州二期、青 岛等</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家物流基地项目进入施工阶段；另签约储备项目</w:t>
      </w:r>
      <w:r>
        <w:rPr>
          <w:spacing w:val="-60"/>
        </w:rPr>
        <w:t> </w:t>
      </w:r>
      <w:r>
        <w:rPr>
          <w:rFonts w:ascii="Times New Roman" w:hAnsi="Times New Roman" w:cs="Times New Roman" w:eastAsia="Times New Roman" w:hint="default"/>
        </w:rPr>
        <w:t>24 </w:t>
      </w:r>
      <w:r>
        <w:rPr/>
        <w:t>家。</w:t>
      </w:r>
    </w:p>
    <w:p>
      <w:pPr>
        <w:pStyle w:val="BodyText"/>
        <w:spacing w:line="338" w:lineRule="auto" w:before="24"/>
        <w:ind w:right="1314" w:firstLine="54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南京雨花小件商品自动分拣仓库存储和分拣设备正进行最后的调试；沈阳、北 </w:t>
      </w:r>
      <w:r>
        <w:rPr>
          <w:spacing w:val="-6"/>
        </w:rPr>
        <w:t>京、武汉等地的小件商品仓库项目选址工作正在积极开展，有关设计工作也在同步进行。</w:t>
      </w:r>
    </w:p>
    <w:p>
      <w:pPr>
        <w:pStyle w:val="BodyText"/>
        <w:spacing w:line="240" w:lineRule="auto" w:before="55"/>
        <w:ind w:left="620" w:right="1314"/>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物流配送能力建设</w:t>
      </w:r>
    </w:p>
    <w:p>
      <w:pPr>
        <w:pStyle w:val="BodyText"/>
        <w:spacing w:line="338" w:lineRule="auto" w:before="137"/>
        <w:ind w:right="1422" w:firstLine="540"/>
        <w:jc w:val="left"/>
      </w:pPr>
      <w:r>
        <w:rPr>
          <w:rFonts w:ascii="Wingdings" w:hAnsi="Wingdings" w:cs="Wingdings" w:eastAsia="Wingdings" w:hint="default"/>
        </w:rPr>
        <w:t></w:t>
      </w:r>
      <w:r>
        <w:rPr>
          <w:rFonts w:ascii="Wingdings" w:hAnsi="Wingdings" w:cs="Wingdings" w:eastAsia="Wingdings" w:hint="default"/>
          <w:spacing w:val="-90"/>
        </w:rPr>
        <w:t></w:t>
      </w:r>
      <w:r>
        <w:rPr>
          <w:rFonts w:ascii="Times New Roman" w:hAnsi="Times New Roman" w:cs="Times New Roman" w:eastAsia="Times New Roman" w:hint="default"/>
          <w:spacing w:val="-90"/>
        </w:rPr>
      </w:r>
      <w:r>
        <w:rPr/>
        <w:t>大件物流配送着重</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小时准时送达和送货人员首问负责制，一次配送完成率达 到</w:t>
      </w:r>
      <w:r>
        <w:rPr>
          <w:spacing w:val="-61"/>
        </w:rPr>
        <w:t> </w:t>
      </w:r>
      <w:r>
        <w:rPr>
          <w:rFonts w:ascii="Times New Roman" w:hAnsi="Times New Roman" w:cs="Times New Roman" w:eastAsia="Times New Roman" w:hint="default"/>
        </w:rPr>
        <w:t>96%</w:t>
      </w:r>
      <w:r>
        <w:rPr/>
        <w:t>。</w:t>
      </w:r>
    </w:p>
    <w:p>
      <w:pPr>
        <w:pStyle w:val="BodyText"/>
        <w:spacing w:line="343" w:lineRule="auto" w:before="27"/>
        <w:ind w:right="1435" w:firstLine="540"/>
        <w:jc w:val="both"/>
      </w:pPr>
      <w:r>
        <w:rPr>
          <w:rFonts w:ascii="Wingdings" w:hAnsi="Wingdings" w:cs="Wingdings" w:eastAsia="Wingdings" w:hint="default"/>
        </w:rPr>
        <w:t></w:t>
      </w:r>
      <w:r>
        <w:rPr>
          <w:rFonts w:ascii="Wingdings" w:hAnsi="Wingdings" w:cs="Wingdings" w:eastAsia="Wingdings" w:hint="default"/>
          <w:spacing w:val="-72"/>
        </w:rPr>
        <w:t></w:t>
      </w:r>
      <w:r>
        <w:rPr>
          <w:rFonts w:ascii="Times New Roman" w:hAnsi="Times New Roman" w:cs="Times New Roman" w:eastAsia="Times New Roman" w:hint="default"/>
          <w:spacing w:val="-72"/>
        </w:rPr>
      </w:r>
      <w:r>
        <w:rPr/>
        <w:t>建立了</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个</w:t>
      </w:r>
      <w:r>
        <w:rPr>
          <w:spacing w:val="-58"/>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小件配送中心，实现了收货上架无纸化、分拣包装作业工位 </w:t>
      </w:r>
      <w:r>
        <w:rPr>
          <w:spacing w:val="-3"/>
        </w:rPr>
        <w:t>化、流水化；干线运输通过运输代理商和自建城际干线调拨方式，提高了运输时效，调</w:t>
      </w:r>
      <w:r>
        <w:rPr>
          <w:spacing w:val="-97"/>
        </w:rPr>
        <w:t> </w:t>
      </w:r>
      <w:r>
        <w:rPr>
          <w:spacing w:val="-97"/>
        </w:rPr>
      </w:r>
      <w:r>
        <w:rPr/>
        <w:t>拨时长缩短了</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spacing w:val="-3"/>
        </w:rPr>
        <w:t>天；采用运输服务商</w:t>
      </w:r>
      <w:r>
        <w:rPr>
          <w:spacing w:val="-57"/>
        </w:rPr>
        <w:t> </w:t>
      </w:r>
      <w:r>
        <w:rPr>
          <w:rFonts w:ascii="Times New Roman" w:hAnsi="Times New Roman" w:cs="Times New Roman" w:eastAsia="Times New Roman" w:hint="default"/>
        </w:rPr>
        <w:t>EDI </w:t>
      </w:r>
      <w:r>
        <w:rPr>
          <w:spacing w:val="-3"/>
        </w:rPr>
        <w:t>直连管理，实现运输商品的及时跟踪；建立</w:t>
      </w:r>
      <w:r>
        <w:rPr>
          <w:w w:val="99"/>
        </w:rPr>
        <w:t> </w:t>
      </w:r>
      <w:r>
        <w:rPr/>
        <w:t>了</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spacing w:val="-3"/>
        </w:rPr>
        <w:t>多个“最后一公里”快递配送点，配送管理实行“一单到底”的新模式，小件配</w:t>
      </w:r>
      <w:r>
        <w:rPr>
          <w:w w:val="99"/>
        </w:rPr>
        <w:t> </w:t>
      </w:r>
      <w:r>
        <w:rPr/>
        <w:t>送的运作流程和服务标准初步建立。</w:t>
      </w:r>
    </w:p>
    <w:p>
      <w:pPr>
        <w:pStyle w:val="BodyText"/>
        <w:spacing w:line="240" w:lineRule="auto" w:before="50"/>
        <w:ind w:left="620" w:right="1314"/>
        <w:jc w:val="left"/>
      </w:pPr>
      <w:r>
        <w:rPr/>
        <w:t>（</w:t>
      </w:r>
      <w:r>
        <w:rPr>
          <w:rFonts w:ascii="Times New Roman" w:hAnsi="Times New Roman" w:cs="Times New Roman" w:eastAsia="Times New Roman" w:hint="default"/>
        </w:rPr>
        <w:t>2</w:t>
      </w:r>
      <w:r>
        <w:rPr/>
        <w:t>）售后服务建设方面</w:t>
      </w:r>
    </w:p>
    <w:p>
      <w:pPr>
        <w:pStyle w:val="BodyText"/>
        <w:tabs>
          <w:tab w:pos="980" w:val="left" w:leader="none"/>
        </w:tabs>
        <w:spacing w:line="340" w:lineRule="auto"/>
        <w:ind w:right="1437" w:firstLine="424"/>
        <w:jc w:val="left"/>
      </w:pPr>
      <w:r>
        <w:rPr>
          <w:rFonts w:ascii="Wingdings" w:hAnsi="Wingdings" w:cs="Wingdings" w:eastAsia="Wingdings" w:hint="default"/>
        </w:rPr>
        <w:t></w:t>
      </w:r>
      <w:r>
        <w:rPr>
          <w:rFonts w:ascii="Times New Roman" w:hAnsi="Times New Roman" w:cs="Times New Roman" w:eastAsia="Times New Roman" w:hint="default"/>
        </w:rPr>
        <w:tab/>
      </w:r>
      <w:r>
        <w:rPr/>
        <w:t>推进全品类安维在三四级市场的服务网络布局，保障自主产品、延保等全品类 安装维修业务，服务响应时间缩短到半天。</w:t>
      </w:r>
    </w:p>
    <w:p>
      <w:pPr>
        <w:pStyle w:val="BodyText"/>
        <w:spacing w:line="338" w:lineRule="auto" w:before="53"/>
        <w:ind w:right="1437" w:firstLine="424"/>
        <w:jc w:val="both"/>
      </w:pPr>
      <w:r>
        <w:rPr>
          <w:rFonts w:ascii="Wingdings" w:hAnsi="Wingdings" w:cs="Wingdings" w:eastAsia="Wingdings" w:hint="default"/>
        </w:rPr>
        <w:t></w:t>
      </w:r>
      <w:r>
        <w:rPr>
          <w:rFonts w:ascii="Times New Roman" w:hAnsi="Times New Roman" w:cs="Times New Roman" w:eastAsia="Times New Roman" w:hint="default"/>
        </w:rPr>
      </w:r>
      <w:r>
        <w:rPr/>
        <w:t>加大平板电视、热水器、洗衣机等品类的业务拓展，品牌上线 </w:t>
      </w:r>
      <w:r>
        <w:rPr>
          <w:rFonts w:ascii="Times New Roman" w:hAnsi="Times New Roman" w:cs="Times New Roman" w:eastAsia="Times New Roman" w:hint="default"/>
        </w:rPr>
        <w:t>376</w:t>
      </w:r>
      <w:r>
        <w:rPr>
          <w:rFonts w:ascii="Times New Roman" w:hAnsi="Times New Roman" w:cs="Times New Roman" w:eastAsia="Times New Roman" w:hint="default"/>
          <w:spacing w:val="-35"/>
        </w:rPr>
        <w:t> </w:t>
      </w:r>
      <w:r>
        <w:rPr/>
        <w:t>个，作业量 同比增长 </w:t>
      </w:r>
      <w:r>
        <w:rPr>
          <w:rFonts w:ascii="Times New Roman" w:hAnsi="Times New Roman" w:cs="Times New Roman" w:eastAsia="Times New Roman" w:hint="default"/>
        </w:rPr>
        <w:t>70%</w:t>
      </w:r>
      <w:r>
        <w:rPr/>
        <w:t>。</w:t>
      </w:r>
      <w:r>
        <w:rPr>
          <w:rFonts w:ascii="Times New Roman" w:hAnsi="Times New Roman" w:cs="Times New Roman" w:eastAsia="Times New Roman" w:hint="default"/>
        </w:rPr>
        <w:t>3C</w:t>
      </w:r>
      <w:r>
        <w:rPr>
          <w:rFonts w:ascii="Times New Roman" w:hAnsi="Times New Roman" w:cs="Times New Roman" w:eastAsia="Times New Roman" w:hint="default"/>
          <w:spacing w:val="-32"/>
        </w:rPr>
        <w:t> </w:t>
      </w:r>
      <w:r>
        <w:rPr/>
        <w:t>品类建设标准化服务中心，加强品牌网点引进，重点推进电脑品类 授权资质及</w:t>
      </w:r>
      <w:r>
        <w:rPr>
          <w:spacing w:val="-57"/>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帮客、应用软件销售。</w:t>
      </w:r>
    </w:p>
    <w:p>
      <w:pPr>
        <w:pStyle w:val="BodyText"/>
        <w:tabs>
          <w:tab w:pos="980" w:val="left" w:leader="none"/>
        </w:tabs>
        <w:spacing w:line="338" w:lineRule="auto" w:before="27"/>
        <w:ind w:right="1437" w:firstLine="424"/>
        <w:jc w:val="left"/>
      </w:pPr>
      <w:r>
        <w:rPr>
          <w:rFonts w:ascii="Wingdings" w:hAnsi="Wingdings" w:cs="Wingdings" w:eastAsia="Wingdings" w:hint="default"/>
        </w:rPr>
        <w:t></w:t>
      </w:r>
      <w:r>
        <w:rPr>
          <w:rFonts w:ascii="Times New Roman" w:hAnsi="Times New Roman" w:cs="Times New Roman" w:eastAsia="Times New Roman" w:hint="default"/>
        </w:rPr>
        <w:tab/>
      </w:r>
      <w:r>
        <w:rPr>
          <w:spacing w:val="-4"/>
        </w:rPr>
        <w:t>服务质量方面以细化技术标准、提升顾客满意为核心，编制了</w:t>
      </w:r>
      <w:r>
        <w:rPr>
          <w:spacing w:val="-51"/>
        </w:rPr>
        <w:t> </w:t>
      </w:r>
      <w:r>
        <w:rPr>
          <w:rFonts w:ascii="Times New Roman" w:hAnsi="Times New Roman" w:cs="Times New Roman" w:eastAsia="Times New Roman" w:hint="default"/>
        </w:rPr>
        <w:t>65</w:t>
      </w:r>
      <w:r>
        <w:rPr>
          <w:rFonts w:ascii="Times New Roman" w:hAnsi="Times New Roman" w:cs="Times New Roman" w:eastAsia="Times New Roman" w:hint="default"/>
          <w:spacing w:val="7"/>
        </w:rPr>
        <w:t> </w:t>
      </w:r>
      <w:r>
        <w:rPr/>
        <w:t>个安装标准工 艺，维修作业规模同比增长</w:t>
      </w:r>
      <w:r>
        <w:rPr>
          <w:spacing w:val="-61"/>
        </w:rPr>
        <w:t> </w:t>
      </w:r>
      <w:r>
        <w:rPr>
          <w:rFonts w:ascii="Times New Roman" w:hAnsi="Times New Roman" w:cs="Times New Roman" w:eastAsia="Times New Roman" w:hint="default"/>
        </w:rPr>
        <w:t>40%</w:t>
      </w:r>
      <w:r>
        <w:rPr/>
        <w:t>。</w:t>
      </w:r>
    </w:p>
    <w:p>
      <w:pPr>
        <w:pStyle w:val="BodyText"/>
        <w:tabs>
          <w:tab w:pos="980" w:val="left" w:leader="none"/>
        </w:tabs>
        <w:spacing w:line="338" w:lineRule="auto" w:before="27"/>
        <w:ind w:right="1439" w:firstLine="424"/>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月正式启用南京蓝领技术实训中心，基本建立了空调、黑电等主要品 类的技术实训模板。</w:t>
      </w:r>
    </w:p>
    <w:p>
      <w:pPr>
        <w:pStyle w:val="BodyText"/>
        <w:spacing w:line="240" w:lineRule="auto" w:before="55"/>
        <w:ind w:left="620" w:right="1314"/>
        <w:jc w:val="left"/>
      </w:pPr>
      <w:r>
        <w:rPr/>
        <w:t>（</w:t>
      </w:r>
      <w:r>
        <w:rPr>
          <w:rFonts w:ascii="Times New Roman" w:hAnsi="Times New Roman" w:cs="Times New Roman" w:eastAsia="Times New Roman" w:hint="default"/>
        </w:rPr>
        <w:t>3</w:t>
      </w:r>
      <w:r>
        <w:rPr/>
        <w:t>）信息平台建设方面</w:t>
      </w:r>
    </w:p>
    <w:p>
      <w:pPr>
        <w:pStyle w:val="BodyText"/>
        <w:tabs>
          <w:tab w:pos="980" w:val="left" w:leader="none"/>
        </w:tabs>
        <w:spacing w:line="450" w:lineRule="atLeast" w:before="16"/>
        <w:ind w:right="1437" w:firstLine="420"/>
        <w:jc w:val="left"/>
      </w:pPr>
      <w:r>
        <w:rPr>
          <w:rFonts w:ascii="Wingdings" w:hAnsi="Wingdings" w:cs="Wingdings" w:eastAsia="Wingdings" w:hint="default"/>
        </w:rPr>
        <w:t></w:t>
      </w:r>
      <w:r>
        <w:rPr>
          <w:rFonts w:ascii="Times New Roman" w:hAnsi="Times New Roman" w:cs="Times New Roman" w:eastAsia="Times New Roman" w:hint="default"/>
        </w:rPr>
        <w:tab/>
      </w:r>
      <w:r>
        <w:rPr/>
        <w:t>内部管理方面，信息体系成立专业管理办公室，实现了能力、技术和项目的统 </w:t>
      </w:r>
      <w:r>
        <w:rPr>
          <w:spacing w:val="-3"/>
        </w:rPr>
        <w:t>筹管理，系统制定了符合行业特点的专业岗位序列、职业生涯发展路径及配套薪酬福利</w:t>
      </w:r>
    </w:p>
    <w:p>
      <w:pPr>
        <w:spacing w:after="0" w:line="450" w:lineRule="atLeast"/>
        <w:jc w:val="left"/>
        <w:sectPr>
          <w:footerReference w:type="default" r:id="rId27"/>
          <w:pgSz w:w="11910" w:h="16840"/>
          <w:pgMar w:footer="857" w:header="748" w:top="980" w:bottom="1040" w:left="1300" w:right="0"/>
          <w:pgNumType w:start="36"/>
        </w:sectPr>
      </w:pPr>
    </w:p>
    <w:p>
      <w:pPr>
        <w:spacing w:line="240" w:lineRule="auto" w:before="6"/>
        <w:rPr>
          <w:rFonts w:ascii="宋体" w:hAnsi="宋体" w:cs="宋体" w:eastAsia="宋体" w:hint="default"/>
          <w:sz w:val="29"/>
          <w:szCs w:val="29"/>
        </w:rPr>
      </w:pPr>
    </w:p>
    <w:p>
      <w:pPr>
        <w:pStyle w:val="BodyText"/>
        <w:spacing w:line="357" w:lineRule="auto" w:before="26"/>
        <w:ind w:right="1314"/>
        <w:jc w:val="left"/>
      </w:pPr>
      <w:r>
        <w:rPr>
          <w:spacing w:val="-3"/>
        </w:rPr>
        <w:t>体系；采纳行业优秀经验并结合最佳业务实践，搭建标准化、全流程的项目管理系统平</w:t>
      </w:r>
      <w:r>
        <w:rPr>
          <w:spacing w:val="-100"/>
        </w:rPr>
        <w:t> </w:t>
      </w:r>
      <w:r>
        <w:rPr>
          <w:spacing w:val="-100"/>
        </w:rPr>
      </w:r>
      <w:r>
        <w:rPr/>
        <w:t>台。</w:t>
      </w:r>
    </w:p>
    <w:p>
      <w:pPr>
        <w:pStyle w:val="BodyText"/>
        <w:tabs>
          <w:tab w:pos="980" w:val="left" w:leader="none"/>
        </w:tabs>
        <w:spacing w:line="338" w:lineRule="auto" w:before="36"/>
        <w:ind w:right="1316" w:firstLine="420"/>
        <w:jc w:val="left"/>
      </w:pPr>
      <w:r>
        <w:rPr>
          <w:rFonts w:ascii="Wingdings" w:hAnsi="Wingdings" w:cs="Wingdings" w:eastAsia="Wingdings" w:hint="default"/>
        </w:rPr>
        <w:t></w:t>
      </w:r>
      <w:r>
        <w:rPr>
          <w:rFonts w:ascii="Times New Roman" w:hAnsi="Times New Roman" w:cs="Times New Roman" w:eastAsia="Times New Roman" w:hint="default"/>
        </w:rPr>
        <w:tab/>
      </w:r>
      <w:r>
        <w:rPr/>
        <w:t>内部运营支撑方面，信息体系通过 </w:t>
      </w:r>
      <w:r>
        <w:rPr>
          <w:rFonts w:ascii="Times New Roman" w:hAnsi="Times New Roman" w:cs="Times New Roman" w:eastAsia="Times New Roman" w:hint="default"/>
        </w:rPr>
        <w:t>2000 </w:t>
      </w:r>
      <w:r>
        <w:rPr/>
        <w:t>多个需求优化，</w:t>
      </w:r>
      <w:r>
        <w:rPr>
          <w:rFonts w:ascii="Times New Roman" w:hAnsi="Times New Roman" w:cs="Times New Roman" w:eastAsia="Times New Roman" w:hint="default"/>
        </w:rPr>
        <w:t>80</w:t>
      </w:r>
      <w:r>
        <w:rPr>
          <w:rFonts w:ascii="Times New Roman" w:hAnsi="Times New Roman" w:cs="Times New Roman" w:eastAsia="Times New Roman" w:hint="default"/>
          <w:spacing w:val="27"/>
        </w:rPr>
        <w:t> </w:t>
      </w:r>
      <w:r>
        <w:rPr/>
        <w:t>多个重点项目的实 </w:t>
      </w:r>
      <w:r>
        <w:rPr>
          <w:spacing w:val="-6"/>
        </w:rPr>
        <w:t>施和上线，为公司连锁开发、营销变革、运营服务转型及内部管理提供良好的后台支撑。</w:t>
      </w:r>
    </w:p>
    <w:p>
      <w:pPr>
        <w:pStyle w:val="BodyText"/>
        <w:spacing w:line="348" w:lineRule="auto" w:before="55"/>
        <w:ind w:right="1435" w:firstLine="420"/>
        <w:jc w:val="both"/>
      </w:pPr>
      <w:r>
        <w:rPr>
          <w:rFonts w:ascii="Wingdings" w:hAnsi="Wingdings" w:cs="Wingdings" w:eastAsia="Wingdings" w:hint="default"/>
        </w:rPr>
        <w:t></w:t>
      </w:r>
      <w:r>
        <w:rPr>
          <w:rFonts w:ascii="Wingdings" w:hAnsi="Wingdings" w:cs="Wingdings" w:eastAsia="Wingdings" w:hint="default"/>
          <w:spacing w:val="24"/>
        </w:rPr>
        <w:t></w:t>
      </w:r>
      <w:r>
        <w:rPr>
          <w:rFonts w:ascii="Times New Roman" w:hAnsi="Times New Roman" w:cs="Times New Roman" w:eastAsia="Times New Roman" w:hint="default"/>
          <w:spacing w:val="24"/>
        </w:rPr>
      </w:r>
      <w:r>
        <w:rPr/>
        <w:t>电子商务方面，信息体系自主研发能力进一步加强，完成页面改版、购物车优 </w:t>
      </w:r>
      <w:r>
        <w:rPr>
          <w:spacing w:val="-3"/>
        </w:rPr>
        <w:t>化等工作，使易购网站系统功能、性能得到极大提升。通过用户体验、用户行为等系统</w:t>
      </w:r>
      <w:r>
        <w:rPr>
          <w:spacing w:val="-97"/>
        </w:rPr>
        <w:t> </w:t>
      </w:r>
      <w:r>
        <w:rPr>
          <w:spacing w:val="-97"/>
        </w:rPr>
      </w:r>
      <w:r>
        <w:rPr/>
        <w:t>分析手段增加网站用户粘性，提升主动经营意识。</w:t>
      </w:r>
    </w:p>
    <w:p>
      <w:pPr>
        <w:pStyle w:val="BodyText"/>
        <w:spacing w:line="348" w:lineRule="auto" w:before="46"/>
        <w:ind w:right="1436" w:firstLine="420"/>
        <w:jc w:val="both"/>
      </w:pPr>
      <w:r>
        <w:rPr>
          <w:rFonts w:ascii="Wingdings" w:hAnsi="Wingdings" w:cs="Wingdings" w:eastAsia="Wingdings" w:hint="default"/>
        </w:rPr>
        <w:t></w:t>
      </w:r>
      <w:r>
        <w:rPr>
          <w:rFonts w:ascii="Wingdings" w:hAnsi="Wingdings" w:cs="Wingdings" w:eastAsia="Wingdings" w:hint="default"/>
          <w:spacing w:val="-34"/>
        </w:rPr>
        <w:t></w:t>
      </w:r>
      <w:r>
        <w:rPr>
          <w:rFonts w:ascii="Times New Roman" w:hAnsi="Times New Roman" w:cs="Times New Roman" w:eastAsia="Times New Roman" w:hint="default"/>
          <w:spacing w:val="-34"/>
        </w:rPr>
      </w:r>
      <w:r>
        <w:rPr/>
        <w:t>运维支持方面，通过网络、硬件平台和</w:t>
      </w:r>
      <w:r>
        <w:rPr>
          <w:spacing w:val="-68"/>
        </w:rPr>
        <w:t> </w:t>
      </w:r>
      <w:r>
        <w:rPr>
          <w:rFonts w:ascii="Times New Roman" w:hAnsi="Times New Roman" w:cs="Times New Roman" w:eastAsia="Times New Roman" w:hint="default"/>
        </w:rPr>
        <w:t>SAP</w:t>
      </w:r>
      <w:r>
        <w:rPr>
          <w:rFonts w:ascii="Times New Roman" w:hAnsi="Times New Roman" w:cs="Times New Roman" w:eastAsia="Times New Roman" w:hint="default"/>
          <w:spacing w:val="-11"/>
        </w:rPr>
        <w:t> </w:t>
      </w:r>
      <w:r>
        <w:rPr/>
        <w:t>系统优化，搭建更为强大的后台系 </w:t>
      </w:r>
      <w:r>
        <w:rPr>
          <w:spacing w:val="-3"/>
        </w:rPr>
        <w:t>统框架，支持业务的更快发展。通过多渠道受理窗口、统一运维管理平台持续提升内部</w:t>
      </w:r>
      <w:r>
        <w:rPr>
          <w:spacing w:val="-102"/>
        </w:rPr>
        <w:t> </w:t>
      </w:r>
      <w:r>
        <w:rPr>
          <w:spacing w:val="-102"/>
        </w:rPr>
      </w:r>
      <w:r>
        <w:rPr/>
        <w:t>服务的体验。</w:t>
      </w:r>
    </w:p>
    <w:p>
      <w:pPr>
        <w:pStyle w:val="BodyText"/>
        <w:spacing w:line="240" w:lineRule="auto" w:before="46"/>
        <w:ind w:left="620" w:right="1314"/>
        <w:jc w:val="left"/>
      </w:pPr>
      <w:r>
        <w:rPr/>
        <w:t>（</w:t>
      </w:r>
      <w:r>
        <w:rPr>
          <w:rFonts w:ascii="Times New Roman" w:hAnsi="Times New Roman" w:cs="Times New Roman" w:eastAsia="Times New Roman" w:hint="default"/>
        </w:rPr>
        <w:t>4</w:t>
      </w:r>
      <w:r>
        <w:rPr/>
        <w:t>）人力资源平台建设方面</w:t>
      </w:r>
    </w:p>
    <w:p>
      <w:pPr>
        <w:pStyle w:val="BodyText"/>
        <w:spacing w:line="352" w:lineRule="auto"/>
        <w:ind w:right="1437" w:firstLine="420"/>
        <w:jc w:val="both"/>
      </w:pPr>
      <w:r>
        <w:rPr>
          <w:rFonts w:ascii="Wingdings" w:hAnsi="Wingdings" w:cs="Wingdings" w:eastAsia="Wingdings" w:hint="default"/>
        </w:rPr>
        <w:t></w:t>
      </w:r>
      <w:r>
        <w:rPr>
          <w:rFonts w:ascii="Wingdings" w:hAnsi="Wingdings" w:cs="Wingdings" w:eastAsia="Wingdings" w:hint="default"/>
          <w:spacing w:val="23"/>
        </w:rPr>
        <w:t></w:t>
      </w:r>
      <w:r>
        <w:rPr>
          <w:rFonts w:ascii="Times New Roman" w:hAnsi="Times New Roman" w:cs="Times New Roman" w:eastAsia="Times New Roman" w:hint="default"/>
          <w:spacing w:val="23"/>
        </w:rPr>
      </w:r>
      <w:r>
        <w:rPr/>
        <w:t>人才外部引进方面，渠道和形式实现突破拓展。固化春秋梯队招聘、启动猎头 </w:t>
      </w:r>
      <w:r>
        <w:rPr>
          <w:spacing w:val="-3"/>
        </w:rPr>
        <w:t>招聘、加大内部推荐等方式；校园招聘方面，以“定向招聘”为主线，启动校园营销大</w:t>
      </w:r>
      <w:r>
        <w:rPr>
          <w:spacing w:val="-101"/>
        </w:rPr>
        <w:t> </w:t>
      </w:r>
      <w:r>
        <w:rPr>
          <w:spacing w:val="-101"/>
        </w:rPr>
      </w:r>
      <w:r>
        <w:rPr>
          <w:spacing w:val="-3"/>
        </w:rPr>
        <w:t>赛、高校教师参观交流、学生实习；通过“院校、专业、招聘条件三固定”，招聘操作</w:t>
      </w:r>
      <w:r>
        <w:rPr>
          <w:spacing w:val="-106"/>
        </w:rPr>
        <w:t> </w:t>
      </w:r>
      <w:r>
        <w:rPr>
          <w:spacing w:val="-106"/>
        </w:rPr>
      </w:r>
      <w:r>
        <w:rPr/>
        <w:t>精细化程度进一步提高，</w:t>
      </w:r>
      <w:r>
        <w:rPr>
          <w:rFonts w:ascii="Times New Roman" w:hAnsi="Times New Roman" w:cs="Times New Roman" w:eastAsia="Times New Roman" w:hint="default"/>
        </w:rPr>
        <w:t>1200 </w:t>
      </w:r>
      <w:r>
        <w:rPr/>
        <w:t>十期招聘效率与质量有了明显提升。</w:t>
      </w:r>
    </w:p>
    <w:p>
      <w:pPr>
        <w:pStyle w:val="BodyText"/>
        <w:spacing w:line="338" w:lineRule="auto" w:before="11"/>
        <w:ind w:right="1440" w:firstLine="420"/>
        <w:jc w:val="both"/>
      </w:pPr>
      <w:r>
        <w:rPr>
          <w:rFonts w:ascii="Wingdings" w:hAnsi="Wingdings" w:cs="Wingdings" w:eastAsia="Wingdings" w:hint="default"/>
        </w:rPr>
        <w:t></w:t>
      </w:r>
      <w:r>
        <w:rPr>
          <w:rFonts w:ascii="Wingdings" w:hAnsi="Wingdings" w:cs="Wingdings" w:eastAsia="Wingdings" w:hint="default"/>
          <w:spacing w:val="23"/>
        </w:rPr>
        <w:t></w:t>
      </w:r>
      <w:r>
        <w:rPr>
          <w:rFonts w:ascii="Times New Roman" w:hAnsi="Times New Roman" w:cs="Times New Roman" w:eastAsia="Times New Roman" w:hint="default"/>
          <w:spacing w:val="23"/>
        </w:rPr>
      </w:r>
      <w:r>
        <w:rPr/>
        <w:t>人力资源体系初步形成以干部梯队选拔、定期评估、晋升培训、任期轮岗管理 为主要内容的工作框架，固化梯队选拔周期。</w:t>
      </w:r>
    </w:p>
    <w:p>
      <w:pPr>
        <w:pStyle w:val="BodyText"/>
        <w:spacing w:line="348" w:lineRule="auto" w:before="55"/>
        <w:ind w:right="1436" w:firstLine="420"/>
        <w:jc w:val="both"/>
      </w:pPr>
      <w:r>
        <w:rPr>
          <w:rFonts w:ascii="Wingdings" w:hAnsi="Wingdings" w:cs="Wingdings" w:eastAsia="Wingdings" w:hint="default"/>
          <w:w w:val="100"/>
          <w:sz w:val="21"/>
          <w:szCs w:val="21"/>
        </w:rPr>
        <w:t></w:t>
      </w:r>
      <w:r>
        <w:rPr>
          <w:rFonts w:ascii="Wingdings" w:hAnsi="Wingdings" w:cs="Wingdings" w:eastAsia="Wingdings" w:hint="default"/>
          <w:spacing w:val="60"/>
          <w:w w:val="100"/>
          <w:sz w:val="21"/>
          <w:szCs w:val="21"/>
        </w:rPr>
        <w:t></w:t>
      </w:r>
      <w:r>
        <w:rPr>
          <w:rFonts w:ascii="Times New Roman" w:hAnsi="Times New Roman" w:cs="Times New Roman" w:eastAsia="Times New Roman" w:hint="default"/>
          <w:spacing w:val="60"/>
          <w:w w:val="100"/>
          <w:sz w:val="21"/>
          <w:szCs w:val="21"/>
        </w:rPr>
      </w:r>
      <w:r>
        <w:rPr>
          <w:spacing w:val="-6"/>
        </w:rPr>
        <w:t>面向高层干部培训的苏宁大学，上海和成都区域培训中心，以及可同时满足</w:t>
      </w:r>
      <w:r>
        <w:rPr>
          <w:rFonts w:ascii="Times New Roman" w:hAnsi="Times New Roman" w:cs="Times New Roman" w:eastAsia="Times New Roman" w:hint="default"/>
          <w:spacing w:val="-6"/>
        </w:rPr>
        <w:t>3900</w:t>
      </w:r>
      <w:r>
        <w:rPr>
          <w:rFonts w:ascii="Times New Roman" w:hAnsi="Times New Roman" w:cs="Times New Roman" w:eastAsia="Times New Roman" w:hint="default"/>
        </w:rPr>
        <w:t> </w:t>
      </w:r>
      <w:r>
        <w:rPr>
          <w:spacing w:val="-3"/>
        </w:rPr>
        <w:t>人在线培训的知识管理系统已投入使用，苏宁员工线上、线下多形式的基础培训平台已</w:t>
      </w:r>
      <w:r>
        <w:rPr>
          <w:spacing w:val="-98"/>
        </w:rPr>
        <w:t> </w:t>
      </w:r>
      <w:r>
        <w:rPr>
          <w:spacing w:val="-98"/>
        </w:rPr>
      </w:r>
      <w:r>
        <w:rPr/>
        <w:t>初步建立。</w:t>
      </w:r>
    </w:p>
    <w:p>
      <w:pPr>
        <w:pStyle w:val="BodyText"/>
        <w:spacing w:line="240" w:lineRule="auto" w:before="46"/>
        <w:ind w:left="620" w:right="1314"/>
        <w:jc w:val="left"/>
      </w:pPr>
      <w:r>
        <w:rPr>
          <w:rFonts w:ascii="Times New Roman" w:hAnsi="Times New Roman" w:cs="Times New Roman" w:eastAsia="Times New Roman" w:hint="default"/>
        </w:rPr>
        <w:t>6</w:t>
      </w:r>
      <w:r>
        <w:rPr/>
        <w:t>、积极承担社会责任，品牌价值持续提升</w:t>
      </w:r>
    </w:p>
    <w:p>
      <w:pPr>
        <w:pStyle w:val="BodyText"/>
        <w:tabs>
          <w:tab w:pos="980" w:val="left" w:leader="none"/>
        </w:tabs>
        <w:spacing w:line="240" w:lineRule="auto"/>
        <w:ind w:left="560" w:right="1314"/>
        <w:jc w:val="left"/>
      </w:pPr>
      <w:r>
        <w:rPr>
          <w:rFonts w:ascii="Wingdings" w:hAnsi="Wingdings" w:cs="Wingdings" w:eastAsia="Wingdings" w:hint="default"/>
          <w:w w:val="100"/>
        </w:rPr>
        <w:t></w:t>
      </w:r>
      <w:r>
        <w:rPr>
          <w:rFonts w:ascii="Times New Roman" w:hAnsi="Times New Roman" w:cs="Times New Roman" w:eastAsia="Times New Roman" w:hint="default"/>
        </w:rPr>
        <w:tab/>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w:t>
      </w:r>
      <w:r>
        <w:rPr/>
        <w:t>月，苏宁易购入选商务部颁布的“电子商务示范企业</w:t>
      </w:r>
      <w:r>
        <w:rPr>
          <w:spacing w:val="-120"/>
        </w:rPr>
        <w:t>”</w:t>
      </w:r>
      <w:r>
        <w:rPr/>
        <w:t>。</w:t>
      </w:r>
    </w:p>
    <w:p>
      <w:pPr>
        <w:pStyle w:val="BodyText"/>
        <w:spacing w:line="338" w:lineRule="auto"/>
        <w:ind w:right="1438" w:firstLine="420"/>
        <w:jc w:val="both"/>
      </w:pPr>
      <w:r>
        <w:rPr>
          <w:rFonts w:ascii="Wingdings" w:hAnsi="Wingdings" w:cs="Wingdings" w:eastAsia="Wingdings" w:hint="default"/>
        </w:rPr>
        <w:t></w:t>
      </w:r>
      <w:r>
        <w:rPr>
          <w:rFonts w:ascii="Wingdings" w:hAnsi="Wingdings" w:cs="Wingdings" w:eastAsia="Wingdings" w:hint="default"/>
          <w:spacing w:val="24"/>
        </w:rPr>
        <w:t></w:t>
      </w:r>
      <w:r>
        <w:rPr>
          <w:rFonts w:ascii="Times New Roman" w:hAnsi="Times New Roman" w:cs="Times New Roman" w:eastAsia="Times New Roman" w:hint="default"/>
          <w:spacing w:val="24"/>
        </w:rPr>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月，苏宁电器荣获</w:t>
      </w:r>
      <w:r>
        <w:rPr>
          <w:rFonts w:ascii="Times New Roman" w:hAnsi="Times New Roman" w:cs="Times New Roman" w:eastAsia="Times New Roman" w:hint="default"/>
          <w:spacing w:val="-3"/>
        </w:rPr>
        <w:t>2011</w:t>
      </w:r>
      <w:r>
        <w:rPr>
          <w:spacing w:val="-3"/>
        </w:rPr>
        <w:t>年度中国慈善事业特别贡献奖，成为中国家电零</w:t>
      </w:r>
      <w:r>
        <w:rPr/>
        <w:t> 售行业唯一获奖企业。</w:t>
      </w:r>
    </w:p>
    <w:p>
      <w:pPr>
        <w:pStyle w:val="BodyText"/>
        <w:tabs>
          <w:tab w:pos="980" w:val="left" w:leader="none"/>
        </w:tabs>
        <w:spacing w:line="338" w:lineRule="auto" w:before="55"/>
        <w:ind w:right="1317" w:firstLine="420"/>
        <w:jc w:val="left"/>
      </w:pPr>
      <w:r>
        <w:rPr>
          <w:rFonts w:ascii="Wingdings" w:hAnsi="Wingdings" w:cs="Wingdings" w:eastAsia="Wingdings" w:hint="default"/>
          <w:w w:val="100"/>
        </w:rPr>
        <w:t></w:t>
      </w:r>
      <w:r>
        <w:rPr>
          <w:rFonts w:ascii="Times New Roman" w:hAnsi="Times New Roman" w:cs="Times New Roman" w:eastAsia="Times New Roman" w:hint="default"/>
          <w:w w:val="100"/>
        </w:rPr>
        <w:tab/>
      </w: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6</w:t>
      </w:r>
      <w:r>
        <w:rPr>
          <w:spacing w:val="-8"/>
        </w:rPr>
        <w:t>月，世界品牌实验室发布“</w:t>
      </w:r>
      <w:r>
        <w:rPr>
          <w:rFonts w:ascii="Times New Roman" w:hAnsi="Times New Roman" w:cs="Times New Roman" w:eastAsia="Times New Roman" w:hint="default"/>
          <w:spacing w:val="-8"/>
        </w:rPr>
        <w:t>2011</w:t>
      </w:r>
      <w:r>
        <w:rPr>
          <w:spacing w:val="-8"/>
        </w:rPr>
        <w:t>年（第八届）《中国</w:t>
      </w:r>
      <w:r>
        <w:rPr>
          <w:rFonts w:ascii="Times New Roman" w:hAnsi="Times New Roman" w:cs="Times New Roman" w:eastAsia="Times New Roman" w:hint="default"/>
          <w:spacing w:val="-8"/>
        </w:rPr>
        <w:t>500</w:t>
      </w:r>
      <w:r>
        <w:rPr>
          <w:spacing w:val="-8"/>
        </w:rPr>
        <w:t>最具价值品牌》”</w:t>
      </w:r>
      <w:r>
        <w:rPr/>
        <w:t> 榜单，苏宁电器品牌价值上升至</w:t>
      </w:r>
      <w:r>
        <w:rPr>
          <w:rFonts w:ascii="Times New Roman" w:hAnsi="Times New Roman" w:cs="Times New Roman" w:eastAsia="Times New Roman" w:hint="default"/>
        </w:rPr>
        <w:t>728.16</w:t>
      </w:r>
      <w:r>
        <w:rPr/>
        <w:t>亿元，继续蝉联中国商业零售第一。</w:t>
      </w:r>
    </w:p>
    <w:p>
      <w:pPr>
        <w:pStyle w:val="BodyText"/>
        <w:spacing w:line="338" w:lineRule="auto" w:before="27"/>
        <w:ind w:right="1434" w:firstLine="420"/>
        <w:jc w:val="both"/>
      </w:pPr>
      <w:r>
        <w:rPr>
          <w:rFonts w:ascii="Wingdings" w:hAnsi="Wingdings" w:cs="Wingdings" w:eastAsia="Wingdings" w:hint="default"/>
        </w:rPr>
        <w:t></w:t>
      </w:r>
      <w:r>
        <w:rPr>
          <w:rFonts w:ascii="Wingdings" w:hAnsi="Wingdings" w:cs="Wingdings" w:eastAsia="Wingdings" w:hint="default"/>
          <w:spacing w:val="25"/>
        </w:rPr>
        <w:t></w:t>
      </w:r>
      <w:r>
        <w:rPr>
          <w:rFonts w:ascii="Times New Roman" w:hAnsi="Times New Roman" w:cs="Times New Roman" w:eastAsia="Times New Roman" w:hint="default"/>
          <w:spacing w:val="25"/>
        </w:rPr>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10</w:t>
      </w:r>
      <w:r>
        <w:rPr>
          <w:spacing w:val="-6"/>
        </w:rPr>
        <w:t>月，苏宁电器荣获“</w:t>
      </w:r>
      <w:r>
        <w:rPr>
          <w:rFonts w:ascii="Times New Roman" w:hAnsi="Times New Roman" w:cs="Times New Roman" w:eastAsia="Times New Roman" w:hint="default"/>
          <w:spacing w:val="-6"/>
        </w:rPr>
        <w:t>2011</w:t>
      </w:r>
      <w:r>
        <w:rPr>
          <w:spacing w:val="-6"/>
        </w:rPr>
        <w:t>（第四届）中国管理模式杰出奖”颁发的“卓</w:t>
      </w:r>
      <w:r>
        <w:rPr/>
        <w:t> </w:t>
      </w:r>
      <w:r>
        <w:rPr>
          <w:spacing w:val="-20"/>
        </w:rPr>
        <w:t>越运营奖”。</w:t>
      </w:r>
    </w:p>
    <w:p>
      <w:pPr>
        <w:spacing w:after="0" w:line="338" w:lineRule="auto"/>
        <w:jc w:val="both"/>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620" w:right="1314"/>
        <w:jc w:val="left"/>
      </w:pPr>
      <w:r>
        <w:rPr/>
        <w:t>二、报告期内经营情况分析</w:t>
      </w:r>
    </w:p>
    <w:p>
      <w:pPr>
        <w:pStyle w:val="BodyText"/>
        <w:spacing w:line="240" w:lineRule="auto" w:before="154"/>
        <w:ind w:left="620" w:right="1314"/>
        <w:jc w:val="left"/>
      </w:pPr>
      <w:r>
        <w:rPr/>
        <w:t>（一）行业状况</w:t>
      </w:r>
    </w:p>
    <w:p>
      <w:pPr>
        <w:pStyle w:val="BodyText"/>
        <w:spacing w:line="240" w:lineRule="auto" w:before="154"/>
        <w:ind w:left="620" w:right="1314"/>
        <w:jc w:val="left"/>
      </w:pPr>
      <w:r>
        <w:rPr>
          <w:rFonts w:ascii="Times New Roman" w:hAnsi="Times New Roman" w:cs="Times New Roman" w:eastAsia="Times New Roman" w:hint="default"/>
        </w:rPr>
        <w:t>1</w:t>
      </w:r>
      <w:r>
        <w:rPr/>
        <w:t>、调整经济结构，转型发展方式，消费市场平稳较快发展</w:t>
      </w:r>
    </w:p>
    <w:p>
      <w:pPr>
        <w:pStyle w:val="BodyText"/>
        <w:spacing w:line="348" w:lineRule="auto"/>
        <w:ind w:right="1436"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3"/>
        </w:rPr>
        <w:t> </w:t>
      </w:r>
      <w:r>
        <w:rPr/>
        <w:t>年作为“十二五”开局之年，面对国际复杂多变的金融局势和国内通货膨胀 </w:t>
      </w:r>
      <w:r>
        <w:rPr>
          <w:spacing w:val="-3"/>
        </w:rPr>
        <w:t>压力日趋严峻的经济形势，政府积极采取多项政策稳定经济增长，深入实施了一系列调</w:t>
      </w:r>
      <w:r>
        <w:rPr>
          <w:spacing w:val="-99"/>
        </w:rPr>
        <w:t> </w:t>
      </w:r>
      <w:r>
        <w:rPr>
          <w:spacing w:val="-99"/>
        </w:rPr>
      </w:r>
      <w:r>
        <w:rPr>
          <w:spacing w:val="-3"/>
        </w:rPr>
        <w:t>控政策，促进外向型经济向内生增长转变，扩大内需成为国家经济发展的指导方针。在</w:t>
      </w:r>
      <w:r>
        <w:rPr>
          <w:spacing w:val="-102"/>
        </w:rPr>
        <w:t> </w:t>
      </w:r>
      <w:r>
        <w:rPr>
          <w:spacing w:val="-102"/>
        </w:rPr>
      </w:r>
      <w:r>
        <w:rPr>
          <w:spacing w:val="-3"/>
        </w:rPr>
        <w:t>“促消费、扩内需”的政策深入实施下，社会消费品零售总额保持稳定增长态势，</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年全年社会消费品零售总额同比增长</w:t>
      </w:r>
      <w:r>
        <w:rPr>
          <w:spacing w:val="-61"/>
        </w:rPr>
        <w:t> </w:t>
      </w:r>
      <w:r>
        <w:rPr>
          <w:rFonts w:ascii="Times New Roman" w:hAnsi="Times New Roman" w:cs="Times New Roman" w:eastAsia="Times New Roman" w:hint="default"/>
        </w:rPr>
        <w:t>17.1%</w:t>
      </w:r>
      <w:r>
        <w:rPr/>
        <w:t>。</w:t>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748" w:footer="857" w:top="980" w:bottom="1040" w:left="1300" w:right="0"/>
        </w:sectPr>
      </w:pPr>
    </w:p>
    <w:p>
      <w:pPr>
        <w:spacing w:before="45"/>
        <w:ind w:left="0" w:right="0" w:firstLine="0"/>
        <w:jc w:val="right"/>
        <w:rPr>
          <w:rFonts w:ascii="宋体" w:hAnsi="宋体" w:cs="宋体" w:eastAsia="宋体" w:hint="default"/>
          <w:sz w:val="19"/>
          <w:szCs w:val="19"/>
        </w:rPr>
      </w:pPr>
      <w:r>
        <w:rPr>
          <w:rFonts w:ascii="宋体" w:hAnsi="宋体" w:cs="宋体" w:eastAsia="宋体" w:hint="default"/>
          <w:sz w:val="19"/>
          <w:szCs w:val="19"/>
        </w:rPr>
        <w:t>亿元</w:t>
      </w:r>
    </w:p>
    <w:p>
      <w:pPr>
        <w:spacing w:before="95"/>
        <w:ind w:left="906" w:right="0" w:firstLine="0"/>
        <w:jc w:val="left"/>
        <w:rPr>
          <w:rFonts w:ascii="Arial" w:hAnsi="Arial" w:cs="Arial" w:eastAsia="Arial" w:hint="default"/>
          <w:sz w:val="19"/>
          <w:szCs w:val="19"/>
        </w:rPr>
      </w:pPr>
      <w:r>
        <w:rPr/>
        <w:pict>
          <v:group style="position:absolute;margin-left:147.046539pt;margin-top:8.056316pt;width:358.5pt;height:149.6pt;mso-position-horizontal-relative:page;mso-position-vertical-relative:paragraph;z-index:-1360432" coordorigin="2941,161" coordsize="7170,2992">
            <v:shape style="position:absolute;left:3172;top:906;width:240;height:2227" type="#_x0000_t75" stroked="false">
              <v:imagedata r:id="rId28" o:title=""/>
            </v:shape>
            <v:shape style="position:absolute;left:3755;top:1116;width:240;height:2018" type="#_x0000_t75" stroked="false">
              <v:imagedata r:id="rId29" o:title=""/>
            </v:shape>
            <v:shape style="position:absolute;left:4339;top:1145;width:255;height:1988" type="#_x0000_t75" stroked="false">
              <v:imagedata r:id="rId30" o:title=""/>
            </v:shape>
            <v:shape style="position:absolute;left:4939;top:1131;width:240;height:2003" type="#_x0000_t75" stroked="false">
              <v:imagedata r:id="rId31" o:title=""/>
            </v:shape>
            <v:shape style="position:absolute;left:5523;top:981;width:240;height:2152" type="#_x0000_t75" stroked="false">
              <v:imagedata r:id="rId32" o:title=""/>
            </v:shape>
            <v:shape style="position:absolute;left:6106;top:996;width:240;height:2137" type="#_x0000_t75" stroked="false">
              <v:imagedata r:id="rId33" o:title=""/>
            </v:shape>
            <v:shape style="position:absolute;left:6690;top:1026;width:240;height:2107" type="#_x0000_t75" stroked="false">
              <v:imagedata r:id="rId34" o:title=""/>
            </v:shape>
            <v:shape style="position:absolute;left:7274;top:981;width:240;height:2152" type="#_x0000_t75" stroked="false">
              <v:imagedata r:id="rId32" o:title=""/>
            </v:shape>
            <v:shape style="position:absolute;left:7858;top:817;width:255;height:2316" type="#_x0000_t75" stroked="false">
              <v:imagedata r:id="rId35" o:title=""/>
            </v:shape>
            <v:shape style="position:absolute;left:8457;top:712;width:240;height:2421" type="#_x0000_t75" stroked="false">
              <v:imagedata r:id="rId36" o:title=""/>
            </v:shape>
            <v:shape style="position:absolute;left:9041;top:772;width:240;height:2361" type="#_x0000_t75" stroked="false">
              <v:imagedata r:id="rId37" o:title=""/>
            </v:shape>
            <v:shape style="position:absolute;left:9625;top:533;width:240;height:2600" type="#_x0000_t75" stroked="false">
              <v:imagedata r:id="rId38" o:title=""/>
            </v:shape>
            <v:group style="position:absolute;left:3009;top:206;width:2;height:2925" coordorigin="3009,206" coordsize="2,2925">
              <v:shape style="position:absolute;left:3009;top:206;width:2;height:2925" coordorigin="3009,206" coordsize="0,2925" path="m3009,206l3009,3130e" filled="false" stroked="true" strokeweight=".74869pt" strokecolor="#000000">
                <v:path arrowok="t"/>
              </v:shape>
            </v:group>
            <v:group style="position:absolute;left:2948;top:3145;width:46;height:2" coordorigin="2948,3145" coordsize="46,2">
              <v:shape style="position:absolute;left:2948;top:3145;width:46;height:2" coordorigin="2948,3145" coordsize="46,0" path="m2948,3145l2994,3145e" filled="false" stroked="true" strokeweight=".747226pt" strokecolor="#000000">
                <v:path arrowok="t"/>
              </v:shape>
            </v:group>
            <v:group style="position:absolute;left:2948;top:2560;width:46;height:2" coordorigin="2948,2560" coordsize="46,2">
              <v:shape style="position:absolute;left:2948;top:2560;width:46;height:2" coordorigin="2948,2560" coordsize="46,0" path="m2948,2560l2994,2560e" filled="false" stroked="true" strokeweight=".747226pt" strokecolor="#000000">
                <v:path arrowok="t"/>
              </v:shape>
            </v:group>
            <v:group style="position:absolute;left:2948;top:1975;width:46;height:2" coordorigin="2948,1975" coordsize="46,2">
              <v:shape style="position:absolute;left:2948;top:1975;width:46;height:2" coordorigin="2948,1975" coordsize="46,0" path="m2948,1975l2994,1975e" filled="false" stroked="true" strokeweight=".747226pt" strokecolor="#000000">
                <v:path arrowok="t"/>
              </v:shape>
            </v:group>
            <v:group style="position:absolute;left:2948;top:1376;width:46;height:2" coordorigin="2948,1376" coordsize="46,2">
              <v:shape style="position:absolute;left:2948;top:1376;width:46;height:2" coordorigin="2948,1376" coordsize="46,0" path="m2948,1376l2994,1376e" filled="false" stroked="true" strokeweight=".747226pt" strokecolor="#000000">
                <v:path arrowok="t"/>
              </v:shape>
            </v:group>
            <v:group style="position:absolute;left:2948;top:791;width:46;height:2" coordorigin="2948,791" coordsize="46,2">
              <v:shape style="position:absolute;left:2948;top:791;width:46;height:2" coordorigin="2948,791" coordsize="46,0" path="m2948,791l2994,791e" filled="false" stroked="true" strokeweight=".747226pt" strokecolor="#000000">
                <v:path arrowok="t"/>
              </v:shape>
            </v:group>
            <v:group style="position:absolute;left:2948;top:206;width:46;height:2" coordorigin="2948,206" coordsize="46,2">
              <v:shape style="position:absolute;left:2948;top:206;width:46;height:2" coordorigin="2948,206" coordsize="46,0" path="m2948,206l2994,206e" filled="false" stroked="true" strokeweight=".747226pt" strokecolor="#000000">
                <v:path arrowok="t"/>
              </v:shape>
            </v:group>
            <v:group style="position:absolute;left:3009;top:3145;width:7035;height:2" coordorigin="3009,3145" coordsize="7035,2">
              <v:shape style="position:absolute;left:3009;top:3145;width:7035;height:2" coordorigin="3009,3145" coordsize="7035,0" path="m3009,3145l10043,3145e" filled="false" stroked="true" strokeweight=".747226pt" strokecolor="#000000">
                <v:path arrowok="t"/>
              </v:shape>
            </v:group>
            <v:group style="position:absolute;left:10058;top:206;width:2;height:2925" coordorigin="10058,206" coordsize="2,2925">
              <v:shape style="position:absolute;left:10058;top:206;width:2;height:2925" coordorigin="10058,206" coordsize="0,2925" path="m10058,206l10058,3130e" filled="false" stroked="true" strokeweight=".74869pt" strokecolor="#000000">
                <v:path arrowok="t"/>
              </v:shape>
            </v:group>
            <v:group style="position:absolute;left:10058;top:3145;width:45;height:2" coordorigin="10058,3145" coordsize="45,2">
              <v:shape style="position:absolute;left:10058;top:3145;width:45;height:2" coordorigin="10058,3145" coordsize="45,0" path="m10058,3145l10103,3145e" filled="false" stroked="true" strokeweight=".747226pt" strokecolor="#000000">
                <v:path arrowok="t"/>
              </v:shape>
            </v:group>
            <v:group style="position:absolute;left:10058;top:2560;width:45;height:2" coordorigin="10058,2560" coordsize="45,2">
              <v:shape style="position:absolute;left:10058;top:2560;width:45;height:2" coordorigin="10058,2560" coordsize="45,0" path="m10058,2560l10103,2560e" filled="false" stroked="true" strokeweight=".747226pt" strokecolor="#000000">
                <v:path arrowok="t"/>
              </v:shape>
            </v:group>
            <v:group style="position:absolute;left:10058;top:1975;width:45;height:2" coordorigin="10058,1975" coordsize="45,2">
              <v:shape style="position:absolute;left:10058;top:1975;width:45;height:2" coordorigin="10058,1975" coordsize="45,0" path="m10058,1975l10103,1975e" filled="false" stroked="true" strokeweight=".747226pt" strokecolor="#000000">
                <v:path arrowok="t"/>
              </v:shape>
            </v:group>
            <v:group style="position:absolute;left:10058;top:1376;width:45;height:2" coordorigin="10058,1376" coordsize="45,2">
              <v:shape style="position:absolute;left:10058;top:1376;width:45;height:2" coordorigin="10058,1376" coordsize="45,0" path="m10058,1376l10103,1376e" filled="false" stroked="true" strokeweight=".747226pt" strokecolor="#000000">
                <v:path arrowok="t"/>
              </v:shape>
            </v:group>
            <v:group style="position:absolute;left:10058;top:791;width:45;height:2" coordorigin="10058,791" coordsize="45,2">
              <v:shape style="position:absolute;left:10058;top:791;width:45;height:2" coordorigin="10058,791" coordsize="45,0" path="m10058,791l10103,791e" filled="false" stroked="true" strokeweight=".747226pt" strokecolor="#000000">
                <v:path arrowok="t"/>
              </v:shape>
            </v:group>
            <v:group style="position:absolute;left:10058;top:206;width:45;height:2" coordorigin="10058,206" coordsize="45,2">
              <v:shape style="position:absolute;left:10058;top:206;width:45;height:2" coordorigin="10058,206" coordsize="45,0" path="m10058,206l10103,206e" filled="false" stroked="true" strokeweight=".747226pt" strokecolor="#000000">
                <v:path arrowok="t"/>
              </v:shape>
            </v:group>
            <v:group style="position:absolute;left:3301;top:213;width:6450;height:1215" coordorigin="3301,213" coordsize="6450,1215">
              <v:shape style="position:absolute;left:3301;top:213;width:6450;height:1215" coordorigin="3301,213" coordsize="6450,1215" path="m3301,213l3886,1428,4471,573,5056,619,5641,648,6226,543,6826,604,7411,633,7996,543,8581,604,9166,588,9751,483e" filled="false" stroked="true" strokeweight="1.494552pt" strokecolor="#003366">
                <v:path arrowok="t"/>
              </v:shape>
            </v:group>
            <v:group style="position:absolute;left:3256;top:169;width:76;height:75" coordorigin="3256,169" coordsize="76,75">
              <v:shape style="position:absolute;left:3256;top:169;width:76;height:75" coordorigin="3256,169" coordsize="76,75" path="m3286,169l3275,171,3265,178,3259,188,3256,198,3259,218,3265,232,3275,241,3286,243,3306,241,3320,232,3328,218,3331,198,3328,188,3320,178,3306,171,3286,169xe" filled="true" fillcolor="#ffffff" stroked="false">
                <v:path arrowok="t"/>
                <v:fill type="solid"/>
              </v:shape>
            </v:group>
            <v:group style="position:absolute;left:3256;top:169;width:76;height:75" coordorigin="3256,169" coordsize="76,75">
              <v:shape style="position:absolute;left:3256;top:169;width:76;height:75" coordorigin="3256,169" coordsize="76,75" path="m3256,198l3259,218,3265,232,3275,241,3286,243,3306,241,3320,232,3328,218,3331,198,3328,188,3320,178,3306,171,3286,169,3275,171,3265,178,3259,188,3256,198xe" filled="false" stroked="true" strokeweight=".747952pt" strokecolor="#000080">
                <v:path arrowok="t"/>
              </v:shape>
            </v:group>
            <v:group style="position:absolute;left:3841;top:1383;width:76;height:75" coordorigin="3841,1383" coordsize="76,75">
              <v:shape style="position:absolute;left:3841;top:1383;width:76;height:75" coordorigin="3841,1383" coordsize="76,75" path="m3871,1383l3860,1386,3850,1392,3843,1402,3841,1413,3843,1433,3850,1447,3860,1455,3871,1458,3891,1455,3905,1447,3913,1433,3916,1413,3913,1402,3905,1392,3891,1386,3871,1383xe" filled="true" fillcolor="#ffffff" stroked="false">
                <v:path arrowok="t"/>
                <v:fill type="solid"/>
              </v:shape>
            </v:group>
            <v:group style="position:absolute;left:3841;top:1383;width:76;height:75" coordorigin="3841,1383" coordsize="76,75">
              <v:shape style="position:absolute;left:3841;top:1383;width:76;height:75" coordorigin="3841,1383" coordsize="76,75" path="m3841,1413l3843,1433,3850,1447,3860,1455,3871,1458,3891,1455,3905,1447,3913,1433,3916,1413,3913,1402,3905,1392,3891,1386,3871,1383,3860,1386,3850,1392,3843,1402,3841,1413xe" filled="false" stroked="true" strokeweight=".747952pt" strokecolor="#000080">
                <v:path arrowok="t"/>
              </v:shape>
            </v:group>
            <v:group style="position:absolute;left:4426;top:528;width:76;height:76" coordorigin="4426,528" coordsize="76,76">
              <v:shape style="position:absolute;left:4426;top:528;width:76;height:76" coordorigin="4426,528" coordsize="76,76" path="m4426,558l4428,578,4435,592,4445,601,4456,604,4476,601,4490,592,4498,578,4501,558,4498,547,4490,538,4476,531,4456,528,4445,531,4435,538,4428,547,4426,558xe" filled="false" stroked="true" strokeweight=".747957pt" strokecolor="#000080">
                <v:path arrowok="t"/>
              </v:shape>
            </v:group>
            <v:group style="position:absolute;left:5011;top:573;width:76;height:76" coordorigin="5011,573" coordsize="76,76">
              <v:shape style="position:absolute;left:5011;top:573;width:76;height:76" coordorigin="5011,573" coordsize="76,76" path="m5011,604l5013,623,5020,637,5030,646,5041,648,5061,646,5075,637,5083,623,5086,604,5083,592,5075,583,5061,576,5041,573,5030,576,5020,583,5013,592,5011,604xe" filled="false" stroked="true" strokeweight=".747957pt" strokecolor="#000080">
                <v:path arrowok="t"/>
              </v:shape>
            </v:group>
            <v:group style="position:absolute;left:5596;top:604;width:76;height:75" coordorigin="5596,604" coordsize="76,75">
              <v:shape style="position:absolute;left:5596;top:604;width:76;height:75" coordorigin="5596,604" coordsize="76,75" path="m5596,633l5598,653,5605,667,5615,676,5626,678,5646,676,5660,667,5668,653,5671,633,5668,623,5660,613,5646,606,5626,604,5615,606,5605,613,5598,623,5596,633xe" filled="false" stroked="true" strokeweight=".747951pt" strokecolor="#000080">
                <v:path arrowok="t"/>
              </v:shape>
            </v:group>
            <v:group style="position:absolute;left:6181;top:498;width:76;height:75" coordorigin="6181,498" coordsize="76,75">
              <v:shape style="position:absolute;left:6181;top:498;width:76;height:75" coordorigin="6181,498" coordsize="76,75" path="m6181,528l6183,548,6190,562,6200,570,6211,573,6230,570,6245,562,6253,548,6256,528,6253,517,6245,508,6230,501,6211,498,6200,501,6190,508,6183,517,6181,528xe" filled="false" stroked="true" strokeweight=".747951pt" strokecolor="#000080">
                <v:path arrowok="t"/>
              </v:shape>
            </v:group>
            <v:group style="position:absolute;left:6781;top:558;width:76;height:76" coordorigin="6781,558" coordsize="76,76">
              <v:shape style="position:absolute;left:6781;top:558;width:76;height:76" coordorigin="6781,558" coordsize="76,76" path="m6781,588l6783,608,6790,622,6800,631,6811,633,6830,631,6845,622,6853,608,6856,588,6853,577,6845,567,6830,561,6811,558,6800,561,6790,567,6783,577,6781,588xe" filled="false" stroked="true" strokeweight=".747957pt" strokecolor="#000080">
                <v:path arrowok="t"/>
              </v:shape>
            </v:group>
            <v:group style="position:absolute;left:7366;top:588;width:75;height:76" coordorigin="7366,588" coordsize="75,76">
              <v:shape style="position:absolute;left:7366;top:588;width:75;height:76" coordorigin="7366,588" coordsize="75,76" path="m7366,619l7368,638,7375,652,7385,661,7396,663,7415,661,7429,652,7438,638,7441,619,7438,607,7429,598,7415,591,7396,588,7385,591,7375,598,7368,607,7366,619xe" filled="false" stroked="true" strokeweight=".747962pt" strokecolor="#000080">
                <v:path arrowok="t"/>
              </v:shape>
            </v:group>
            <v:group style="position:absolute;left:7951;top:498;width:75;height:75" coordorigin="7951,498" coordsize="75,75">
              <v:shape style="position:absolute;left:7951;top:498;width:75;height:75" coordorigin="7951,498" coordsize="75,75" path="m7951,528l7953,548,7960,562,7970,570,7981,573,8000,570,8014,562,8023,548,8026,528,8023,517,8014,508,8000,501,7981,498,7970,501,7960,508,7953,517,7951,528xe" filled="false" stroked="true" strokeweight=".747957pt" strokecolor="#000080">
                <v:path arrowok="t"/>
              </v:shape>
            </v:group>
            <v:group style="position:absolute;left:8536;top:558;width:75;height:76" coordorigin="8536,558" coordsize="75,76">
              <v:shape style="position:absolute;left:8536;top:558;width:75;height:76" coordorigin="8536,558" coordsize="75,76" path="m8536,588l8538,608,8545,622,8555,631,8566,633,8585,631,8599,622,8608,608,8610,588,8608,577,8599,567,8585,561,8566,558,8555,561,8545,567,8538,577,8536,588xe" filled="false" stroked="true" strokeweight=".747962pt" strokecolor="#000080">
                <v:path arrowok="t"/>
              </v:shape>
            </v:group>
            <v:group style="position:absolute;left:9121;top:543;width:75;height:76" coordorigin="9121,543" coordsize="75,76">
              <v:shape style="position:absolute;left:9121;top:543;width:75;height:76" coordorigin="9121,543" coordsize="75,76" path="m9121,573l9123,593,9130,607,9140,616,9151,619,9170,616,9184,607,9193,593,9195,573,9193,562,9184,553,9170,546,9151,543,9140,546,9130,553,9123,562,9121,573xe" filled="false" stroked="true" strokeweight=".747962pt" strokecolor="#000080">
                <v:path arrowok="t"/>
              </v:shape>
            </v:group>
            <v:group style="position:absolute;left:9706;top:438;width:75;height:76" coordorigin="9706,438" coordsize="75,76">
              <v:shape style="position:absolute;left:9706;top:438;width:75;height:76" coordorigin="9706,438" coordsize="75,76" path="m9736,438l9725,441,9715,448,9708,457,9706,468,9708,488,9715,502,9725,511,9736,513,9755,511,9769,502,9778,488,9780,468,9778,457,9769,448,9755,441,9736,438xe" filled="true" fillcolor="#ffffff" stroked="false">
                <v:path arrowok="t"/>
                <v:fill type="solid"/>
              </v:shape>
            </v:group>
            <v:group style="position:absolute;left:9706;top:438;width:75;height:76" coordorigin="9706,438" coordsize="75,76">
              <v:shape style="position:absolute;left:9706;top:438;width:75;height:76" coordorigin="9706,438" coordsize="75,76" path="m9706,468l9708,488,9715,502,9725,511,9736,513,9755,511,9769,502,9778,488,9780,468,9778,457,9769,448,9755,441,9736,438,9725,441,9715,448,9708,457,9706,468xe" filled="false" stroked="true" strokeweight=".74796pt" strokecolor="#000080">
                <v:path arrowok="t"/>
              </v:shape>
            </v:group>
            <w10:wrap type="none"/>
          </v:group>
        </w:pict>
      </w:r>
      <w:r>
        <w:rPr>
          <w:rFonts w:ascii="Arial"/>
          <w:spacing w:val="-2"/>
          <w:w w:val="105"/>
          <w:sz w:val="19"/>
        </w:rPr>
        <w:t>20,000</w:t>
      </w:r>
      <w:r>
        <w:rPr>
          <w:rFonts w:ascii="Arial"/>
          <w:spacing w:val="-2"/>
          <w:sz w:val="19"/>
        </w:rPr>
      </w:r>
    </w:p>
    <w:p>
      <w:pPr>
        <w:spacing w:before="135"/>
        <w:ind w:left="906" w:right="0" w:firstLine="0"/>
        <w:jc w:val="left"/>
        <w:rPr>
          <w:rFonts w:ascii="宋体" w:hAnsi="宋体" w:cs="宋体" w:eastAsia="宋体" w:hint="default"/>
          <w:sz w:val="19"/>
          <w:szCs w:val="19"/>
        </w:rPr>
      </w:pPr>
      <w:r>
        <w:rPr>
          <w:spacing w:val="-1"/>
        </w:rPr>
        <w:br w:type="column"/>
      </w:r>
      <w:r>
        <w:rPr>
          <w:rFonts w:ascii="Arial" w:hAnsi="Arial" w:cs="Arial" w:eastAsia="Arial" w:hint="default"/>
          <w:spacing w:val="-1"/>
          <w:sz w:val="19"/>
          <w:szCs w:val="19"/>
        </w:rPr>
        <w:t>2011</w:t>
      </w:r>
      <w:r>
        <w:rPr>
          <w:rFonts w:ascii="宋体" w:hAnsi="宋体" w:cs="宋体" w:eastAsia="宋体" w:hint="default"/>
          <w:spacing w:val="-1"/>
          <w:sz w:val="19"/>
          <w:szCs w:val="19"/>
        </w:rPr>
        <w:t>年度社会消费品零售总额月度变动</w:t>
      </w:r>
    </w:p>
    <w:p>
      <w:pPr>
        <w:spacing w:line="240" w:lineRule="auto" w:before="0"/>
        <w:rPr>
          <w:rFonts w:ascii="宋体" w:hAnsi="宋体" w:cs="宋体" w:eastAsia="宋体" w:hint="default"/>
          <w:sz w:val="18"/>
          <w:szCs w:val="18"/>
        </w:rPr>
      </w:pPr>
      <w:r>
        <w:rPr/>
        <w:br w:type="column"/>
      </w:r>
      <w:r>
        <w:rPr>
          <w:rFonts w:ascii="宋体"/>
          <w:sz w:val="18"/>
        </w:rPr>
      </w:r>
    </w:p>
    <w:p>
      <w:pPr>
        <w:spacing w:before="153"/>
        <w:ind w:left="883" w:right="1303" w:firstLine="0"/>
        <w:jc w:val="center"/>
        <w:rPr>
          <w:rFonts w:ascii="Arial" w:hAnsi="Arial" w:cs="Arial" w:eastAsia="Arial" w:hint="default"/>
          <w:sz w:val="19"/>
          <w:szCs w:val="19"/>
        </w:rPr>
      </w:pPr>
      <w:r>
        <w:rPr>
          <w:rFonts w:ascii="Arial"/>
          <w:spacing w:val="-4"/>
          <w:w w:val="105"/>
          <w:sz w:val="19"/>
        </w:rPr>
        <w:t>20%</w:t>
      </w:r>
      <w:r>
        <w:rPr>
          <w:rFonts w:ascii="Arial"/>
          <w:sz w:val="19"/>
        </w:rPr>
      </w:r>
    </w:p>
    <w:p>
      <w:pPr>
        <w:spacing w:after="0"/>
        <w:jc w:val="center"/>
        <w:rPr>
          <w:rFonts w:ascii="Arial" w:hAnsi="Arial" w:cs="Arial" w:eastAsia="Arial" w:hint="default"/>
          <w:sz w:val="19"/>
          <w:szCs w:val="19"/>
        </w:rPr>
        <w:sectPr>
          <w:type w:val="continuous"/>
          <w:pgSz w:w="11910" w:h="16840"/>
          <w:pgMar w:top="980" w:bottom="1100" w:left="1300" w:right="0"/>
          <w:cols w:num="3" w:equalWidth="0">
            <w:col w:w="1882" w:space="638"/>
            <w:col w:w="4254" w:space="1221"/>
            <w:col w:w="2615"/>
          </w:cols>
        </w:sectPr>
      </w:pPr>
    </w:p>
    <w:p>
      <w:pPr>
        <w:spacing w:line="240" w:lineRule="auto" w:before="11"/>
        <w:rPr>
          <w:rFonts w:ascii="Arial" w:hAnsi="Arial" w:cs="Arial" w:eastAsia="Arial" w:hint="default"/>
          <w:sz w:val="24"/>
          <w:szCs w:val="24"/>
        </w:rPr>
      </w:pPr>
    </w:p>
    <w:p>
      <w:pPr>
        <w:tabs>
          <w:tab w:pos="8900" w:val="left" w:leader="none"/>
        </w:tabs>
        <w:spacing w:before="79"/>
        <w:ind w:left="906" w:right="0" w:firstLine="0"/>
        <w:jc w:val="left"/>
        <w:rPr>
          <w:rFonts w:ascii="Arial" w:hAnsi="Arial" w:cs="Arial" w:eastAsia="Arial" w:hint="default"/>
          <w:sz w:val="19"/>
          <w:szCs w:val="19"/>
        </w:rPr>
      </w:pPr>
      <w:r>
        <w:rPr>
          <w:rFonts w:ascii="Arial"/>
          <w:spacing w:val="-2"/>
          <w:sz w:val="19"/>
        </w:rPr>
        <w:t>16,000</w:t>
        <w:tab/>
      </w:r>
      <w:r>
        <w:rPr>
          <w:rFonts w:ascii="Arial"/>
          <w:spacing w:val="-4"/>
          <w:w w:val="105"/>
          <w:sz w:val="19"/>
        </w:rPr>
        <w:t>16%</w:t>
      </w:r>
      <w:r>
        <w:rPr>
          <w:rFonts w:ascii="Arial"/>
          <w:sz w:val="19"/>
        </w:rPr>
      </w:r>
    </w:p>
    <w:p>
      <w:pPr>
        <w:spacing w:line="240" w:lineRule="auto" w:before="11"/>
        <w:rPr>
          <w:rFonts w:ascii="Arial" w:hAnsi="Arial" w:cs="Arial" w:eastAsia="Arial" w:hint="default"/>
          <w:sz w:val="24"/>
          <w:szCs w:val="24"/>
        </w:rPr>
      </w:pPr>
    </w:p>
    <w:p>
      <w:pPr>
        <w:tabs>
          <w:tab w:pos="8900" w:val="left" w:leader="none"/>
        </w:tabs>
        <w:spacing w:before="79"/>
        <w:ind w:left="906" w:right="0" w:firstLine="0"/>
        <w:jc w:val="left"/>
        <w:rPr>
          <w:rFonts w:ascii="Arial" w:hAnsi="Arial" w:cs="Arial" w:eastAsia="Arial" w:hint="default"/>
          <w:sz w:val="19"/>
          <w:szCs w:val="19"/>
        </w:rPr>
      </w:pPr>
      <w:r>
        <w:rPr>
          <w:rFonts w:ascii="Arial"/>
          <w:spacing w:val="-2"/>
          <w:sz w:val="19"/>
        </w:rPr>
        <w:t>12,000</w:t>
        <w:tab/>
      </w:r>
      <w:r>
        <w:rPr>
          <w:rFonts w:ascii="Arial"/>
          <w:spacing w:val="-4"/>
          <w:w w:val="105"/>
          <w:sz w:val="19"/>
        </w:rPr>
        <w:t>12%</w:t>
      </w:r>
      <w:r>
        <w:rPr>
          <w:rFonts w:ascii="Arial"/>
          <w:sz w:val="19"/>
        </w:rPr>
      </w:r>
    </w:p>
    <w:p>
      <w:pPr>
        <w:spacing w:line="240" w:lineRule="auto" w:before="3"/>
        <w:rPr>
          <w:rFonts w:ascii="Arial" w:hAnsi="Arial" w:cs="Arial" w:eastAsia="Arial" w:hint="default"/>
          <w:sz w:val="26"/>
          <w:szCs w:val="26"/>
        </w:rPr>
      </w:pPr>
    </w:p>
    <w:p>
      <w:pPr>
        <w:tabs>
          <w:tab w:pos="8900" w:val="left" w:leader="none"/>
        </w:tabs>
        <w:spacing w:before="79"/>
        <w:ind w:left="1011" w:right="1314" w:firstLine="0"/>
        <w:jc w:val="left"/>
        <w:rPr>
          <w:rFonts w:ascii="Arial" w:hAnsi="Arial" w:cs="Arial" w:eastAsia="Arial" w:hint="default"/>
          <w:sz w:val="19"/>
          <w:szCs w:val="19"/>
        </w:rPr>
      </w:pPr>
      <w:r>
        <w:rPr>
          <w:rFonts w:ascii="Arial"/>
          <w:spacing w:val="-2"/>
          <w:sz w:val="19"/>
        </w:rPr>
        <w:t>8,000</w:t>
        <w:tab/>
      </w:r>
      <w:r>
        <w:rPr>
          <w:rFonts w:ascii="Arial"/>
          <w:spacing w:val="-4"/>
          <w:w w:val="105"/>
          <w:sz w:val="19"/>
        </w:rPr>
        <w:t>8%</w:t>
      </w:r>
      <w:r>
        <w:rPr>
          <w:rFonts w:ascii="Arial"/>
          <w:sz w:val="19"/>
        </w:rPr>
      </w:r>
    </w:p>
    <w:p>
      <w:pPr>
        <w:spacing w:line="240" w:lineRule="auto" w:before="11"/>
        <w:rPr>
          <w:rFonts w:ascii="Arial" w:hAnsi="Arial" w:cs="Arial" w:eastAsia="Arial" w:hint="default"/>
          <w:sz w:val="24"/>
          <w:szCs w:val="24"/>
        </w:rPr>
      </w:pPr>
    </w:p>
    <w:p>
      <w:pPr>
        <w:tabs>
          <w:tab w:pos="8900" w:val="left" w:leader="none"/>
        </w:tabs>
        <w:spacing w:before="79"/>
        <w:ind w:left="1011" w:right="1314" w:firstLine="0"/>
        <w:jc w:val="left"/>
        <w:rPr>
          <w:rFonts w:ascii="Arial" w:hAnsi="Arial" w:cs="Arial" w:eastAsia="Arial" w:hint="default"/>
          <w:sz w:val="19"/>
          <w:szCs w:val="19"/>
        </w:rPr>
      </w:pPr>
      <w:r>
        <w:rPr>
          <w:rFonts w:ascii="Arial"/>
          <w:spacing w:val="-2"/>
          <w:sz w:val="19"/>
        </w:rPr>
        <w:t>4,000</w:t>
        <w:tab/>
      </w:r>
      <w:r>
        <w:rPr>
          <w:rFonts w:ascii="Arial"/>
          <w:spacing w:val="-4"/>
          <w:w w:val="105"/>
          <w:sz w:val="19"/>
        </w:rPr>
        <w:t>4%</w:t>
      </w:r>
      <w:r>
        <w:rPr>
          <w:rFonts w:ascii="Arial"/>
          <w:sz w:val="19"/>
        </w:rPr>
      </w:r>
    </w:p>
    <w:p>
      <w:pPr>
        <w:spacing w:line="240" w:lineRule="auto" w:before="11"/>
        <w:rPr>
          <w:rFonts w:ascii="Arial" w:hAnsi="Arial" w:cs="Arial" w:eastAsia="Arial" w:hint="default"/>
          <w:sz w:val="24"/>
          <w:szCs w:val="24"/>
        </w:rPr>
      </w:pPr>
    </w:p>
    <w:p>
      <w:pPr>
        <w:tabs>
          <w:tab w:pos="7514" w:val="left" w:leader="none"/>
        </w:tabs>
        <w:spacing w:before="79"/>
        <w:ind w:left="0" w:right="45" w:firstLine="0"/>
        <w:jc w:val="center"/>
        <w:rPr>
          <w:rFonts w:ascii="Arial" w:hAnsi="Arial" w:cs="Arial" w:eastAsia="Arial" w:hint="default"/>
          <w:sz w:val="19"/>
          <w:szCs w:val="19"/>
        </w:rPr>
      </w:pPr>
      <w:r>
        <w:rPr>
          <w:rFonts w:ascii="Arial"/>
          <w:sz w:val="19"/>
        </w:rPr>
        <w:t>0</w:t>
        <w:tab/>
      </w:r>
      <w:r>
        <w:rPr>
          <w:rFonts w:ascii="Arial"/>
          <w:spacing w:val="-4"/>
          <w:w w:val="105"/>
          <w:sz w:val="19"/>
        </w:rPr>
        <w:t>0%</w:t>
      </w:r>
      <w:r>
        <w:rPr>
          <w:rFonts w:ascii="Arial"/>
          <w:sz w:val="19"/>
        </w:rPr>
      </w:r>
    </w:p>
    <w:p>
      <w:pPr>
        <w:tabs>
          <w:tab w:pos="584" w:val="left" w:leader="none"/>
          <w:tab w:pos="1169" w:val="left" w:leader="none"/>
          <w:tab w:pos="1754" w:val="left" w:leader="none"/>
          <w:tab w:pos="2339" w:val="left" w:leader="none"/>
          <w:tab w:pos="2924" w:val="left" w:leader="none"/>
          <w:tab w:pos="3524" w:val="left" w:leader="none"/>
          <w:tab w:pos="4109" w:val="left" w:leader="none"/>
          <w:tab w:pos="4694" w:val="left" w:leader="none"/>
          <w:tab w:pos="5234" w:val="left" w:leader="none"/>
        </w:tabs>
        <w:spacing w:before="22"/>
        <w:ind w:left="0" w:right="95" w:firstLine="0"/>
        <w:jc w:val="center"/>
        <w:rPr>
          <w:rFonts w:ascii="宋体" w:hAnsi="宋体" w:cs="宋体" w:eastAsia="宋体" w:hint="default"/>
          <w:sz w:val="19"/>
          <w:szCs w:val="19"/>
        </w:rPr>
      </w:pPr>
      <w:r>
        <w:rPr>
          <w:rFonts w:ascii="Arial" w:hAnsi="Arial" w:cs="Arial" w:eastAsia="Arial" w:hint="default"/>
          <w:spacing w:val="-2"/>
          <w:sz w:val="19"/>
          <w:szCs w:val="19"/>
        </w:rPr>
        <w:t>1</w:t>
      </w:r>
      <w:r>
        <w:rPr>
          <w:rFonts w:ascii="宋体" w:hAnsi="宋体" w:cs="宋体" w:eastAsia="宋体" w:hint="default"/>
          <w:spacing w:val="-2"/>
          <w:sz w:val="19"/>
          <w:szCs w:val="19"/>
        </w:rPr>
        <w:t>月</w:t>
        <w:tab/>
      </w:r>
      <w:r>
        <w:rPr>
          <w:rFonts w:ascii="Arial" w:hAnsi="Arial" w:cs="Arial" w:eastAsia="Arial" w:hint="default"/>
          <w:spacing w:val="-2"/>
          <w:sz w:val="19"/>
          <w:szCs w:val="19"/>
        </w:rPr>
        <w:t>2</w:t>
      </w:r>
      <w:r>
        <w:rPr>
          <w:rFonts w:ascii="宋体" w:hAnsi="宋体" w:cs="宋体" w:eastAsia="宋体" w:hint="default"/>
          <w:spacing w:val="-2"/>
          <w:sz w:val="19"/>
          <w:szCs w:val="19"/>
        </w:rPr>
        <w:t>月</w:t>
        <w:tab/>
      </w:r>
      <w:r>
        <w:rPr>
          <w:rFonts w:ascii="Arial" w:hAnsi="Arial" w:cs="Arial" w:eastAsia="Arial" w:hint="default"/>
          <w:spacing w:val="-2"/>
          <w:sz w:val="19"/>
          <w:szCs w:val="19"/>
        </w:rPr>
        <w:t>3</w:t>
      </w:r>
      <w:r>
        <w:rPr>
          <w:rFonts w:ascii="宋体" w:hAnsi="宋体" w:cs="宋体" w:eastAsia="宋体" w:hint="default"/>
          <w:spacing w:val="-2"/>
          <w:sz w:val="19"/>
          <w:szCs w:val="19"/>
        </w:rPr>
        <w:t>月</w:t>
        <w:tab/>
      </w:r>
      <w:r>
        <w:rPr>
          <w:rFonts w:ascii="Arial" w:hAnsi="Arial" w:cs="Arial" w:eastAsia="Arial" w:hint="default"/>
          <w:spacing w:val="-2"/>
          <w:sz w:val="19"/>
          <w:szCs w:val="19"/>
        </w:rPr>
        <w:t>4</w:t>
      </w:r>
      <w:r>
        <w:rPr>
          <w:rFonts w:ascii="宋体" w:hAnsi="宋体" w:cs="宋体" w:eastAsia="宋体" w:hint="default"/>
          <w:spacing w:val="-2"/>
          <w:sz w:val="19"/>
          <w:szCs w:val="19"/>
        </w:rPr>
        <w:t>月</w:t>
        <w:tab/>
      </w:r>
      <w:r>
        <w:rPr>
          <w:rFonts w:ascii="Arial" w:hAnsi="Arial" w:cs="Arial" w:eastAsia="Arial" w:hint="default"/>
          <w:spacing w:val="-2"/>
          <w:sz w:val="19"/>
          <w:szCs w:val="19"/>
        </w:rPr>
        <w:t>5</w:t>
      </w:r>
      <w:r>
        <w:rPr>
          <w:rFonts w:ascii="宋体" w:hAnsi="宋体" w:cs="宋体" w:eastAsia="宋体" w:hint="default"/>
          <w:spacing w:val="-2"/>
          <w:sz w:val="19"/>
          <w:szCs w:val="19"/>
        </w:rPr>
        <w:t>月</w:t>
        <w:tab/>
      </w:r>
      <w:r>
        <w:rPr>
          <w:rFonts w:ascii="Arial" w:hAnsi="Arial" w:cs="Arial" w:eastAsia="Arial" w:hint="default"/>
          <w:spacing w:val="-2"/>
          <w:sz w:val="19"/>
          <w:szCs w:val="19"/>
        </w:rPr>
        <w:t>6</w:t>
      </w:r>
      <w:r>
        <w:rPr>
          <w:rFonts w:ascii="宋体" w:hAnsi="宋体" w:cs="宋体" w:eastAsia="宋体" w:hint="default"/>
          <w:spacing w:val="-2"/>
          <w:sz w:val="19"/>
          <w:szCs w:val="19"/>
        </w:rPr>
        <w:t>月</w:t>
        <w:tab/>
      </w:r>
      <w:r>
        <w:rPr>
          <w:rFonts w:ascii="Arial" w:hAnsi="Arial" w:cs="Arial" w:eastAsia="Arial" w:hint="default"/>
          <w:spacing w:val="-2"/>
          <w:sz w:val="19"/>
          <w:szCs w:val="19"/>
        </w:rPr>
        <w:t>7</w:t>
      </w:r>
      <w:r>
        <w:rPr>
          <w:rFonts w:ascii="宋体" w:hAnsi="宋体" w:cs="宋体" w:eastAsia="宋体" w:hint="default"/>
          <w:spacing w:val="-2"/>
          <w:sz w:val="19"/>
          <w:szCs w:val="19"/>
        </w:rPr>
        <w:t>月</w:t>
        <w:tab/>
      </w:r>
      <w:r>
        <w:rPr>
          <w:rFonts w:ascii="Arial" w:hAnsi="Arial" w:cs="Arial" w:eastAsia="Arial" w:hint="default"/>
          <w:spacing w:val="-2"/>
          <w:sz w:val="19"/>
          <w:szCs w:val="19"/>
        </w:rPr>
        <w:t>8</w:t>
      </w:r>
      <w:r>
        <w:rPr>
          <w:rFonts w:ascii="宋体" w:hAnsi="宋体" w:cs="宋体" w:eastAsia="宋体" w:hint="default"/>
          <w:spacing w:val="-2"/>
          <w:sz w:val="19"/>
          <w:szCs w:val="19"/>
        </w:rPr>
        <w:t>月</w:t>
        <w:tab/>
      </w:r>
      <w:r>
        <w:rPr>
          <w:rFonts w:ascii="Arial" w:hAnsi="Arial" w:cs="Arial" w:eastAsia="Arial" w:hint="default"/>
          <w:spacing w:val="-2"/>
          <w:sz w:val="19"/>
          <w:szCs w:val="19"/>
        </w:rPr>
        <w:t>9</w:t>
      </w:r>
      <w:r>
        <w:rPr>
          <w:rFonts w:ascii="宋体" w:hAnsi="宋体" w:cs="宋体" w:eastAsia="宋体" w:hint="default"/>
          <w:spacing w:val="-2"/>
          <w:sz w:val="19"/>
          <w:szCs w:val="19"/>
        </w:rPr>
        <w:t>月</w:t>
        <w:tab/>
      </w:r>
      <w:r>
        <w:rPr>
          <w:rFonts w:ascii="Arial" w:hAnsi="Arial" w:cs="Arial" w:eastAsia="Arial" w:hint="default"/>
          <w:spacing w:val="-3"/>
          <w:w w:val="105"/>
          <w:sz w:val="19"/>
          <w:szCs w:val="19"/>
        </w:rPr>
        <w:t>10</w:t>
      </w:r>
      <w:r>
        <w:rPr>
          <w:rFonts w:ascii="宋体" w:hAnsi="宋体" w:cs="宋体" w:eastAsia="宋体" w:hint="default"/>
          <w:spacing w:val="-3"/>
          <w:w w:val="105"/>
          <w:sz w:val="19"/>
          <w:szCs w:val="19"/>
        </w:rPr>
        <w:t>月</w:t>
      </w:r>
      <w:r>
        <w:rPr>
          <w:rFonts w:ascii="宋体" w:hAnsi="宋体" w:cs="宋体" w:eastAsia="宋体" w:hint="default"/>
          <w:w w:val="105"/>
          <w:sz w:val="19"/>
          <w:szCs w:val="19"/>
        </w:rPr>
        <w:t>  </w:t>
      </w:r>
      <w:r>
        <w:rPr>
          <w:rFonts w:ascii="Arial" w:hAnsi="Arial" w:cs="Arial" w:eastAsia="Arial" w:hint="default"/>
          <w:spacing w:val="-3"/>
          <w:w w:val="105"/>
          <w:sz w:val="19"/>
          <w:szCs w:val="19"/>
        </w:rPr>
        <w:t>11</w:t>
      </w:r>
      <w:r>
        <w:rPr>
          <w:rFonts w:ascii="宋体" w:hAnsi="宋体" w:cs="宋体" w:eastAsia="宋体" w:hint="default"/>
          <w:spacing w:val="-3"/>
          <w:w w:val="105"/>
          <w:sz w:val="19"/>
          <w:szCs w:val="19"/>
        </w:rPr>
        <w:t>月</w:t>
      </w:r>
      <w:r>
        <w:rPr>
          <w:rFonts w:ascii="宋体" w:hAnsi="宋体" w:cs="宋体" w:eastAsia="宋体" w:hint="default"/>
          <w:spacing w:val="36"/>
          <w:w w:val="105"/>
          <w:sz w:val="19"/>
          <w:szCs w:val="19"/>
        </w:rPr>
        <w:t> </w:t>
      </w:r>
      <w:r>
        <w:rPr>
          <w:rFonts w:ascii="Arial" w:hAnsi="Arial" w:cs="Arial" w:eastAsia="Arial" w:hint="default"/>
          <w:spacing w:val="-3"/>
          <w:w w:val="105"/>
          <w:sz w:val="19"/>
          <w:szCs w:val="19"/>
        </w:rPr>
        <w:t>12</w:t>
      </w:r>
      <w:r>
        <w:rPr>
          <w:rFonts w:ascii="宋体" w:hAnsi="宋体" w:cs="宋体" w:eastAsia="宋体" w:hint="default"/>
          <w:spacing w:val="-3"/>
          <w:w w:val="105"/>
          <w:sz w:val="19"/>
          <w:szCs w:val="19"/>
        </w:rPr>
        <w:t>月</w:t>
      </w:r>
      <w:r>
        <w:rPr>
          <w:rFonts w:ascii="宋体" w:hAnsi="宋体" w:cs="宋体" w:eastAsia="宋体" w:hint="default"/>
          <w:spacing w:val="-3"/>
          <w:sz w:val="19"/>
          <w:szCs w:val="19"/>
        </w:rPr>
      </w:r>
    </w:p>
    <w:p>
      <w:pPr>
        <w:tabs>
          <w:tab w:pos="2573" w:val="left" w:leader="none"/>
        </w:tabs>
        <w:spacing w:before="97"/>
        <w:ind w:left="1148" w:right="0" w:firstLine="0"/>
        <w:jc w:val="center"/>
        <w:rPr>
          <w:rFonts w:ascii="宋体" w:hAnsi="宋体" w:cs="宋体" w:eastAsia="宋体" w:hint="default"/>
          <w:sz w:val="19"/>
          <w:szCs w:val="19"/>
        </w:rPr>
      </w:pPr>
      <w:r>
        <w:rPr/>
        <w:pict>
          <v:shape style="position:absolute;margin-left:281.365845pt;margin-top:9.619193pt;width:19.465948pt;height:5.23058pt;mso-position-horizontal-relative:page;mso-position-vertical-relative:paragraph;z-index:1408" type="#_x0000_t75" stroked="false">
            <v:imagedata r:id="rId39" o:title=""/>
          </v:shape>
        </w:pict>
      </w:r>
      <w:r>
        <w:rPr/>
        <w:pict>
          <v:group style="position:absolute;margin-left:351.794128pt;margin-top:10.316235pt;width:21.8pt;height:4.55pt;mso-position-horizontal-relative:page;mso-position-vertical-relative:paragraph;z-index:-1360384" coordorigin="7036,206" coordsize="436,91">
            <v:group style="position:absolute;left:7051;top:259;width:406;height:2" coordorigin="7051,259" coordsize="406,2">
              <v:shape style="position:absolute;left:7051;top:259;width:406;height:2" coordorigin="7051,259" coordsize="406,0" path="m7051,259l7456,259e" filled="false" stroked="true" strokeweight="1.494451pt" strokecolor="#003366">
                <v:path arrowok="t"/>
              </v:shape>
            </v:group>
            <v:group style="position:absolute;left:7201;top:214;width:75;height:76" coordorigin="7201,214" coordsize="75,76">
              <v:shape style="position:absolute;left:7201;top:214;width:75;height:76" coordorigin="7201,214" coordsize="75,76" path="m7231,214l7220,216,7210,223,7204,233,7201,244,7204,264,7210,278,7220,286,7231,289,7251,286,7265,278,7273,264,7276,244,7273,233,7265,223,7251,216,7231,214xe" filled="true" fillcolor="#ffffff" stroked="false">
                <v:path arrowok="t"/>
                <v:fill type="solid"/>
              </v:shape>
            </v:group>
            <v:group style="position:absolute;left:7201;top:214;width:75;height:76" coordorigin="7201,214" coordsize="75,76">
              <v:shape style="position:absolute;left:7201;top:214;width:75;height:76" coordorigin="7201,214" coordsize="75,76" path="m7201,244l7204,264,7210,278,7220,286,7231,289,7251,286,7265,278,7273,264,7276,244,7273,233,7265,223,7251,216,7231,214,7220,216,7210,223,7204,233,7201,244xe" filled="false" stroked="true" strokeweight=".747961pt" strokecolor="#000080">
                <v:path arrowok="t"/>
              </v:shape>
            </v:group>
            <w10:wrap type="none"/>
          </v:group>
        </w:pict>
      </w:r>
      <w:r>
        <w:rPr>
          <w:rFonts w:ascii="宋体" w:hAnsi="宋体" w:cs="宋体" w:eastAsia="宋体" w:hint="default"/>
          <w:sz w:val="19"/>
          <w:szCs w:val="19"/>
        </w:rPr>
        <w:t>当月值</w:t>
        <w:tab/>
      </w:r>
      <w:r>
        <w:rPr>
          <w:rFonts w:ascii="宋体" w:hAnsi="宋体" w:cs="宋体" w:eastAsia="宋体" w:hint="default"/>
          <w:w w:val="105"/>
          <w:sz w:val="19"/>
          <w:szCs w:val="19"/>
        </w:rPr>
        <w:t>月度同比</w:t>
      </w:r>
      <w:r>
        <w:rPr>
          <w:rFonts w:ascii="宋体" w:hAnsi="宋体" w:cs="宋体" w:eastAsia="宋体" w:hint="default"/>
          <w:sz w:val="19"/>
          <w:szCs w:val="19"/>
        </w:rPr>
      </w:r>
    </w:p>
    <w:p>
      <w:pPr>
        <w:spacing w:line="240" w:lineRule="auto" w:before="3"/>
        <w:rPr>
          <w:rFonts w:ascii="宋体" w:hAnsi="宋体" w:cs="宋体" w:eastAsia="宋体" w:hint="default"/>
          <w:sz w:val="13"/>
          <w:szCs w:val="13"/>
        </w:rPr>
      </w:pPr>
    </w:p>
    <w:p>
      <w:pPr>
        <w:spacing w:before="44"/>
        <w:ind w:left="711" w:right="1314" w:firstLine="0"/>
        <w:jc w:val="left"/>
        <w:rPr>
          <w:rFonts w:ascii="宋体" w:hAnsi="宋体" w:cs="宋体" w:eastAsia="宋体" w:hint="default"/>
          <w:sz w:val="18"/>
          <w:szCs w:val="18"/>
        </w:rPr>
      </w:pPr>
      <w:r>
        <w:rPr>
          <w:rFonts w:ascii="宋体" w:hAnsi="宋体" w:cs="宋体" w:eastAsia="宋体" w:hint="default"/>
          <w:sz w:val="18"/>
          <w:szCs w:val="18"/>
        </w:rPr>
        <w:t>资料来源：</w:t>
      </w:r>
      <w:r>
        <w:rPr>
          <w:rFonts w:ascii="宋体" w:hAnsi="宋体" w:cs="宋体" w:eastAsia="宋体" w:hint="default"/>
          <w:spacing w:val="1"/>
          <w:sz w:val="18"/>
          <w:szCs w:val="18"/>
        </w:rPr>
        <w:t> </w:t>
      </w:r>
      <w:r>
        <w:rPr>
          <w:rFonts w:ascii="宋体" w:hAnsi="宋体" w:cs="宋体" w:eastAsia="宋体" w:hint="default"/>
          <w:sz w:val="18"/>
          <w:szCs w:val="18"/>
        </w:rPr>
        <w:t>国家统计局</w:t>
      </w:r>
    </w:p>
    <w:p>
      <w:pPr>
        <w:pStyle w:val="BodyText"/>
        <w:spacing w:line="240" w:lineRule="auto" w:before="104"/>
        <w:ind w:left="620" w:right="1314"/>
        <w:jc w:val="left"/>
      </w:pPr>
      <w:r>
        <w:rPr>
          <w:rFonts w:ascii="Times New Roman" w:hAnsi="Times New Roman" w:cs="Times New Roman" w:eastAsia="Times New Roman" w:hint="default"/>
        </w:rPr>
        <w:t>2</w:t>
      </w:r>
      <w:r>
        <w:rPr/>
        <w:t>、技术升级、城镇化进程推动家电行业稳步增长</w:t>
      </w:r>
    </w:p>
    <w:p>
      <w:pPr>
        <w:pStyle w:val="BodyText"/>
        <w:spacing w:line="350" w:lineRule="auto"/>
        <w:ind w:right="1314"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年受一系列激励政策效应减弱影响，家电消费增速放缓。但家电厂商加大了 </w:t>
      </w:r>
      <w:r>
        <w:rPr>
          <w:spacing w:val="-3"/>
        </w:rPr>
        <w:t>对产品技术升级研发投入，推动产品更新换代需求的提升。具备变频节能技术的变频空</w:t>
      </w:r>
      <w:r>
        <w:rPr>
          <w:spacing w:val="-98"/>
        </w:rPr>
        <w:t> </w:t>
      </w:r>
      <w:r>
        <w:rPr>
          <w:spacing w:val="-98"/>
        </w:rPr>
      </w:r>
      <w:r>
        <w:rPr/>
        <w:t>调、变频洗衣机的销售占比逐步提升；智能系统的盛行和应用产品的海量开发，</w:t>
      </w:r>
      <w:r>
        <w:rPr>
          <w:rFonts w:ascii="Times New Roman" w:hAnsi="Times New Roman" w:cs="Times New Roman" w:eastAsia="Times New Roman" w:hint="default"/>
        </w:rPr>
        <w:t>3G</w:t>
      </w:r>
      <w:r>
        <w:rPr>
          <w:rFonts w:ascii="Times New Roman" w:hAnsi="Times New Roman" w:cs="Times New Roman" w:eastAsia="Times New Roman" w:hint="default"/>
          <w:spacing w:val="35"/>
        </w:rPr>
        <w:t> </w:t>
      </w:r>
      <w:r>
        <w:rPr/>
        <w:t>手 </w:t>
      </w:r>
      <w:r>
        <w:rPr>
          <w:spacing w:val="-3"/>
        </w:rPr>
        <w:t>机、智能手机加快了普及力度，销售数量和产品占比保持快速增长；电视厂商对智能系</w:t>
      </w:r>
      <w:r>
        <w:rPr>
          <w:spacing w:val="-101"/>
        </w:rPr>
        <w:t> </w:t>
      </w:r>
      <w:r>
        <w:rPr>
          <w:spacing w:val="-101"/>
        </w:rPr>
      </w:r>
      <w:r>
        <w:rPr>
          <w:spacing w:val="-6"/>
        </w:rPr>
        <w:t>统、云计算的系统支持以及对电视内容的大力开发也推动了智能电视的销售。另一方面，</w:t>
      </w:r>
      <w:r>
        <w:rPr>
          <w:spacing w:val="-97"/>
        </w:rPr>
        <w:t> </w:t>
      </w:r>
      <w:r>
        <w:rPr>
          <w:spacing w:val="-97"/>
        </w:rPr>
      </w:r>
      <w:r>
        <w:rPr>
          <w:spacing w:val="-3"/>
        </w:rPr>
        <w:t>随着城镇化进程加快，三四级市场居民收入水平显著提高，家庭电器消费刚性需求也进</w:t>
      </w:r>
      <w:r>
        <w:rPr>
          <w:spacing w:val="-97"/>
        </w:rPr>
        <w:t> </w:t>
      </w:r>
      <w:r>
        <w:rPr>
          <w:spacing w:val="-97"/>
        </w:rPr>
      </w:r>
      <w:r>
        <w:rPr/>
        <w:t>一步释放。</w:t>
      </w:r>
    </w:p>
    <w:p>
      <w:pPr>
        <w:pStyle w:val="BodyText"/>
        <w:spacing w:line="338" w:lineRule="auto" w:before="43"/>
        <w:ind w:right="1314" w:firstLine="480"/>
        <w:jc w:val="left"/>
      </w:pPr>
      <w:r>
        <w:rPr/>
        <w:t>综上，</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年家电行业保持稳定增长，据北京中怡康时代市场研究有限公司数据 显示，</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年中国家电市场零售总额达</w:t>
      </w:r>
      <w:r>
        <w:rPr>
          <w:spacing w:val="-64"/>
        </w:rPr>
        <w:t> </w:t>
      </w:r>
      <w:r>
        <w:rPr>
          <w:rFonts w:ascii="Times New Roman" w:hAnsi="Times New Roman" w:cs="Times New Roman" w:eastAsia="Times New Roman" w:hint="default"/>
        </w:rPr>
        <w:t>12,030</w:t>
      </w:r>
      <w:r>
        <w:rPr>
          <w:rFonts w:ascii="Times New Roman" w:hAnsi="Times New Roman" w:cs="Times New Roman" w:eastAsia="Times New Roman" w:hint="default"/>
          <w:spacing w:val="-4"/>
        </w:rPr>
        <w:t> </w:t>
      </w:r>
      <w:r>
        <w:rPr/>
        <w:t>亿元，较</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年同期增长了</w:t>
      </w:r>
      <w:r>
        <w:rPr>
          <w:spacing w:val="-64"/>
        </w:rPr>
        <w:t> </w:t>
      </w:r>
      <w:r>
        <w:rPr>
          <w:rFonts w:ascii="Times New Roman" w:hAnsi="Times New Roman" w:cs="Times New Roman" w:eastAsia="Times New Roman" w:hint="default"/>
        </w:rPr>
        <w:t>11.8%</w:t>
      </w:r>
      <w:r>
        <w:rPr/>
        <w:t>。</w:t>
      </w:r>
    </w:p>
    <w:p>
      <w:pPr>
        <w:spacing w:after="0" w:line="338" w:lineRule="auto"/>
        <w:jc w:val="left"/>
        <w:sectPr>
          <w:type w:val="continuous"/>
          <w:pgSz w:w="11910" w:h="16840"/>
          <w:pgMar w:top="980" w:bottom="110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720" w:right="3386"/>
        <w:jc w:val="left"/>
      </w:pPr>
      <w:r>
        <w:rPr/>
        <w:t>（二）连锁发展情况分析</w:t>
      </w:r>
    </w:p>
    <w:p>
      <w:pPr>
        <w:pStyle w:val="BodyText"/>
        <w:spacing w:line="240" w:lineRule="auto" w:before="154"/>
        <w:ind w:left="221" w:right="7446"/>
        <w:jc w:val="center"/>
      </w:pPr>
      <w:r>
        <w:rPr>
          <w:rFonts w:ascii="Times New Roman" w:hAnsi="Times New Roman" w:cs="Times New Roman" w:eastAsia="Times New Roman" w:hint="default"/>
        </w:rPr>
        <w:t>1</w:t>
      </w:r>
      <w:r>
        <w:rPr/>
        <w:t>、连锁发展基本情况</w:t>
      </w:r>
    </w:p>
    <w:p>
      <w:pPr>
        <w:pStyle w:val="BodyText"/>
        <w:spacing w:line="240" w:lineRule="auto"/>
        <w:ind w:left="482" w:right="3386"/>
        <w:jc w:val="left"/>
      </w:pPr>
      <w:r>
        <w:rPr/>
        <w:t>（</w:t>
      </w:r>
      <w:r>
        <w:rPr>
          <w:rFonts w:ascii="Times New Roman" w:hAnsi="Times New Roman" w:cs="Times New Roman" w:eastAsia="Times New Roman" w:hint="default"/>
        </w:rPr>
        <w:t>1</w:t>
      </w:r>
      <w:r>
        <w:rPr/>
        <w:t>）大陆市场</w:t>
      </w:r>
    </w:p>
    <w:p>
      <w:pPr>
        <w:pStyle w:val="BodyText"/>
        <w:spacing w:line="240" w:lineRule="auto"/>
        <w:ind w:left="720" w:right="1328"/>
        <w:jc w:val="left"/>
      </w:pPr>
      <w:r>
        <w:rPr/>
        <w:t>①</w:t>
      </w:r>
      <w:r>
        <w:rPr>
          <w:spacing w:val="-5"/>
        </w:rPr>
        <w:t> </w:t>
      </w:r>
      <w:r>
        <w:rPr/>
        <w:t>报告期内，公司新进地级以上城市</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个，新开常规店</w:t>
      </w:r>
      <w:r>
        <w:rPr>
          <w:spacing w:val="-62"/>
        </w:rPr>
        <w:t> </w:t>
      </w:r>
      <w:r>
        <w:rPr>
          <w:rFonts w:ascii="Times New Roman" w:hAnsi="Times New Roman" w:cs="Times New Roman" w:eastAsia="Times New Roman" w:hint="default"/>
        </w:rPr>
        <w:t>365</w:t>
      </w:r>
      <w:r>
        <w:rPr>
          <w:rFonts w:ascii="Times New Roman" w:hAnsi="Times New Roman" w:cs="Times New Roman" w:eastAsia="Times New Roman" w:hint="default"/>
          <w:spacing w:val="-2"/>
        </w:rPr>
        <w:t> </w:t>
      </w:r>
      <w:r>
        <w:rPr>
          <w:spacing w:val="-5"/>
        </w:rPr>
        <w:t>家，精品店</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8"/>
        </w:rPr>
        <w:t>家，县</w:t>
      </w:r>
    </w:p>
    <w:p>
      <w:pPr>
        <w:pStyle w:val="BodyText"/>
        <w:spacing w:line="350" w:lineRule="auto"/>
        <w:ind w:left="240" w:right="1303"/>
        <w:jc w:val="left"/>
      </w:pPr>
      <w:r>
        <w:rPr/>
        <w:t>镇店</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家，乐购仕生活广场店</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家，共置换</w:t>
      </w:r>
      <w:r>
        <w:rPr>
          <w:rFonts w:ascii="Times New Roman" w:hAnsi="Times New Roman" w:cs="Times New Roman" w:eastAsia="Times New Roman" w:hint="default"/>
        </w:rPr>
        <w:t>/</w:t>
      </w:r>
      <w:r>
        <w:rPr/>
        <w:t>关闭连锁店</w:t>
      </w:r>
      <w:r>
        <w:rPr>
          <w:spacing w:val="-65"/>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家，净增加连锁店</w:t>
      </w:r>
      <w:r>
        <w:rPr>
          <w:spacing w:val="-65"/>
        </w:rPr>
        <w:t> </w:t>
      </w:r>
      <w:r>
        <w:rPr>
          <w:rFonts w:ascii="Times New Roman" w:hAnsi="Times New Roman" w:cs="Times New Roman" w:eastAsia="Times New Roman" w:hint="default"/>
        </w:rPr>
        <w:t>373</w:t>
      </w:r>
      <w:r>
        <w:rPr>
          <w:rFonts w:ascii="Times New Roman" w:hAnsi="Times New Roman" w:cs="Times New Roman" w:eastAsia="Times New Roman" w:hint="default"/>
          <w:spacing w:val="-5"/>
        </w:rPr>
        <w:t> </w:t>
      </w:r>
      <w:r>
        <w:rPr/>
        <w:t>家， </w:t>
      </w:r>
      <w:r>
        <w:rPr>
          <w:spacing w:val="-3"/>
        </w:rPr>
        <w:t>其中乐购仕生活广场店成功开业，实现公司双品牌战略运作，乐购仕生活广场店突破了</w:t>
      </w:r>
      <w:r>
        <w:rPr>
          <w:spacing w:val="-97"/>
        </w:rPr>
        <w:t> </w:t>
      </w:r>
      <w:r>
        <w:rPr>
          <w:spacing w:val="-97"/>
        </w:rPr>
      </w:r>
      <w:r>
        <w:rPr>
          <w:spacing w:val="-3"/>
        </w:rPr>
        <w:t>现有家电连锁的操作形式，采用全自营销售，无论在店面形象、信息化运用，还是在接</w:t>
      </w:r>
      <w:r>
        <w:rPr>
          <w:spacing w:val="-96"/>
        </w:rPr>
        <w:t> </w:t>
      </w:r>
      <w:r>
        <w:rPr>
          <w:spacing w:val="-96"/>
        </w:rPr>
      </w:r>
      <w:r>
        <w:rPr/>
        <w:t>待服务、顾客体验方面，都处于全国行业领先水平。</w:t>
      </w:r>
    </w:p>
    <w:p>
      <w:pPr>
        <w:pStyle w:val="BodyText"/>
        <w:spacing w:line="350" w:lineRule="auto" w:before="43"/>
        <w:ind w:left="240" w:right="1433" w:firstLine="480"/>
        <w:jc w:val="both"/>
      </w:pPr>
      <w:r>
        <w:rPr/>
        <w:t>②</w:t>
      </w:r>
      <w:r>
        <w:rPr>
          <w:spacing w:val="19"/>
        </w:rPr>
        <w:t> </w:t>
      </w:r>
      <w:r>
        <w:rPr/>
        <w:t>报告期内，公司围绕构筑行业第一网络平台的目标，持续推进“租、建、购、</w:t>
      </w:r>
      <w:r>
        <w:rPr/>
        <w:t> </w:t>
      </w:r>
      <w:r>
        <w:rPr>
          <w:spacing w:val="-3"/>
        </w:rPr>
        <w:t>并”的综合开发策略，分别在牡丹江、大庆、长春、沈阳、北京、厦门、抚州、重庆的</w:t>
      </w:r>
      <w:r>
        <w:rPr>
          <w:spacing w:val="-98"/>
        </w:rPr>
        <w:t> </w:t>
      </w:r>
      <w:r>
        <w:rPr>
          <w:spacing w:val="-98"/>
        </w:rPr>
      </w:r>
      <w:r>
        <w:rPr/>
        <w:t>核心商圈新增购置店项目</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个，截止报告期末公司拥有自有物业连锁店</w:t>
      </w:r>
      <w:r>
        <w:rPr>
          <w:spacing w:val="-52"/>
        </w:rPr>
        <w:t> </w:t>
      </w:r>
      <w:r>
        <w:rPr>
          <w:rFonts w:ascii="Times New Roman" w:hAnsi="Times New Roman" w:cs="Times New Roman" w:eastAsia="Times New Roman" w:hint="default"/>
        </w:rPr>
        <w:t>35</w:t>
      </w:r>
      <w:r>
        <w:rPr>
          <w:rFonts w:ascii="Times New Roman" w:hAnsi="Times New Roman" w:cs="Times New Roman" w:eastAsia="Times New Roman" w:hint="default"/>
          <w:spacing w:val="7"/>
        </w:rPr>
        <w:t> </w:t>
      </w:r>
      <w:r>
        <w:rPr/>
        <w:t>个。此外， 公司分别在成都、青岛开设了以合作开发模式实施的自建店项目。</w:t>
      </w:r>
    </w:p>
    <w:p>
      <w:pPr>
        <w:pStyle w:val="BodyText"/>
        <w:spacing w:line="240" w:lineRule="auto" w:before="43"/>
        <w:ind w:left="720" w:right="1328"/>
        <w:jc w:val="left"/>
      </w:pPr>
      <w:r>
        <w:rPr/>
        <w:t>③</w:t>
      </w:r>
      <w:r>
        <w:rPr>
          <w:spacing w:val="-1"/>
        </w:rPr>
        <w:t> </w:t>
      </w: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年末，公司已在全国</w:t>
      </w:r>
      <w:r>
        <w:rPr>
          <w:spacing w:val="-60"/>
        </w:rPr>
        <w:t> </w:t>
      </w:r>
      <w:r>
        <w:rPr>
          <w:rFonts w:ascii="Times New Roman" w:hAnsi="Times New Roman" w:cs="Times New Roman" w:eastAsia="Times New Roman" w:hint="default"/>
        </w:rPr>
        <w:t>256 </w:t>
      </w:r>
      <w:r>
        <w:rPr/>
        <w:t>个地级以上城市拥有连锁店共计</w:t>
      </w:r>
      <w:r>
        <w:rPr>
          <w:spacing w:val="-60"/>
        </w:rPr>
        <w:t> </w:t>
      </w:r>
      <w:r>
        <w:rPr>
          <w:rFonts w:ascii="Times New Roman" w:hAnsi="Times New Roman" w:cs="Times New Roman" w:eastAsia="Times New Roman" w:hint="default"/>
        </w:rPr>
        <w:t>1,684 </w:t>
      </w:r>
      <w:r>
        <w:rPr/>
        <w:t>家，</w:t>
      </w:r>
    </w:p>
    <w:p>
      <w:pPr>
        <w:pStyle w:val="BodyText"/>
        <w:spacing w:line="338" w:lineRule="auto"/>
        <w:ind w:left="240" w:right="1423"/>
        <w:jc w:val="left"/>
      </w:pPr>
      <w:r>
        <w:rPr/>
        <w:t>其中常规店</w:t>
      </w:r>
      <w:r>
        <w:rPr>
          <w:spacing w:val="-50"/>
        </w:rPr>
        <w:t> </w:t>
      </w:r>
      <w:r>
        <w:rPr>
          <w:rFonts w:ascii="Times New Roman" w:hAnsi="Times New Roman" w:cs="Times New Roman" w:eastAsia="Times New Roman" w:hint="default"/>
        </w:rPr>
        <w:t>1,532</w:t>
      </w:r>
      <w:r>
        <w:rPr>
          <w:rFonts w:ascii="Times New Roman" w:hAnsi="Times New Roman" w:cs="Times New Roman" w:eastAsia="Times New Roman" w:hint="default"/>
          <w:spacing w:val="11"/>
        </w:rPr>
        <w:t> </w:t>
      </w:r>
      <w:r>
        <w:rPr/>
        <w:t>家、精品店</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家、县镇店</w:t>
      </w:r>
      <w:r>
        <w:rPr>
          <w:spacing w:val="-51"/>
        </w:rPr>
        <w:t> </w:t>
      </w:r>
      <w:r>
        <w:rPr>
          <w:rFonts w:ascii="Times New Roman" w:hAnsi="Times New Roman" w:cs="Times New Roman" w:eastAsia="Times New Roman" w:hint="default"/>
        </w:rPr>
        <w:t>134</w:t>
      </w:r>
      <w:r>
        <w:rPr>
          <w:rFonts w:ascii="Times New Roman" w:hAnsi="Times New Roman" w:cs="Times New Roman" w:eastAsia="Times New Roman" w:hint="default"/>
          <w:spacing w:val="11"/>
        </w:rPr>
        <w:t> </w:t>
      </w:r>
      <w:r>
        <w:rPr/>
        <w:t>家、乐购仕生活广场店</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家，连锁店 面积合计达</w:t>
      </w:r>
      <w:r>
        <w:rPr>
          <w:spacing w:val="-62"/>
        </w:rPr>
        <w:t> </w:t>
      </w:r>
      <w:r>
        <w:rPr>
          <w:rFonts w:ascii="Times New Roman" w:hAnsi="Times New Roman" w:cs="Times New Roman" w:eastAsia="Times New Roman" w:hint="default"/>
        </w:rPr>
        <w:t>682.88</w:t>
      </w:r>
      <w:r>
        <w:rPr>
          <w:rFonts w:ascii="Times New Roman" w:hAnsi="Times New Roman" w:cs="Times New Roman" w:eastAsia="Times New Roman" w:hint="default"/>
          <w:spacing w:val="-1"/>
        </w:rPr>
        <w:t> </w:t>
      </w:r>
      <w:r>
        <w:rPr/>
        <w:t>万平方米，比上年同期增长</w:t>
      </w:r>
      <w:r>
        <w:rPr>
          <w:spacing w:val="-60"/>
        </w:rPr>
        <w:t> </w:t>
      </w:r>
      <w:r>
        <w:rPr>
          <w:rFonts w:ascii="Times New Roman" w:hAnsi="Times New Roman" w:cs="Times New Roman" w:eastAsia="Times New Roman" w:hint="default"/>
        </w:rPr>
        <w:t>32.32%</w:t>
      </w:r>
      <w:r>
        <w:rPr/>
        <w:t>。</w:t>
      </w:r>
    </w:p>
    <w:p>
      <w:pPr>
        <w:pStyle w:val="BodyText"/>
        <w:spacing w:line="338" w:lineRule="auto" w:before="27"/>
        <w:ind w:left="720" w:right="1422"/>
        <w:jc w:val="left"/>
      </w:pPr>
      <w:r>
        <w:rPr/>
        <w:t>（</w:t>
      </w:r>
      <w:r>
        <w:rPr>
          <w:rFonts w:ascii="Times New Roman" w:hAnsi="Times New Roman" w:cs="Times New Roman" w:eastAsia="Times New Roman" w:hint="default"/>
        </w:rPr>
        <w:t>2</w:t>
      </w:r>
      <w:r>
        <w:rPr/>
        <w:t>）国际市场 </w:t>
      </w:r>
      <w:r>
        <w:rPr>
          <w:spacing w:val="-3"/>
        </w:rPr>
        <w:t>报告期内，公司继续巩固香港和日本地区海外并购成果，香港地区全年新开连锁店</w:t>
      </w:r>
    </w:p>
    <w:p>
      <w:pPr>
        <w:pStyle w:val="BodyText"/>
        <w:spacing w:line="240" w:lineRule="auto" w:before="55"/>
        <w:ind w:left="240" w:right="1328"/>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家，关闭</w:t>
      </w:r>
      <w:r>
        <w:rPr>
          <w:rFonts w:ascii="Times New Roman" w:hAnsi="Times New Roman" w:cs="Times New Roman" w:eastAsia="Times New Roman" w:hint="default"/>
        </w:rPr>
        <w:t>/</w:t>
      </w:r>
      <w:r>
        <w:rPr/>
        <w:t>置换</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家，净增加</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家连锁店；日本地区新开连锁店</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家，关闭</w:t>
      </w:r>
      <w:r>
        <w:rPr>
          <w:rFonts w:ascii="Times New Roman" w:hAnsi="Times New Roman" w:cs="Times New Roman" w:eastAsia="Times New Roman" w:hint="default"/>
        </w:rPr>
        <w:t>/</w:t>
      </w:r>
      <w:r>
        <w:rPr/>
        <w:t>置换连锁</w:t>
      </w:r>
    </w:p>
    <w:p>
      <w:pPr>
        <w:pStyle w:val="BodyText"/>
        <w:spacing w:line="240" w:lineRule="auto"/>
        <w:ind w:left="240" w:right="1328"/>
        <w:jc w:val="left"/>
      </w:pPr>
      <w:r>
        <w:rPr/>
        <w:t>店</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家，净增加连锁店</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家。截止报告期末公司在香港地区拥有连锁店</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家，在日本</w:t>
      </w:r>
    </w:p>
    <w:p>
      <w:pPr>
        <w:pStyle w:val="BodyText"/>
        <w:spacing w:line="240" w:lineRule="auto"/>
        <w:ind w:left="240" w:right="3386"/>
        <w:jc w:val="left"/>
      </w:pPr>
      <w:r>
        <w:rPr/>
        <w:t>地区拥有连锁店</w:t>
      </w:r>
      <w:r>
        <w:rPr>
          <w:spacing w:val="-61"/>
        </w:rPr>
        <w:t> </w:t>
      </w:r>
      <w:r>
        <w:rPr>
          <w:rFonts w:ascii="Times New Roman" w:hAnsi="Times New Roman" w:cs="Times New Roman" w:eastAsia="Times New Roman" w:hint="default"/>
        </w:rPr>
        <w:t>10 </w:t>
      </w:r>
      <w:r>
        <w:rPr/>
        <w:t>家。</w:t>
      </w:r>
    </w:p>
    <w:p>
      <w:pPr>
        <w:pStyle w:val="BodyText"/>
        <w:spacing w:line="240" w:lineRule="auto" w:before="136"/>
        <w:ind w:left="720" w:right="1328"/>
        <w:jc w:val="left"/>
        <w:rPr>
          <w:rFonts w:ascii="Times New Roman" w:hAnsi="Times New Roman" w:cs="Times New Roman" w:eastAsia="Times New Roman" w:hint="default"/>
        </w:rPr>
      </w:pPr>
      <w:r>
        <w:rPr/>
        <w:t>综上，截止报告期末，公司在中国大陆、香港地区、日本市场共拥有连锁店</w:t>
      </w:r>
      <w:r>
        <w:rPr>
          <w:spacing w:val="-30"/>
        </w:rPr>
        <w:t> </w:t>
      </w:r>
      <w:r>
        <w:rPr>
          <w:rFonts w:ascii="Times New Roman" w:hAnsi="Times New Roman" w:cs="Times New Roman" w:eastAsia="Times New Roman" w:hint="default"/>
        </w:rPr>
        <w:t>1,724</w:t>
      </w:r>
    </w:p>
    <w:p>
      <w:pPr>
        <w:pStyle w:val="BodyText"/>
        <w:spacing w:line="240" w:lineRule="auto"/>
        <w:ind w:left="240" w:right="3386"/>
        <w:jc w:val="left"/>
      </w:pPr>
      <w:r>
        <w:rPr/>
        <w:t>家。</w:t>
      </w:r>
    </w:p>
    <w:p>
      <w:pPr>
        <w:pStyle w:val="BodyText"/>
        <w:spacing w:line="240" w:lineRule="auto" w:before="154"/>
        <w:ind w:left="720" w:right="3386"/>
        <w:jc w:val="left"/>
      </w:pPr>
      <w:r>
        <w:rPr>
          <w:rFonts w:ascii="Times New Roman" w:hAnsi="Times New Roman" w:cs="Times New Roman" w:eastAsia="Times New Roman" w:hint="default"/>
        </w:rPr>
        <w:t>2</w:t>
      </w:r>
      <w:r>
        <w:rPr/>
        <w:t>、连锁店结构分析</w:t>
      </w:r>
    </w:p>
    <w:p>
      <w:pPr>
        <w:pStyle w:val="BodyText"/>
        <w:spacing w:line="240" w:lineRule="auto" w:before="104"/>
        <w:ind w:left="720" w:right="3386"/>
        <w:jc w:val="left"/>
      </w:pPr>
      <w:r>
        <w:rPr/>
        <w:t>（</w:t>
      </w:r>
      <w:r>
        <w:rPr>
          <w:rFonts w:ascii="Times New Roman" w:hAnsi="Times New Roman" w:cs="Times New Roman" w:eastAsia="Times New Roman" w:hint="default"/>
        </w:rPr>
        <w:t>1</w:t>
      </w:r>
      <w:r>
        <w:rPr/>
        <w:t>）连锁店地区分布情况</w:t>
      </w:r>
    </w:p>
    <w:p>
      <w:pPr>
        <w:spacing w:line="240" w:lineRule="auto" w:before="1"/>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076"/>
        <w:gridCol w:w="689"/>
        <w:gridCol w:w="691"/>
        <w:gridCol w:w="689"/>
        <w:gridCol w:w="692"/>
        <w:gridCol w:w="689"/>
        <w:gridCol w:w="638"/>
        <w:gridCol w:w="638"/>
        <w:gridCol w:w="639"/>
        <w:gridCol w:w="583"/>
        <w:gridCol w:w="583"/>
        <w:gridCol w:w="638"/>
      </w:tblGrid>
      <w:tr>
        <w:trPr>
          <w:trHeight w:val="1121" w:hRule="exact"/>
        </w:trPr>
        <w:tc>
          <w:tcPr>
            <w:tcW w:w="2076"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68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5"/>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pacing w:val="-103"/>
                <w:sz w:val="21"/>
                <w:szCs w:val="21"/>
              </w:rPr>
              <w:t> </w:t>
            </w:r>
            <w:r>
              <w:rPr>
                <w:rFonts w:ascii="宋体" w:hAnsi="宋体" w:cs="宋体" w:eastAsia="宋体" w:hint="default"/>
                <w:sz w:val="21"/>
                <w:szCs w:val="21"/>
              </w:rPr>
              <w:t>一区</w:t>
            </w:r>
          </w:p>
        </w:tc>
        <w:tc>
          <w:tcPr>
            <w:tcW w:w="69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7"/>
              <w:jc w:val="left"/>
              <w:rPr>
                <w:rFonts w:ascii="宋体" w:hAnsi="宋体" w:cs="宋体" w:eastAsia="宋体" w:hint="default"/>
                <w:sz w:val="21"/>
                <w:szCs w:val="21"/>
              </w:rPr>
            </w:pPr>
            <w:r>
              <w:rPr>
                <w:rFonts w:ascii="宋体" w:hAnsi="宋体" w:cs="宋体" w:eastAsia="宋体" w:hint="default"/>
                <w:sz w:val="21"/>
                <w:szCs w:val="21"/>
              </w:rPr>
              <w:t>华东</w:t>
            </w:r>
            <w:r>
              <w:rPr>
                <w:rFonts w:ascii="宋体" w:hAnsi="宋体" w:cs="宋体" w:eastAsia="宋体" w:hint="default"/>
                <w:spacing w:val="-103"/>
                <w:sz w:val="21"/>
                <w:szCs w:val="21"/>
              </w:rPr>
              <w:t> </w:t>
            </w:r>
            <w:r>
              <w:rPr>
                <w:rFonts w:ascii="宋体" w:hAnsi="宋体" w:cs="宋体" w:eastAsia="宋体" w:hint="default"/>
                <w:sz w:val="21"/>
                <w:szCs w:val="21"/>
              </w:rPr>
              <w:t>二区</w:t>
            </w:r>
          </w:p>
        </w:tc>
        <w:tc>
          <w:tcPr>
            <w:tcW w:w="68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5"/>
              <w:jc w:val="left"/>
              <w:rPr>
                <w:rFonts w:ascii="宋体" w:hAnsi="宋体" w:cs="宋体" w:eastAsia="宋体" w:hint="default"/>
                <w:sz w:val="21"/>
                <w:szCs w:val="21"/>
              </w:rPr>
            </w:pPr>
            <w:r>
              <w:rPr>
                <w:rFonts w:ascii="宋体" w:hAnsi="宋体" w:cs="宋体" w:eastAsia="宋体" w:hint="default"/>
                <w:sz w:val="21"/>
                <w:szCs w:val="21"/>
              </w:rPr>
              <w:t>华南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9"/>
              <w:jc w:val="left"/>
              <w:rPr>
                <w:rFonts w:ascii="宋体" w:hAnsi="宋体" w:cs="宋体" w:eastAsia="宋体" w:hint="default"/>
                <w:sz w:val="21"/>
                <w:szCs w:val="21"/>
              </w:rPr>
            </w:pPr>
            <w:r>
              <w:rPr>
                <w:rFonts w:ascii="宋体" w:hAnsi="宋体" w:cs="宋体" w:eastAsia="宋体" w:hint="default"/>
                <w:sz w:val="21"/>
                <w:szCs w:val="21"/>
              </w:rPr>
              <w:t>华北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8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125"/>
              <w:jc w:val="left"/>
              <w:rPr>
                <w:rFonts w:ascii="宋体" w:hAnsi="宋体" w:cs="宋体" w:eastAsia="宋体" w:hint="default"/>
                <w:sz w:val="21"/>
                <w:szCs w:val="21"/>
              </w:rPr>
            </w:pPr>
            <w:r>
              <w:rPr>
                <w:rFonts w:ascii="宋体" w:hAnsi="宋体" w:cs="宋体" w:eastAsia="宋体" w:hint="default"/>
                <w:sz w:val="21"/>
                <w:szCs w:val="21"/>
              </w:rPr>
              <w:t>西南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华中</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3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东北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63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西北</w:t>
            </w:r>
            <w:r>
              <w:rPr>
                <w:rFonts w:ascii="宋体" w:hAnsi="宋体" w:cs="宋体" w:eastAsia="宋体" w:hint="default"/>
                <w:spacing w:val="-103"/>
                <w:sz w:val="21"/>
                <w:szCs w:val="21"/>
              </w:rPr>
              <w:t> </w:t>
            </w:r>
            <w:r>
              <w:rPr>
                <w:rFonts w:ascii="宋体" w:hAnsi="宋体" w:cs="宋体" w:eastAsia="宋体" w:hint="default"/>
                <w:sz w:val="21"/>
                <w:szCs w:val="21"/>
              </w:rPr>
              <w:t>地区</w:t>
            </w:r>
          </w:p>
        </w:tc>
        <w:tc>
          <w:tcPr>
            <w:tcW w:w="58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79" w:right="18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w w:val="100"/>
                <w:sz w:val="21"/>
                <w:szCs w:val="21"/>
              </w:rPr>
              <w:t> </w:t>
            </w:r>
            <w:r>
              <w:rPr>
                <w:rFonts w:ascii="宋体" w:hAnsi="宋体" w:cs="宋体" w:eastAsia="宋体" w:hint="default"/>
                <w:sz w:val="21"/>
                <w:szCs w:val="21"/>
              </w:rPr>
              <w:t>港</w:t>
            </w:r>
          </w:p>
          <w:p>
            <w:pPr>
              <w:pStyle w:val="TableParagraph"/>
              <w:spacing w:line="274" w:lineRule="exact"/>
              <w:ind w:left="179" w:right="18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w w:val="100"/>
                <w:sz w:val="21"/>
                <w:szCs w:val="21"/>
              </w:rPr>
              <w:t> </w:t>
            </w:r>
            <w:r>
              <w:rPr>
                <w:rFonts w:ascii="宋体" w:hAnsi="宋体" w:cs="宋体" w:eastAsia="宋体" w:hint="default"/>
                <w:sz w:val="21"/>
                <w:szCs w:val="21"/>
              </w:rPr>
              <w:t>区</w:t>
            </w:r>
          </w:p>
        </w:tc>
        <w:tc>
          <w:tcPr>
            <w:tcW w:w="583"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79" w:right="18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74" w:lineRule="exact"/>
              <w:ind w:left="179" w:right="18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p>
        </w:tc>
        <w:tc>
          <w:tcPr>
            <w:tcW w:w="638"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4"/>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67" w:hRule="exact"/>
        </w:trPr>
        <w:tc>
          <w:tcPr>
            <w:tcW w:w="207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店面数量（家）</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367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spacing w:val="-2"/>
                <w:w w:val="95"/>
                <w:sz w:val="20"/>
              </w:rPr>
              <w:t>311</w:t>
            </w:r>
            <w:r>
              <w:rPr>
                <w:rFonts w:ascii="Times New Roman"/>
                <w:spacing w:val="-2"/>
                <w:sz w:val="20"/>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270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sz w:val="20"/>
              </w:rPr>
              <w:t>226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180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4" w:right="0"/>
              <w:jc w:val="center"/>
              <w:rPr>
                <w:rFonts w:ascii="Times New Roman" w:hAnsi="Times New Roman" w:cs="Times New Roman" w:eastAsia="Times New Roman" w:hint="default"/>
                <w:sz w:val="20"/>
                <w:szCs w:val="20"/>
              </w:rPr>
            </w:pPr>
            <w:r>
              <w:rPr>
                <w:rFonts w:ascii="Times New Roman"/>
                <w:sz w:val="20"/>
              </w:rPr>
              <w:t>143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4" w:right="0"/>
              <w:jc w:val="center"/>
              <w:rPr>
                <w:rFonts w:ascii="Times New Roman" w:hAnsi="Times New Roman" w:cs="Times New Roman" w:eastAsia="Times New Roman" w:hint="default"/>
                <w:sz w:val="20"/>
                <w:szCs w:val="20"/>
              </w:rPr>
            </w:pPr>
            <w:r>
              <w:rPr>
                <w:rFonts w:ascii="Times New Roman"/>
                <w:sz w:val="20"/>
              </w:rPr>
              <w:t>109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78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30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0"/>
                <w:szCs w:val="20"/>
              </w:rPr>
            </w:pPr>
            <w:r>
              <w:rPr>
                <w:rFonts w:ascii="Times New Roman"/>
                <w:sz w:val="20"/>
              </w:rPr>
              <w:t>10</w:t>
            </w:r>
          </w:p>
        </w:tc>
        <w:tc>
          <w:tcPr>
            <w:tcW w:w="638"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right="83"/>
              <w:jc w:val="right"/>
              <w:rPr>
                <w:rFonts w:ascii="Times New Roman" w:hAnsi="Times New Roman" w:cs="Times New Roman" w:eastAsia="Times New Roman" w:hint="default"/>
                <w:sz w:val="21"/>
                <w:szCs w:val="21"/>
              </w:rPr>
            </w:pPr>
            <w:r>
              <w:rPr>
                <w:rFonts w:ascii="Times New Roman"/>
                <w:sz w:val="21"/>
              </w:rPr>
              <w:t>1724</w:t>
            </w:r>
          </w:p>
        </w:tc>
      </w:tr>
      <w:tr>
        <w:trPr>
          <w:trHeight w:val="389" w:hRule="exact"/>
        </w:trPr>
        <w:tc>
          <w:tcPr>
            <w:tcW w:w="207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12"/>
              <w:ind w:left="86" w:right="0"/>
              <w:jc w:val="left"/>
              <w:rPr>
                <w:rFonts w:ascii="宋体" w:hAnsi="宋体" w:cs="宋体" w:eastAsia="宋体" w:hint="default"/>
                <w:sz w:val="21"/>
                <w:szCs w:val="21"/>
              </w:rPr>
            </w:pPr>
            <w:r>
              <w:rPr>
                <w:rFonts w:ascii="宋体" w:hAnsi="宋体" w:cs="宋体" w:eastAsia="宋体" w:hint="default"/>
                <w:sz w:val="21"/>
                <w:szCs w:val="21"/>
              </w:rPr>
              <w:t>占总店数比例（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6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z w:val="20"/>
              </w:rPr>
              <w:t>21.29</w:t>
            </w:r>
          </w:p>
        </w:tc>
        <w:tc>
          <w:tcPr>
            <w:tcW w:w="6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18.04</w:t>
            </w:r>
          </w:p>
        </w:tc>
        <w:tc>
          <w:tcPr>
            <w:tcW w:w="6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z w:val="20"/>
              </w:rPr>
              <w:t>15.66</w:t>
            </w:r>
          </w:p>
        </w:tc>
        <w:tc>
          <w:tcPr>
            <w:tcW w:w="6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pacing w:val="-2"/>
                <w:sz w:val="20"/>
              </w:rPr>
              <w:t>13.11</w:t>
            </w:r>
          </w:p>
        </w:tc>
        <w:tc>
          <w:tcPr>
            <w:tcW w:w="6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z w:val="20"/>
              </w:rPr>
              <w:t>10.44</w:t>
            </w:r>
          </w:p>
        </w:tc>
        <w:tc>
          <w:tcPr>
            <w:tcW w:w="6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left="72" w:right="0"/>
              <w:jc w:val="center"/>
              <w:rPr>
                <w:rFonts w:ascii="Times New Roman" w:hAnsi="Times New Roman" w:cs="Times New Roman" w:eastAsia="Times New Roman" w:hint="default"/>
                <w:sz w:val="20"/>
                <w:szCs w:val="20"/>
              </w:rPr>
            </w:pPr>
            <w:r>
              <w:rPr>
                <w:rFonts w:ascii="Times New Roman"/>
                <w:sz w:val="20"/>
              </w:rPr>
              <w:t>8.29</w:t>
            </w:r>
          </w:p>
        </w:tc>
        <w:tc>
          <w:tcPr>
            <w:tcW w:w="6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left="72" w:right="0"/>
              <w:jc w:val="center"/>
              <w:rPr>
                <w:rFonts w:ascii="Times New Roman" w:hAnsi="Times New Roman" w:cs="Times New Roman" w:eastAsia="Times New Roman" w:hint="default"/>
                <w:sz w:val="20"/>
                <w:szCs w:val="20"/>
              </w:rPr>
            </w:pPr>
            <w:r>
              <w:rPr>
                <w:rFonts w:ascii="Times New Roman"/>
                <w:sz w:val="20"/>
              </w:rPr>
              <w:t>6.32</w:t>
            </w:r>
          </w:p>
        </w:tc>
        <w:tc>
          <w:tcPr>
            <w:tcW w:w="6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0"/>
                <w:szCs w:val="20"/>
              </w:rPr>
            </w:pPr>
            <w:r>
              <w:rPr>
                <w:rFonts w:ascii="Times New Roman"/>
                <w:sz w:val="20"/>
              </w:rPr>
              <w:t>4.52</w:t>
            </w: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z w:val="20"/>
              </w:rPr>
              <w:t>1.74</w:t>
            </w: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20"/>
                <w:szCs w:val="20"/>
              </w:rPr>
            </w:pPr>
            <w:r>
              <w:rPr>
                <w:rFonts w:ascii="Times New Roman"/>
                <w:sz w:val="20"/>
              </w:rPr>
              <w:t>0.58</w:t>
            </w:r>
          </w:p>
        </w:tc>
        <w:tc>
          <w:tcPr>
            <w:tcW w:w="638"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4"/>
              <w:ind w:right="83"/>
              <w:jc w:val="right"/>
              <w:rPr>
                <w:rFonts w:ascii="Times New Roman" w:hAnsi="Times New Roman" w:cs="Times New Roman" w:eastAsia="Times New Roman" w:hint="default"/>
                <w:sz w:val="21"/>
                <w:szCs w:val="21"/>
              </w:rPr>
            </w:pPr>
            <w:r>
              <w:rPr>
                <w:rFonts w:ascii="Times New Roman"/>
                <w:sz w:val="21"/>
              </w:rPr>
              <w:t>100</w:t>
            </w:r>
          </w:p>
        </w:tc>
      </w:tr>
    </w:tbl>
    <w:p>
      <w:pPr>
        <w:tabs>
          <w:tab w:pos="4825" w:val="left" w:leader="none"/>
        </w:tabs>
        <w:spacing w:line="237" w:lineRule="auto" w:before="88"/>
        <w:ind w:left="1041" w:right="1436" w:hanging="401"/>
        <w:jc w:val="left"/>
        <w:rPr>
          <w:rFonts w:ascii="宋体" w:hAnsi="宋体" w:cs="宋体" w:eastAsia="宋体" w:hint="default"/>
          <w:sz w:val="21"/>
          <w:szCs w:val="21"/>
        </w:rPr>
      </w:pPr>
      <w:r>
        <w:rPr>
          <w:rFonts w:ascii="宋体" w:hAnsi="宋体" w:cs="宋体" w:eastAsia="宋体" w:hint="default"/>
          <w:spacing w:val="-2"/>
          <w:sz w:val="21"/>
          <w:szCs w:val="21"/>
        </w:rPr>
        <w:t>注：华东一区包括江苏、安徽、山东；</w:t>
        <w:tab/>
        <w:t>华东二区包括上海、福建、浙江、江西；</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华南地区包括广东、广西、海南；</w:t>
        <w:tab/>
        <w:t>华北地区包括北京、天津、河北、山西、内蒙；</w:t>
      </w:r>
      <w:r>
        <w:rPr>
          <w:rFonts w:ascii="宋体" w:hAnsi="宋体" w:cs="宋体" w:eastAsia="宋体" w:hint="default"/>
          <w:w w:val="100"/>
          <w:sz w:val="21"/>
          <w:szCs w:val="21"/>
        </w:rPr>
        <w:t> </w:t>
      </w:r>
      <w:r>
        <w:rPr>
          <w:rFonts w:ascii="宋体" w:hAnsi="宋体" w:cs="宋体" w:eastAsia="宋体" w:hint="default"/>
          <w:sz w:val="21"/>
          <w:szCs w:val="21"/>
        </w:rPr>
        <w:t>西南地区包括四川、重庆、云南、贵州；</w:t>
      </w:r>
      <w:r>
        <w:rPr>
          <w:rFonts w:ascii="宋体" w:hAnsi="宋体" w:cs="宋体" w:eastAsia="宋体" w:hint="default"/>
          <w:spacing w:val="-60"/>
          <w:sz w:val="21"/>
          <w:szCs w:val="21"/>
        </w:rPr>
        <w:t> </w:t>
      </w:r>
      <w:r>
        <w:rPr>
          <w:rFonts w:ascii="宋体" w:hAnsi="宋体" w:cs="宋体" w:eastAsia="宋体" w:hint="default"/>
          <w:sz w:val="21"/>
          <w:szCs w:val="21"/>
        </w:rPr>
        <w:t>华中地区包括湖北、湖南、河南；</w:t>
      </w:r>
      <w:r>
        <w:rPr>
          <w:rFonts w:ascii="宋体" w:hAnsi="宋体" w:cs="宋体" w:eastAsia="宋体" w:hint="default"/>
          <w:w w:val="100"/>
          <w:sz w:val="21"/>
          <w:szCs w:val="21"/>
        </w:rPr>
        <w:t> </w:t>
      </w:r>
      <w:r>
        <w:rPr>
          <w:rFonts w:ascii="宋体" w:hAnsi="宋体" w:cs="宋体" w:eastAsia="宋体" w:hint="default"/>
          <w:spacing w:val="-2"/>
          <w:sz w:val="21"/>
          <w:szCs w:val="21"/>
        </w:rPr>
        <w:t>东北地区包括辽宁、黑龙江、吉林；</w:t>
        <w:tab/>
        <w:t>西北地区包括陕西、甘肃、青海、新疆、宁夏；</w:t>
      </w:r>
    </w:p>
    <w:p>
      <w:pPr>
        <w:spacing w:after="0" w:line="237" w:lineRule="auto"/>
        <w:jc w:val="left"/>
        <w:rPr>
          <w:rFonts w:ascii="宋体" w:hAnsi="宋体" w:cs="宋体" w:eastAsia="宋体" w:hint="default"/>
          <w:sz w:val="21"/>
          <w:szCs w:val="21"/>
        </w:rPr>
        <w:sectPr>
          <w:pgSz w:w="11910" w:h="16840"/>
          <w:pgMar w:header="748" w:footer="857" w:top="980" w:bottom="1040" w:left="1200" w:right="0"/>
        </w:sectPr>
      </w:pPr>
    </w:p>
    <w:p>
      <w:pPr>
        <w:spacing w:line="240" w:lineRule="auto" w:before="6"/>
        <w:rPr>
          <w:rFonts w:ascii="宋体" w:hAnsi="宋体" w:cs="宋体" w:eastAsia="宋体" w:hint="default"/>
          <w:sz w:val="29"/>
          <w:szCs w:val="29"/>
        </w:rPr>
      </w:pPr>
    </w:p>
    <w:p>
      <w:pPr>
        <w:pStyle w:val="BodyText"/>
        <w:spacing w:line="314" w:lineRule="auto" w:before="26"/>
        <w:ind w:left="720" w:right="1422"/>
        <w:jc w:val="left"/>
      </w:pPr>
      <w:r>
        <w:rPr/>
        <w:t>（</w:t>
      </w:r>
      <w:r>
        <w:rPr>
          <w:rFonts w:ascii="Times New Roman" w:hAnsi="Times New Roman" w:cs="Times New Roman" w:eastAsia="Times New Roman" w:hint="default"/>
        </w:rPr>
        <w:t>2</w:t>
      </w:r>
      <w:r>
        <w:rPr/>
        <w:t>）连锁店类型分布情况 </w:t>
      </w:r>
      <w:r>
        <w:rPr>
          <w:spacing w:val="-10"/>
        </w:rPr>
        <w:t>报告期内，公司继续推进“地区攻略”、“旗舰店攻略”，同步运用租赁、自建、购</w:t>
      </w:r>
    </w:p>
    <w:p>
      <w:pPr>
        <w:pStyle w:val="BodyText"/>
        <w:spacing w:line="240" w:lineRule="auto" w:before="48"/>
        <w:ind w:left="240" w:right="1422"/>
        <w:jc w:val="left"/>
      </w:pPr>
      <w:r>
        <w:rPr>
          <w:spacing w:val="3"/>
        </w:rPr>
        <w:t>置多种方式，加强重点地区、重点店面的开发。截至报告期末，公司旗舰店占比达到</w:t>
      </w:r>
    </w:p>
    <w:p>
      <w:pPr>
        <w:pStyle w:val="BodyText"/>
        <w:tabs>
          <w:tab w:pos="7561" w:val="left" w:leader="none"/>
        </w:tabs>
        <w:spacing w:line="314" w:lineRule="auto" w:before="122"/>
        <w:ind w:left="720" w:right="2036" w:hanging="480"/>
        <w:jc w:val="left"/>
        <w:rPr>
          <w:sz w:val="21"/>
          <w:szCs w:val="21"/>
        </w:rPr>
      </w:pPr>
      <w:r>
        <w:rPr>
          <w:rFonts w:ascii="Times New Roman" w:hAnsi="Times New Roman" w:cs="Times New Roman" w:eastAsia="Times New Roman" w:hint="default"/>
        </w:rPr>
        <w:t>19.77%</w:t>
      </w:r>
      <w:r>
        <w:rPr/>
        <w:t>，较上年同期增长</w:t>
      </w:r>
      <w:r>
        <w:rPr>
          <w:spacing w:val="-60"/>
        </w:rPr>
        <w:t> </w:t>
      </w:r>
      <w:r>
        <w:rPr>
          <w:rFonts w:ascii="Times New Roman" w:hAnsi="Times New Roman" w:cs="Times New Roman" w:eastAsia="Times New Roman" w:hint="default"/>
        </w:rPr>
        <w:t>1.54 </w:t>
      </w:r>
      <w:r>
        <w:rPr/>
        <w:t>个百分点。</w:t>
      </w:r>
      <w:r>
        <w:rPr>
          <w:w w:val="99"/>
        </w:rPr>
        <w:t> </w:t>
      </w:r>
      <w:r>
        <w:rPr>
          <w:w w:val="95"/>
        </w:rPr>
        <w:t>报告期末，公司大陆地区连锁店按店面类型分布情况如下：</w:t>
        <w:tab/>
      </w:r>
      <w:r>
        <w:rPr>
          <w:spacing w:val="-2"/>
          <w:sz w:val="21"/>
          <w:szCs w:val="21"/>
        </w:rPr>
        <w:t>（单位</w:t>
      </w:r>
      <w:r>
        <w:rPr>
          <w:rFonts w:ascii="Times New Roman" w:hAnsi="Times New Roman" w:cs="Times New Roman" w:eastAsia="Times New Roman" w:hint="default"/>
          <w:spacing w:val="-2"/>
          <w:sz w:val="21"/>
          <w:szCs w:val="21"/>
        </w:rPr>
        <w:t>:</w:t>
      </w:r>
      <w:r>
        <w:rPr>
          <w:spacing w:val="-2"/>
          <w:sz w:val="21"/>
          <w:szCs w:val="21"/>
        </w:rPr>
        <w:t>家）</w:t>
      </w:r>
      <w:r>
        <w:rPr>
          <w:sz w:val="21"/>
          <w:szCs w:val="21"/>
        </w:rPr>
      </w: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562"/>
        <w:gridCol w:w="1246"/>
        <w:gridCol w:w="1248"/>
        <w:gridCol w:w="1244"/>
        <w:gridCol w:w="1250"/>
        <w:gridCol w:w="1246"/>
        <w:gridCol w:w="1450"/>
      </w:tblGrid>
      <w:tr>
        <w:trPr>
          <w:trHeight w:val="386" w:hRule="exact"/>
        </w:trPr>
        <w:tc>
          <w:tcPr>
            <w:tcW w:w="1562" w:type="dxa"/>
            <w:vMerge w:val="restart"/>
            <w:tcBorders>
              <w:top w:val="single" w:sz="17" w:space="0" w:color="000000"/>
              <w:left w:val="single" w:sz="17" w:space="0" w:color="000000"/>
              <w:right w:val="single" w:sz="8" w:space="0" w:color="000000"/>
            </w:tcBorders>
          </w:tcPr>
          <w:p>
            <w:pPr>
              <w:pStyle w:val="TableParagraph"/>
              <w:spacing w:line="273" w:lineRule="exact" w:before="64"/>
              <w:ind w:left="1010"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49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9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left="3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96"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0" w:lineRule="auto" w:before="9"/>
              <w:ind w:left="708" w:right="0"/>
              <w:jc w:val="left"/>
              <w:rPr>
                <w:rFonts w:ascii="宋体" w:hAnsi="宋体" w:cs="宋体" w:eastAsia="宋体" w:hint="default"/>
                <w:sz w:val="21"/>
                <w:szCs w:val="21"/>
              </w:rPr>
            </w:pPr>
            <w:r>
              <w:rPr>
                <w:rFonts w:ascii="宋体" w:hAnsi="宋体" w:cs="宋体" w:eastAsia="宋体" w:hint="default"/>
                <w:sz w:val="21"/>
                <w:szCs w:val="21"/>
              </w:rPr>
              <w:t>增减变化情况</w:t>
            </w:r>
          </w:p>
        </w:tc>
      </w:tr>
      <w:tr>
        <w:trPr>
          <w:trHeight w:val="384" w:hRule="exact"/>
        </w:trPr>
        <w:tc>
          <w:tcPr>
            <w:tcW w:w="1562" w:type="dxa"/>
            <w:vMerge/>
            <w:tcBorders>
              <w:left w:val="single" w:sz="17" w:space="0" w:color="000000"/>
              <w:bottom w:val="single" w:sz="8" w:space="0" w:color="000000"/>
              <w:right w:val="single" w:sz="8" w:space="0" w:color="000000"/>
            </w:tcBorders>
          </w:tcPr>
          <w:p>
            <w:pP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399"/>
              <w:jc w:val="right"/>
              <w:rPr>
                <w:rFonts w:ascii="宋体" w:hAnsi="宋体" w:cs="宋体" w:eastAsia="宋体" w:hint="default"/>
                <w:sz w:val="21"/>
                <w:szCs w:val="21"/>
              </w:rPr>
            </w:pPr>
            <w:r>
              <w:rPr>
                <w:rFonts w:ascii="宋体" w:hAnsi="宋体" w:cs="宋体" w:eastAsia="宋体" w:hint="default"/>
                <w:sz w:val="21"/>
                <w:szCs w:val="21"/>
              </w:rPr>
              <w:t>数量</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left="405"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数量变化</w:t>
            </w:r>
          </w:p>
        </w:tc>
        <w:tc>
          <w:tcPr>
            <w:tcW w:w="145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6"/>
              <w:ind w:left="1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占比变化</w:t>
            </w:r>
            <w:r>
              <w:rPr>
                <w:rFonts w:ascii="Times New Roman" w:hAnsi="Times New Roman" w:cs="Times New Roman" w:eastAsia="Times New Roman" w:hint="default"/>
                <w:sz w:val="21"/>
                <w:szCs w:val="21"/>
              </w:rPr>
              <w:t>(%)</w:t>
            </w:r>
          </w:p>
        </w:tc>
      </w:tr>
      <w:tr>
        <w:trPr>
          <w:trHeight w:val="358" w:hRule="exact"/>
        </w:trPr>
        <w:tc>
          <w:tcPr>
            <w:tcW w:w="1562"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333</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19.77%</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58"/>
              <w:jc w:val="right"/>
              <w:rPr>
                <w:rFonts w:ascii="Times New Roman" w:hAnsi="Times New Roman" w:cs="Times New Roman" w:eastAsia="Times New Roman" w:hint="default"/>
                <w:sz w:val="20"/>
                <w:szCs w:val="20"/>
              </w:rPr>
            </w:pPr>
            <w:r>
              <w:rPr>
                <w:rFonts w:ascii="Times New Roman"/>
                <w:sz w:val="20"/>
              </w:rPr>
              <w:t>239</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02"/>
              <w:jc w:val="right"/>
              <w:rPr>
                <w:rFonts w:ascii="Times New Roman" w:hAnsi="Times New Roman" w:cs="Times New Roman" w:eastAsia="Times New Roman" w:hint="default"/>
                <w:sz w:val="20"/>
                <w:szCs w:val="20"/>
              </w:rPr>
            </w:pPr>
            <w:r>
              <w:rPr>
                <w:rFonts w:ascii="Times New Roman"/>
                <w:sz w:val="20"/>
              </w:rPr>
              <w:t>18.23%</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94</w:t>
            </w:r>
          </w:p>
        </w:tc>
        <w:tc>
          <w:tcPr>
            <w:tcW w:w="145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sz w:val="20"/>
              </w:rPr>
              <w:t>1.54%</w:t>
            </w:r>
          </w:p>
        </w:tc>
      </w:tr>
      <w:tr>
        <w:trPr>
          <w:trHeight w:val="358" w:hRule="exact"/>
        </w:trPr>
        <w:tc>
          <w:tcPr>
            <w:tcW w:w="1562"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437</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25.95%</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61"/>
              <w:jc w:val="right"/>
              <w:rPr>
                <w:rFonts w:ascii="Times New Roman" w:hAnsi="Times New Roman" w:cs="Times New Roman" w:eastAsia="Times New Roman" w:hint="default"/>
                <w:sz w:val="20"/>
                <w:szCs w:val="20"/>
              </w:rPr>
            </w:pPr>
            <w:r>
              <w:rPr>
                <w:rFonts w:ascii="Times New Roman"/>
                <w:sz w:val="20"/>
              </w:rPr>
              <w:t>364</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02"/>
              <w:jc w:val="right"/>
              <w:rPr>
                <w:rFonts w:ascii="Times New Roman" w:hAnsi="Times New Roman" w:cs="Times New Roman" w:eastAsia="Times New Roman" w:hint="default"/>
                <w:sz w:val="20"/>
                <w:szCs w:val="20"/>
              </w:rPr>
            </w:pPr>
            <w:r>
              <w:rPr>
                <w:rFonts w:ascii="Times New Roman"/>
                <w:sz w:val="20"/>
              </w:rPr>
              <w:t>27.77%</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73</w:t>
            </w:r>
          </w:p>
        </w:tc>
        <w:tc>
          <w:tcPr>
            <w:tcW w:w="145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9" w:right="0"/>
              <w:jc w:val="center"/>
              <w:rPr>
                <w:rFonts w:ascii="Times New Roman" w:hAnsi="Times New Roman" w:cs="Times New Roman" w:eastAsia="Times New Roman" w:hint="default"/>
                <w:sz w:val="20"/>
                <w:szCs w:val="20"/>
              </w:rPr>
            </w:pPr>
            <w:r>
              <w:rPr>
                <w:rFonts w:ascii="Times New Roman"/>
                <w:sz w:val="20"/>
              </w:rPr>
              <w:t>-1.82%</w:t>
            </w:r>
          </w:p>
        </w:tc>
      </w:tr>
      <w:tr>
        <w:trPr>
          <w:trHeight w:val="358" w:hRule="exact"/>
        </w:trPr>
        <w:tc>
          <w:tcPr>
            <w:tcW w:w="1562"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2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762</w:t>
            </w:r>
          </w:p>
        </w:tc>
        <w:tc>
          <w:tcPr>
            <w:tcW w:w="12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45.25%</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459"/>
              <w:jc w:val="right"/>
              <w:rPr>
                <w:rFonts w:ascii="Times New Roman" w:hAnsi="Times New Roman" w:cs="Times New Roman" w:eastAsia="Times New Roman" w:hint="default"/>
                <w:sz w:val="20"/>
                <w:szCs w:val="20"/>
              </w:rPr>
            </w:pPr>
            <w:r>
              <w:rPr>
                <w:rFonts w:ascii="Times New Roman"/>
                <w:sz w:val="20"/>
              </w:rPr>
              <w:t>584</w:t>
            </w:r>
          </w:p>
        </w:tc>
        <w:tc>
          <w:tcPr>
            <w:tcW w:w="1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303"/>
              <w:jc w:val="right"/>
              <w:rPr>
                <w:rFonts w:ascii="Times New Roman" w:hAnsi="Times New Roman" w:cs="Times New Roman" w:eastAsia="Times New Roman" w:hint="default"/>
                <w:sz w:val="20"/>
                <w:szCs w:val="20"/>
              </w:rPr>
            </w:pPr>
            <w:r>
              <w:rPr>
                <w:rFonts w:ascii="Times New Roman"/>
                <w:sz w:val="20"/>
              </w:rPr>
              <w:t>44.55%</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178</w:t>
            </w:r>
          </w:p>
        </w:tc>
        <w:tc>
          <w:tcPr>
            <w:tcW w:w="145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sz w:val="20"/>
              </w:rPr>
              <w:t>0.70%</w:t>
            </w:r>
          </w:p>
        </w:tc>
      </w:tr>
      <w:tr>
        <w:trPr>
          <w:trHeight w:val="370" w:hRule="exact"/>
        </w:trPr>
        <w:tc>
          <w:tcPr>
            <w:tcW w:w="1562" w:type="dxa"/>
            <w:tcBorders>
              <w:top w:val="single" w:sz="8" w:space="0" w:color="000000"/>
              <w:left w:val="single" w:sz="17" w:space="0" w:color="000000"/>
              <w:bottom w:val="single" w:sz="17" w:space="0" w:color="000000"/>
              <w:right w:val="single" w:sz="8" w:space="0" w:color="000000"/>
            </w:tcBorders>
          </w:tcPr>
          <w:p>
            <w:pPr>
              <w:pStyle w:val="TableParagraph"/>
              <w:spacing w:line="274" w:lineRule="exact"/>
              <w:ind w:right="9"/>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24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53"/>
              <w:ind w:left="1" w:right="0"/>
              <w:jc w:val="center"/>
              <w:rPr>
                <w:rFonts w:ascii="Times New Roman" w:hAnsi="Times New Roman" w:cs="Times New Roman" w:eastAsia="Times New Roman" w:hint="default"/>
                <w:sz w:val="20"/>
                <w:szCs w:val="20"/>
              </w:rPr>
            </w:pPr>
            <w:r>
              <w:rPr>
                <w:rFonts w:ascii="Times New Roman"/>
                <w:sz w:val="20"/>
              </w:rPr>
              <w:t>1532</w:t>
            </w:r>
          </w:p>
        </w:tc>
        <w:tc>
          <w:tcPr>
            <w:tcW w:w="124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90.97%</w:t>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412"/>
              <w:jc w:val="right"/>
              <w:rPr>
                <w:rFonts w:ascii="Times New Roman" w:hAnsi="Times New Roman" w:cs="Times New Roman" w:eastAsia="Times New Roman" w:hint="default"/>
                <w:sz w:val="20"/>
                <w:szCs w:val="20"/>
              </w:rPr>
            </w:pPr>
            <w:r>
              <w:rPr>
                <w:rFonts w:ascii="Times New Roman"/>
                <w:spacing w:val="-1"/>
                <w:w w:val="95"/>
                <w:sz w:val="20"/>
              </w:rPr>
              <w:t>1187</w:t>
            </w:r>
            <w:r>
              <w:rPr>
                <w:rFonts w:ascii="Times New Roman"/>
                <w:spacing w:val="-1"/>
                <w:sz w:val="20"/>
              </w:rPr>
            </w:r>
          </w:p>
        </w:tc>
        <w:tc>
          <w:tcPr>
            <w:tcW w:w="12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303"/>
              <w:jc w:val="right"/>
              <w:rPr>
                <w:rFonts w:ascii="Times New Roman" w:hAnsi="Times New Roman" w:cs="Times New Roman" w:eastAsia="Times New Roman" w:hint="default"/>
                <w:sz w:val="20"/>
                <w:szCs w:val="20"/>
              </w:rPr>
            </w:pPr>
            <w:r>
              <w:rPr>
                <w:rFonts w:ascii="Times New Roman"/>
                <w:sz w:val="20"/>
              </w:rPr>
              <w:t>90.55%</w:t>
            </w:r>
          </w:p>
        </w:tc>
        <w:tc>
          <w:tcPr>
            <w:tcW w:w="12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345</w:t>
            </w:r>
          </w:p>
        </w:tc>
        <w:tc>
          <w:tcPr>
            <w:tcW w:w="1450"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sz w:val="20"/>
              </w:rPr>
              <w:t>0.42%</w:t>
            </w:r>
          </w:p>
        </w:tc>
      </w:tr>
      <w:tr>
        <w:trPr>
          <w:trHeight w:val="372" w:hRule="exact"/>
        </w:trPr>
        <w:tc>
          <w:tcPr>
            <w:tcW w:w="1562"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2"/>
              <w:ind w:right="7"/>
              <w:jc w:val="center"/>
              <w:rPr>
                <w:rFonts w:ascii="宋体" w:hAnsi="宋体" w:cs="宋体" w:eastAsia="宋体" w:hint="default"/>
                <w:sz w:val="21"/>
                <w:szCs w:val="21"/>
              </w:rPr>
            </w:pPr>
            <w:r>
              <w:rPr>
                <w:rFonts w:ascii="宋体" w:hAnsi="宋体" w:cs="宋体" w:eastAsia="宋体" w:hint="default"/>
                <w:sz w:val="21"/>
                <w:szCs w:val="21"/>
              </w:rPr>
              <w:t>精品店</w:t>
            </w:r>
          </w:p>
        </w:tc>
        <w:tc>
          <w:tcPr>
            <w:tcW w:w="124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17</w:t>
            </w:r>
          </w:p>
        </w:tc>
        <w:tc>
          <w:tcPr>
            <w:tcW w:w="124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1.01%</w:t>
            </w:r>
          </w:p>
        </w:tc>
        <w:tc>
          <w:tcPr>
            <w:tcW w:w="124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w:t>
            </w:r>
          </w:p>
        </w:tc>
        <w:tc>
          <w:tcPr>
            <w:tcW w:w="12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1"/>
              <w:ind w:left="357" w:right="0"/>
              <w:jc w:val="left"/>
              <w:rPr>
                <w:rFonts w:ascii="Times New Roman" w:hAnsi="Times New Roman" w:cs="Times New Roman" w:eastAsia="Times New Roman" w:hint="default"/>
                <w:sz w:val="20"/>
                <w:szCs w:val="20"/>
              </w:rPr>
            </w:pPr>
            <w:r>
              <w:rPr>
                <w:rFonts w:ascii="Times New Roman"/>
                <w:sz w:val="20"/>
              </w:rPr>
              <w:t>0.76%</w:t>
            </w:r>
          </w:p>
        </w:tc>
        <w:tc>
          <w:tcPr>
            <w:tcW w:w="124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51"/>
              <w:ind w:right="2"/>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450"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51"/>
              <w:ind w:left="11" w:right="0"/>
              <w:jc w:val="center"/>
              <w:rPr>
                <w:rFonts w:ascii="Times New Roman" w:hAnsi="Times New Roman" w:cs="Times New Roman" w:eastAsia="Times New Roman" w:hint="default"/>
                <w:sz w:val="20"/>
                <w:szCs w:val="20"/>
              </w:rPr>
            </w:pPr>
            <w:r>
              <w:rPr>
                <w:rFonts w:ascii="Times New Roman"/>
                <w:sz w:val="20"/>
              </w:rPr>
              <w:t>0.25%</w:t>
            </w:r>
          </w:p>
        </w:tc>
      </w:tr>
      <w:tr>
        <w:trPr>
          <w:trHeight w:val="353" w:hRule="exact"/>
        </w:trPr>
        <w:tc>
          <w:tcPr>
            <w:tcW w:w="1562" w:type="dxa"/>
            <w:tcBorders>
              <w:top w:val="single" w:sz="8" w:space="0" w:color="000000"/>
              <w:left w:val="single" w:sz="17" w:space="0" w:color="000000"/>
              <w:bottom w:val="single" w:sz="4" w:space="0" w:color="000000"/>
              <w:right w:val="single" w:sz="8" w:space="0" w:color="000000"/>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县镇店</w:t>
            </w:r>
          </w:p>
        </w:tc>
        <w:tc>
          <w:tcPr>
            <w:tcW w:w="12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134</w:t>
            </w:r>
          </w:p>
        </w:tc>
        <w:tc>
          <w:tcPr>
            <w:tcW w:w="124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7.96%</w:t>
            </w:r>
          </w:p>
        </w:tc>
        <w:tc>
          <w:tcPr>
            <w:tcW w:w="124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right="462"/>
              <w:jc w:val="right"/>
              <w:rPr>
                <w:rFonts w:ascii="Times New Roman" w:hAnsi="Times New Roman" w:cs="Times New Roman" w:eastAsia="Times New Roman" w:hint="default"/>
                <w:sz w:val="20"/>
                <w:szCs w:val="20"/>
              </w:rPr>
            </w:pPr>
            <w:r>
              <w:rPr>
                <w:rFonts w:ascii="Times New Roman"/>
                <w:spacing w:val="-2"/>
                <w:w w:val="95"/>
                <w:sz w:val="20"/>
              </w:rPr>
              <w:t>114</w:t>
            </w:r>
            <w:r>
              <w:rPr>
                <w:rFonts w:ascii="Times New Roman"/>
                <w:spacing w:val="-2"/>
                <w:sz w:val="20"/>
              </w:rPr>
            </w:r>
          </w:p>
        </w:tc>
        <w:tc>
          <w:tcPr>
            <w:tcW w:w="12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left="357" w:right="0"/>
              <w:jc w:val="left"/>
              <w:rPr>
                <w:rFonts w:ascii="Times New Roman" w:hAnsi="Times New Roman" w:cs="Times New Roman" w:eastAsia="Times New Roman" w:hint="default"/>
                <w:sz w:val="20"/>
                <w:szCs w:val="20"/>
              </w:rPr>
            </w:pPr>
            <w:r>
              <w:rPr>
                <w:rFonts w:ascii="Times New Roman"/>
                <w:sz w:val="20"/>
              </w:rPr>
              <w:t>8.69%</w:t>
            </w:r>
          </w:p>
        </w:tc>
        <w:tc>
          <w:tcPr>
            <w:tcW w:w="124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20</w:t>
            </w:r>
          </w:p>
        </w:tc>
        <w:tc>
          <w:tcPr>
            <w:tcW w:w="1450" w:type="dxa"/>
            <w:tcBorders>
              <w:top w:val="single" w:sz="8" w:space="0" w:color="000000"/>
              <w:left w:val="single" w:sz="8" w:space="0" w:color="000000"/>
              <w:bottom w:val="single" w:sz="4" w:space="0" w:color="000000"/>
              <w:right w:val="single" w:sz="17" w:space="0" w:color="000000"/>
            </w:tcBorders>
          </w:tcPr>
          <w:p>
            <w:pPr>
              <w:pStyle w:val="TableParagraph"/>
              <w:spacing w:line="240" w:lineRule="auto" w:before="48"/>
              <w:ind w:left="9" w:right="0"/>
              <w:jc w:val="center"/>
              <w:rPr>
                <w:rFonts w:ascii="Times New Roman" w:hAnsi="Times New Roman" w:cs="Times New Roman" w:eastAsia="Times New Roman" w:hint="default"/>
                <w:sz w:val="20"/>
                <w:szCs w:val="20"/>
              </w:rPr>
            </w:pPr>
            <w:r>
              <w:rPr>
                <w:rFonts w:ascii="Times New Roman"/>
                <w:sz w:val="20"/>
              </w:rPr>
              <w:t>-0.73%</w:t>
            </w:r>
          </w:p>
        </w:tc>
      </w:tr>
      <w:tr>
        <w:trPr>
          <w:trHeight w:val="365" w:hRule="exact"/>
        </w:trPr>
        <w:tc>
          <w:tcPr>
            <w:tcW w:w="1562" w:type="dxa"/>
            <w:tcBorders>
              <w:top w:val="single" w:sz="4" w:space="0" w:color="000000"/>
              <w:left w:val="single" w:sz="17" w:space="0" w:color="000000"/>
              <w:bottom w:val="single" w:sz="17" w:space="0" w:color="000000"/>
              <w:right w:val="single" w:sz="8" w:space="0" w:color="000000"/>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124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248"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0.06%</w:t>
            </w:r>
          </w:p>
        </w:tc>
        <w:tc>
          <w:tcPr>
            <w:tcW w:w="1244"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5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4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450" w:type="dxa"/>
            <w:tcBorders>
              <w:top w:val="single" w:sz="4" w:space="0" w:color="000000"/>
              <w:left w:val="single" w:sz="8" w:space="0" w:color="000000"/>
              <w:bottom w:val="single" w:sz="17" w:space="0" w:color="000000"/>
              <w:right w:val="single" w:sz="17" w:space="0" w:color="000000"/>
            </w:tcBorders>
          </w:tcPr>
          <w:p>
            <w:pPr>
              <w:pStyle w:val="TableParagraph"/>
              <w:spacing w:line="240" w:lineRule="auto" w:before="48"/>
              <w:ind w:left="11" w:right="0"/>
              <w:jc w:val="center"/>
              <w:rPr>
                <w:rFonts w:ascii="Times New Roman" w:hAnsi="Times New Roman" w:cs="Times New Roman" w:eastAsia="Times New Roman" w:hint="default"/>
                <w:sz w:val="20"/>
                <w:szCs w:val="20"/>
              </w:rPr>
            </w:pPr>
            <w:r>
              <w:rPr>
                <w:rFonts w:ascii="Times New Roman"/>
                <w:sz w:val="20"/>
              </w:rPr>
              <w:t>0.06%</w:t>
            </w:r>
          </w:p>
        </w:tc>
      </w:tr>
      <w:tr>
        <w:trPr>
          <w:trHeight w:val="386" w:hRule="exact"/>
        </w:trPr>
        <w:tc>
          <w:tcPr>
            <w:tcW w:w="1562" w:type="dxa"/>
            <w:tcBorders>
              <w:top w:val="single" w:sz="17" w:space="0" w:color="000000"/>
              <w:left w:val="single" w:sz="17" w:space="0" w:color="000000"/>
              <w:bottom w:val="single" w:sz="17" w:space="0" w:color="000000"/>
              <w:right w:val="single" w:sz="8" w:space="0" w:color="000000"/>
            </w:tcBorders>
          </w:tcPr>
          <w:p>
            <w:pPr>
              <w:pStyle w:val="TableParagraph"/>
              <w:spacing w:line="240" w:lineRule="auto" w:before="2"/>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1684</w:t>
            </w:r>
          </w:p>
        </w:tc>
        <w:tc>
          <w:tcPr>
            <w:tcW w:w="1248"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100.00%</w:t>
            </w:r>
          </w:p>
        </w:tc>
        <w:tc>
          <w:tcPr>
            <w:tcW w:w="1244"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1"/>
              <w:ind w:right="412"/>
              <w:jc w:val="right"/>
              <w:rPr>
                <w:rFonts w:ascii="Times New Roman" w:hAnsi="Times New Roman" w:cs="Times New Roman" w:eastAsia="Times New Roman" w:hint="default"/>
                <w:sz w:val="20"/>
                <w:szCs w:val="20"/>
              </w:rPr>
            </w:pPr>
            <w:r>
              <w:rPr>
                <w:rFonts w:ascii="Times New Roman"/>
                <w:spacing w:val="-1"/>
                <w:w w:val="95"/>
                <w:sz w:val="20"/>
              </w:rPr>
              <w:t>1311</w:t>
            </w:r>
            <w:r>
              <w:rPr>
                <w:rFonts w:ascii="Times New Roman"/>
                <w:spacing w:val="-1"/>
                <w:sz w:val="20"/>
              </w:rPr>
            </w:r>
          </w:p>
        </w:tc>
        <w:tc>
          <w:tcPr>
            <w:tcW w:w="12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1"/>
              <w:ind w:right="254"/>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24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373</w:t>
            </w:r>
          </w:p>
        </w:tc>
        <w:tc>
          <w:tcPr>
            <w:tcW w:w="1450"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51"/>
              <w:ind w:left="6"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57" w:lineRule="exact" w:before="0"/>
        <w:ind w:left="610" w:right="1422" w:firstLine="0"/>
        <w:jc w:val="left"/>
        <w:rPr>
          <w:rFonts w:ascii="宋体" w:hAnsi="宋体" w:cs="宋体" w:eastAsia="宋体" w:hint="default"/>
          <w:sz w:val="21"/>
          <w:szCs w:val="21"/>
        </w:rPr>
      </w:pPr>
      <w:r>
        <w:rPr>
          <w:rFonts w:ascii="宋体" w:hAnsi="宋体" w:cs="宋体" w:eastAsia="宋体" w:hint="default"/>
          <w:sz w:val="21"/>
          <w:szCs w:val="21"/>
        </w:rPr>
        <w:t>注：县镇店主要分布在县、镇一级市场，面积较小，一般为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800-1500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平米，且以自营为主。</w:t>
      </w:r>
    </w:p>
    <w:p>
      <w:pPr>
        <w:tabs>
          <w:tab w:pos="1140" w:val="left" w:leader="none"/>
          <w:tab w:pos="7607" w:val="left" w:leader="none"/>
        </w:tabs>
        <w:spacing w:before="111"/>
        <w:ind w:left="722" w:right="1422" w:firstLine="0"/>
        <w:jc w:val="left"/>
        <w:rPr>
          <w:rFonts w:ascii="宋体" w:hAnsi="宋体" w:cs="宋体" w:eastAsia="宋体" w:hint="default"/>
          <w:sz w:val="21"/>
          <w:szCs w:val="21"/>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各区域店面类型分布：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87"/>
        <w:gridCol w:w="951"/>
        <w:gridCol w:w="977"/>
        <w:gridCol w:w="926"/>
        <w:gridCol w:w="975"/>
        <w:gridCol w:w="931"/>
        <w:gridCol w:w="1292"/>
        <w:gridCol w:w="950"/>
        <w:gridCol w:w="968"/>
      </w:tblGrid>
      <w:tr>
        <w:trPr>
          <w:trHeight w:val="359" w:hRule="exact"/>
        </w:trPr>
        <w:tc>
          <w:tcPr>
            <w:tcW w:w="1287" w:type="dxa"/>
            <w:vMerge w:val="restart"/>
            <w:tcBorders>
              <w:top w:val="single" w:sz="17" w:space="0" w:color="000000"/>
              <w:left w:val="single" w:sz="17" w:space="0" w:color="000000"/>
              <w:right w:val="single" w:sz="8" w:space="0" w:color="000000"/>
            </w:tcBorders>
          </w:tcPr>
          <w:p>
            <w:pPr>
              <w:pStyle w:val="TableParagraph"/>
              <w:spacing w:line="240" w:lineRule="auto" w:before="42"/>
              <w:ind w:left="753"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6"/>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2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left="554" w:right="0"/>
              <w:jc w:val="left"/>
              <w:rPr>
                <w:rFonts w:ascii="宋体" w:hAnsi="宋体" w:cs="宋体" w:eastAsia="宋体" w:hint="default"/>
                <w:sz w:val="20"/>
                <w:szCs w:val="20"/>
              </w:rPr>
            </w:pPr>
            <w:r>
              <w:rPr>
                <w:rFonts w:ascii="宋体" w:hAnsi="宋体" w:cs="宋体" w:eastAsia="宋体" w:hint="default"/>
                <w:sz w:val="20"/>
                <w:szCs w:val="20"/>
              </w:rPr>
              <w:t>华东一区</w:t>
            </w:r>
          </w:p>
        </w:tc>
        <w:tc>
          <w:tcPr>
            <w:tcW w:w="1901"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left="542" w:right="0"/>
              <w:jc w:val="left"/>
              <w:rPr>
                <w:rFonts w:ascii="宋体" w:hAnsi="宋体" w:cs="宋体" w:eastAsia="宋体" w:hint="default"/>
                <w:sz w:val="20"/>
                <w:szCs w:val="20"/>
              </w:rPr>
            </w:pPr>
            <w:r>
              <w:rPr>
                <w:rFonts w:ascii="宋体" w:hAnsi="宋体" w:cs="宋体" w:eastAsia="宋体" w:hint="default"/>
                <w:sz w:val="20"/>
                <w:szCs w:val="20"/>
              </w:rPr>
              <w:t>华东二区</w:t>
            </w:r>
          </w:p>
        </w:tc>
        <w:tc>
          <w:tcPr>
            <w:tcW w:w="2223"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left="700" w:right="0"/>
              <w:jc w:val="left"/>
              <w:rPr>
                <w:rFonts w:ascii="宋体" w:hAnsi="宋体" w:cs="宋体" w:eastAsia="宋体" w:hint="default"/>
                <w:sz w:val="20"/>
                <w:szCs w:val="20"/>
              </w:rPr>
            </w:pPr>
            <w:r>
              <w:rPr>
                <w:rFonts w:ascii="宋体" w:hAnsi="宋体" w:cs="宋体" w:eastAsia="宋体" w:hint="default"/>
                <w:sz w:val="20"/>
                <w:szCs w:val="20"/>
              </w:rPr>
              <w:t>华南地区</w:t>
            </w:r>
          </w:p>
        </w:tc>
        <w:tc>
          <w:tcPr>
            <w:tcW w:w="1918"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40" w:lineRule="auto" w:before="9"/>
              <w:ind w:left="547" w:right="0"/>
              <w:jc w:val="left"/>
              <w:rPr>
                <w:rFonts w:ascii="宋体" w:hAnsi="宋体" w:cs="宋体" w:eastAsia="宋体" w:hint="default"/>
                <w:sz w:val="20"/>
                <w:szCs w:val="20"/>
              </w:rPr>
            </w:pPr>
            <w:r>
              <w:rPr>
                <w:rFonts w:ascii="宋体" w:hAnsi="宋体" w:cs="宋体" w:eastAsia="宋体" w:hint="default"/>
                <w:sz w:val="20"/>
                <w:szCs w:val="20"/>
              </w:rPr>
              <w:t>华北地区</w:t>
            </w:r>
          </w:p>
        </w:tc>
      </w:tr>
      <w:tr>
        <w:trPr>
          <w:trHeight w:val="346" w:hRule="exact"/>
        </w:trPr>
        <w:tc>
          <w:tcPr>
            <w:tcW w:w="1287" w:type="dxa"/>
            <w:vMerge/>
            <w:tcBorders>
              <w:left w:val="single" w:sz="17" w:space="0" w:color="000000"/>
              <w:bottom w:val="single" w:sz="8" w:space="0" w:color="000000"/>
              <w:right w:val="single" w:sz="8" w:space="0" w:color="000000"/>
            </w:tcBorders>
          </w:tcPr>
          <w:p>
            <w:pP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66"/>
              <w:jc w:val="right"/>
              <w:rPr>
                <w:rFonts w:ascii="宋体" w:hAnsi="宋体" w:cs="宋体" w:eastAsia="宋体" w:hint="default"/>
                <w:sz w:val="20"/>
                <w:szCs w:val="20"/>
              </w:rPr>
            </w:pPr>
            <w:r>
              <w:rPr>
                <w:rFonts w:ascii="宋体" w:hAnsi="宋体" w:cs="宋体" w:eastAsia="宋体" w:hint="default"/>
                <w:w w:val="95"/>
                <w:sz w:val="20"/>
                <w:szCs w:val="20"/>
              </w:rPr>
              <w:t>数量</w:t>
            </w:r>
            <w:r>
              <w:rPr>
                <w:rFonts w:ascii="宋体" w:hAnsi="宋体" w:cs="宋体" w:eastAsia="宋体" w:hint="default"/>
                <w:sz w:val="20"/>
                <w:szCs w:val="20"/>
              </w:rPr>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278"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276"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57"/>
              <w:jc w:val="right"/>
              <w:rPr>
                <w:rFonts w:ascii="宋体" w:hAnsi="宋体" w:cs="宋体" w:eastAsia="宋体" w:hint="default"/>
                <w:sz w:val="20"/>
                <w:szCs w:val="20"/>
              </w:rPr>
            </w:pPr>
            <w:r>
              <w:rPr>
                <w:rFonts w:ascii="宋体" w:hAnsi="宋体" w:cs="宋体" w:eastAsia="宋体" w:hint="default"/>
                <w:w w:val="95"/>
                <w:sz w:val="20"/>
                <w:szCs w:val="20"/>
              </w:rPr>
              <w:t>数量</w:t>
            </w:r>
            <w:r>
              <w:rPr>
                <w:rFonts w:ascii="宋体" w:hAnsi="宋体" w:cs="宋体" w:eastAsia="宋体" w:hint="default"/>
                <w:sz w:val="20"/>
                <w:szCs w:val="20"/>
              </w:rPr>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3"/>
              <w:jc w:val="center"/>
              <w:rPr>
                <w:rFonts w:ascii="宋体" w:hAnsi="宋体" w:cs="宋体" w:eastAsia="宋体" w:hint="default"/>
                <w:sz w:val="20"/>
                <w:szCs w:val="20"/>
              </w:rPr>
            </w:pPr>
            <w:r>
              <w:rPr>
                <w:rFonts w:ascii="宋体" w:hAnsi="宋体" w:cs="宋体" w:eastAsia="宋体" w:hint="default"/>
                <w:sz w:val="20"/>
                <w:szCs w:val="20"/>
              </w:rPr>
              <w:t>占比</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5"/>
              <w:ind w:left="4"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287" w:type="dxa"/>
            <w:tcBorders>
              <w:top w:val="single" w:sz="8" w:space="0" w:color="000000"/>
              <w:left w:val="single" w:sz="17" w:space="0" w:color="000000"/>
              <w:bottom w:val="single" w:sz="8" w:space="0" w:color="000000"/>
              <w:right w:val="single" w:sz="8" w:space="0" w:color="000000"/>
            </w:tcBorders>
          </w:tcPr>
          <w:p>
            <w:pPr>
              <w:pStyle w:val="TableParagraph"/>
              <w:spacing w:line="261" w:lineRule="exact"/>
              <w:ind w:right="17"/>
              <w:jc w:val="center"/>
              <w:rPr>
                <w:rFonts w:ascii="宋体" w:hAnsi="宋体" w:cs="宋体" w:eastAsia="宋体" w:hint="default"/>
                <w:sz w:val="20"/>
                <w:szCs w:val="20"/>
              </w:rPr>
            </w:pPr>
            <w:r>
              <w:rPr>
                <w:rFonts w:ascii="宋体" w:hAnsi="宋体" w:cs="宋体" w:eastAsia="宋体" w:hint="default"/>
                <w:sz w:val="20"/>
                <w:szCs w:val="20"/>
              </w:rPr>
              <w:t>旗舰店</w:t>
            </w: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67</w:t>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6"/>
              <w:jc w:val="right"/>
              <w:rPr>
                <w:rFonts w:ascii="Times New Roman" w:hAnsi="Times New Roman" w:cs="Times New Roman" w:eastAsia="Times New Roman" w:hint="default"/>
                <w:sz w:val="20"/>
                <w:szCs w:val="20"/>
              </w:rPr>
            </w:pPr>
            <w:r>
              <w:rPr>
                <w:rFonts w:ascii="Times New Roman"/>
                <w:sz w:val="20"/>
              </w:rPr>
              <w:t>18.26%</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69</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7"/>
              <w:jc w:val="right"/>
              <w:rPr>
                <w:rFonts w:ascii="Times New Roman" w:hAnsi="Times New Roman" w:cs="Times New Roman" w:eastAsia="Times New Roman" w:hint="default"/>
                <w:sz w:val="20"/>
                <w:szCs w:val="20"/>
              </w:rPr>
            </w:pPr>
            <w:r>
              <w:rPr>
                <w:rFonts w:ascii="Times New Roman"/>
                <w:sz w:val="20"/>
              </w:rPr>
              <w:t>22.19%</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353"/>
              <w:jc w:val="right"/>
              <w:rPr>
                <w:rFonts w:ascii="Times New Roman" w:hAnsi="Times New Roman" w:cs="Times New Roman" w:eastAsia="Times New Roman" w:hint="default"/>
                <w:sz w:val="20"/>
                <w:szCs w:val="20"/>
              </w:rPr>
            </w:pPr>
            <w:r>
              <w:rPr>
                <w:rFonts w:ascii="Times New Roman"/>
                <w:sz w:val="20"/>
              </w:rPr>
              <w:t>43</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15.93%</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63</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9"/>
              <w:ind w:left="8" w:right="0"/>
              <w:jc w:val="center"/>
              <w:rPr>
                <w:rFonts w:ascii="Times New Roman" w:hAnsi="Times New Roman" w:cs="Times New Roman" w:eastAsia="Times New Roman" w:hint="default"/>
                <w:sz w:val="20"/>
                <w:szCs w:val="20"/>
              </w:rPr>
            </w:pPr>
            <w:r>
              <w:rPr>
                <w:rFonts w:ascii="Times New Roman"/>
                <w:sz w:val="20"/>
              </w:rPr>
              <w:t>27.88%</w:t>
            </w:r>
          </w:p>
        </w:tc>
      </w:tr>
      <w:tr>
        <w:trPr>
          <w:trHeight w:val="322" w:hRule="exact"/>
        </w:trPr>
        <w:tc>
          <w:tcPr>
            <w:tcW w:w="128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
              <w:ind w:right="17"/>
              <w:jc w:val="center"/>
              <w:rPr>
                <w:rFonts w:ascii="宋体" w:hAnsi="宋体" w:cs="宋体" w:eastAsia="宋体" w:hint="default"/>
                <w:sz w:val="20"/>
                <w:szCs w:val="20"/>
              </w:rPr>
            </w:pPr>
            <w:r>
              <w:rPr>
                <w:rFonts w:ascii="宋体" w:hAnsi="宋体" w:cs="宋体" w:eastAsia="宋体" w:hint="default"/>
                <w:sz w:val="20"/>
                <w:szCs w:val="20"/>
              </w:rPr>
              <w:t>中心店</w:t>
            </w: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75</w:t>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6"/>
              <w:jc w:val="right"/>
              <w:rPr>
                <w:rFonts w:ascii="Times New Roman" w:hAnsi="Times New Roman" w:cs="Times New Roman" w:eastAsia="Times New Roman" w:hint="default"/>
                <w:sz w:val="20"/>
                <w:szCs w:val="20"/>
              </w:rPr>
            </w:pPr>
            <w:r>
              <w:rPr>
                <w:rFonts w:ascii="Times New Roman"/>
                <w:sz w:val="20"/>
              </w:rPr>
              <w:t>20.44%</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102</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7"/>
              <w:jc w:val="right"/>
              <w:rPr>
                <w:rFonts w:ascii="Times New Roman" w:hAnsi="Times New Roman" w:cs="Times New Roman" w:eastAsia="Times New Roman" w:hint="default"/>
                <w:sz w:val="20"/>
                <w:szCs w:val="20"/>
              </w:rPr>
            </w:pPr>
            <w:r>
              <w:rPr>
                <w:rFonts w:ascii="Times New Roman"/>
                <w:sz w:val="20"/>
              </w:rPr>
              <w:t>32.80%</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353"/>
              <w:jc w:val="right"/>
              <w:rPr>
                <w:rFonts w:ascii="Times New Roman" w:hAnsi="Times New Roman" w:cs="Times New Roman" w:eastAsia="Times New Roman" w:hint="default"/>
                <w:sz w:val="20"/>
                <w:szCs w:val="20"/>
              </w:rPr>
            </w:pPr>
            <w:r>
              <w:rPr>
                <w:rFonts w:ascii="Times New Roman"/>
                <w:sz w:val="20"/>
              </w:rPr>
              <w:t>76</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28.15%</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56</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9"/>
              <w:ind w:left="8" w:right="0"/>
              <w:jc w:val="center"/>
              <w:rPr>
                <w:rFonts w:ascii="Times New Roman" w:hAnsi="Times New Roman" w:cs="Times New Roman" w:eastAsia="Times New Roman" w:hint="default"/>
                <w:sz w:val="20"/>
                <w:szCs w:val="20"/>
              </w:rPr>
            </w:pPr>
            <w:r>
              <w:rPr>
                <w:rFonts w:ascii="Times New Roman"/>
                <w:sz w:val="20"/>
              </w:rPr>
              <w:t>24.78%</w:t>
            </w:r>
          </w:p>
        </w:tc>
      </w:tr>
      <w:tr>
        <w:trPr>
          <w:trHeight w:val="300" w:hRule="exact"/>
        </w:trPr>
        <w:tc>
          <w:tcPr>
            <w:tcW w:w="1287" w:type="dxa"/>
            <w:tcBorders>
              <w:top w:val="single" w:sz="8" w:space="0" w:color="000000"/>
              <w:left w:val="single" w:sz="17" w:space="0" w:color="000000"/>
              <w:bottom w:val="single" w:sz="4" w:space="0" w:color="000000"/>
              <w:right w:val="single" w:sz="8" w:space="0" w:color="000000"/>
            </w:tcBorders>
          </w:tcPr>
          <w:p>
            <w:pPr>
              <w:pStyle w:val="TableParagraph"/>
              <w:spacing w:line="254" w:lineRule="exact"/>
              <w:ind w:right="17"/>
              <w:jc w:val="center"/>
              <w:rPr>
                <w:rFonts w:ascii="宋体" w:hAnsi="宋体" w:cs="宋体" w:eastAsia="宋体" w:hint="default"/>
                <w:sz w:val="20"/>
                <w:szCs w:val="20"/>
              </w:rPr>
            </w:pPr>
            <w:r>
              <w:rPr>
                <w:rFonts w:ascii="宋体" w:hAnsi="宋体" w:cs="宋体" w:eastAsia="宋体" w:hint="default"/>
                <w:sz w:val="20"/>
                <w:szCs w:val="20"/>
              </w:rPr>
              <w:t>社区店</w:t>
            </w:r>
          </w:p>
        </w:tc>
        <w:tc>
          <w:tcPr>
            <w:tcW w:w="95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312"/>
              <w:jc w:val="right"/>
              <w:rPr>
                <w:rFonts w:ascii="Times New Roman" w:hAnsi="Times New Roman" w:cs="Times New Roman" w:eastAsia="Times New Roman" w:hint="default"/>
                <w:sz w:val="20"/>
                <w:szCs w:val="20"/>
              </w:rPr>
            </w:pPr>
            <w:r>
              <w:rPr>
                <w:rFonts w:ascii="Times New Roman"/>
                <w:sz w:val="20"/>
              </w:rPr>
              <w:t>160</w:t>
            </w:r>
          </w:p>
        </w:tc>
        <w:tc>
          <w:tcPr>
            <w:tcW w:w="97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166"/>
              <w:jc w:val="right"/>
              <w:rPr>
                <w:rFonts w:ascii="Times New Roman" w:hAnsi="Times New Roman" w:cs="Times New Roman" w:eastAsia="Times New Roman" w:hint="default"/>
                <w:sz w:val="20"/>
                <w:szCs w:val="20"/>
              </w:rPr>
            </w:pPr>
            <w:r>
              <w:rPr>
                <w:rFonts w:ascii="Times New Roman"/>
                <w:sz w:val="20"/>
              </w:rPr>
              <w:t>43.60%</w:t>
            </w:r>
          </w:p>
        </w:tc>
        <w:tc>
          <w:tcPr>
            <w:tcW w:w="92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117</w:t>
            </w:r>
          </w:p>
        </w:tc>
        <w:tc>
          <w:tcPr>
            <w:tcW w:w="97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167"/>
              <w:jc w:val="right"/>
              <w:rPr>
                <w:rFonts w:ascii="Times New Roman" w:hAnsi="Times New Roman" w:cs="Times New Roman" w:eastAsia="Times New Roman" w:hint="default"/>
                <w:sz w:val="20"/>
                <w:szCs w:val="20"/>
              </w:rPr>
            </w:pPr>
            <w:r>
              <w:rPr>
                <w:rFonts w:ascii="Times New Roman"/>
                <w:sz w:val="20"/>
              </w:rPr>
              <w:t>37.62%</w:t>
            </w:r>
          </w:p>
        </w:tc>
        <w:tc>
          <w:tcPr>
            <w:tcW w:w="93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302"/>
              <w:jc w:val="right"/>
              <w:rPr>
                <w:rFonts w:ascii="Times New Roman" w:hAnsi="Times New Roman" w:cs="Times New Roman" w:eastAsia="Times New Roman" w:hint="default"/>
                <w:sz w:val="20"/>
                <w:szCs w:val="20"/>
              </w:rPr>
            </w:pPr>
            <w:r>
              <w:rPr>
                <w:rFonts w:ascii="Times New Roman"/>
                <w:sz w:val="20"/>
              </w:rPr>
              <w:t>133</w:t>
            </w:r>
          </w:p>
        </w:tc>
        <w:tc>
          <w:tcPr>
            <w:tcW w:w="129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49.26%</w:t>
            </w:r>
          </w:p>
        </w:tc>
        <w:tc>
          <w:tcPr>
            <w:tcW w:w="9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93</w:t>
            </w:r>
          </w:p>
        </w:tc>
        <w:tc>
          <w:tcPr>
            <w:tcW w:w="968" w:type="dxa"/>
            <w:tcBorders>
              <w:top w:val="single" w:sz="8" w:space="0" w:color="000000"/>
              <w:left w:val="single" w:sz="8" w:space="0" w:color="000000"/>
              <w:bottom w:val="single" w:sz="4" w:space="0" w:color="000000"/>
              <w:right w:val="single" w:sz="17" w:space="0" w:color="000000"/>
            </w:tcBorders>
          </w:tcPr>
          <w:p>
            <w:pPr>
              <w:pStyle w:val="TableParagraph"/>
              <w:spacing w:line="240" w:lineRule="auto" w:before="19"/>
              <w:ind w:left="8" w:right="0"/>
              <w:jc w:val="center"/>
              <w:rPr>
                <w:rFonts w:ascii="Times New Roman" w:hAnsi="Times New Roman" w:cs="Times New Roman" w:eastAsia="Times New Roman" w:hint="default"/>
                <w:sz w:val="20"/>
                <w:szCs w:val="20"/>
              </w:rPr>
            </w:pPr>
            <w:r>
              <w:rPr>
                <w:rFonts w:ascii="Times New Roman"/>
                <w:sz w:val="20"/>
              </w:rPr>
              <w:t>41.15%</w:t>
            </w:r>
          </w:p>
        </w:tc>
      </w:tr>
      <w:tr>
        <w:trPr>
          <w:trHeight w:val="312" w:hRule="exact"/>
        </w:trPr>
        <w:tc>
          <w:tcPr>
            <w:tcW w:w="1287" w:type="dxa"/>
            <w:tcBorders>
              <w:top w:val="single" w:sz="4" w:space="0" w:color="000000"/>
              <w:left w:val="single" w:sz="17" w:space="0" w:color="000000"/>
              <w:bottom w:val="single" w:sz="17" w:space="0" w:color="000000"/>
              <w:right w:val="single" w:sz="8" w:space="0" w:color="000000"/>
            </w:tcBorders>
          </w:tcPr>
          <w:p>
            <w:pPr>
              <w:pStyle w:val="TableParagraph"/>
              <w:spacing w:line="254" w:lineRule="exact"/>
              <w:ind w:right="20"/>
              <w:jc w:val="center"/>
              <w:rPr>
                <w:rFonts w:ascii="宋体" w:hAnsi="宋体" w:cs="宋体" w:eastAsia="宋体" w:hint="default"/>
                <w:sz w:val="20"/>
                <w:szCs w:val="20"/>
              </w:rPr>
            </w:pPr>
            <w:r>
              <w:rPr>
                <w:rFonts w:ascii="宋体" w:hAnsi="宋体" w:cs="宋体" w:eastAsia="宋体" w:hint="default"/>
                <w:sz w:val="20"/>
                <w:szCs w:val="20"/>
              </w:rPr>
              <w:t>常规店小计</w:t>
            </w:r>
          </w:p>
        </w:tc>
        <w:tc>
          <w:tcPr>
            <w:tcW w:w="951"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312"/>
              <w:jc w:val="right"/>
              <w:rPr>
                <w:rFonts w:ascii="Times New Roman" w:hAnsi="Times New Roman" w:cs="Times New Roman" w:eastAsia="Times New Roman" w:hint="default"/>
                <w:sz w:val="20"/>
                <w:szCs w:val="20"/>
              </w:rPr>
            </w:pPr>
            <w:r>
              <w:rPr>
                <w:rFonts w:ascii="Times New Roman"/>
                <w:sz w:val="20"/>
              </w:rPr>
              <w:t>302</w:t>
            </w:r>
          </w:p>
        </w:tc>
        <w:tc>
          <w:tcPr>
            <w:tcW w:w="977"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166"/>
              <w:jc w:val="right"/>
              <w:rPr>
                <w:rFonts w:ascii="Times New Roman" w:hAnsi="Times New Roman" w:cs="Times New Roman" w:eastAsia="Times New Roman" w:hint="default"/>
                <w:sz w:val="20"/>
                <w:szCs w:val="20"/>
              </w:rPr>
            </w:pPr>
            <w:r>
              <w:rPr>
                <w:rFonts w:ascii="Times New Roman"/>
                <w:sz w:val="20"/>
              </w:rPr>
              <w:t>82.29%</w:t>
            </w:r>
          </w:p>
        </w:tc>
        <w:tc>
          <w:tcPr>
            <w:tcW w:w="92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288</w:t>
            </w:r>
          </w:p>
        </w:tc>
        <w:tc>
          <w:tcPr>
            <w:tcW w:w="975"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167"/>
              <w:jc w:val="right"/>
              <w:rPr>
                <w:rFonts w:ascii="Times New Roman" w:hAnsi="Times New Roman" w:cs="Times New Roman" w:eastAsia="Times New Roman" w:hint="default"/>
                <w:sz w:val="20"/>
                <w:szCs w:val="20"/>
              </w:rPr>
            </w:pPr>
            <w:r>
              <w:rPr>
                <w:rFonts w:ascii="Times New Roman"/>
                <w:sz w:val="20"/>
              </w:rPr>
              <w:t>92.60%</w:t>
            </w:r>
          </w:p>
        </w:tc>
        <w:tc>
          <w:tcPr>
            <w:tcW w:w="931"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302"/>
              <w:jc w:val="right"/>
              <w:rPr>
                <w:rFonts w:ascii="Times New Roman" w:hAnsi="Times New Roman" w:cs="Times New Roman" w:eastAsia="Times New Roman" w:hint="default"/>
                <w:sz w:val="20"/>
                <w:szCs w:val="20"/>
              </w:rPr>
            </w:pPr>
            <w:r>
              <w:rPr>
                <w:rFonts w:ascii="Times New Roman"/>
                <w:sz w:val="20"/>
              </w:rPr>
              <w:t>252</w:t>
            </w:r>
          </w:p>
        </w:tc>
        <w:tc>
          <w:tcPr>
            <w:tcW w:w="1292"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93.33%</w:t>
            </w:r>
          </w:p>
        </w:tc>
        <w:tc>
          <w:tcPr>
            <w:tcW w:w="95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212</w:t>
            </w:r>
          </w:p>
        </w:tc>
        <w:tc>
          <w:tcPr>
            <w:tcW w:w="968" w:type="dxa"/>
            <w:tcBorders>
              <w:top w:val="single" w:sz="4" w:space="0" w:color="000000"/>
              <w:left w:val="single" w:sz="8" w:space="0" w:color="000000"/>
              <w:bottom w:val="single" w:sz="17" w:space="0" w:color="000000"/>
              <w:right w:val="single" w:sz="17" w:space="0" w:color="000000"/>
            </w:tcBorders>
          </w:tcPr>
          <w:p>
            <w:pPr>
              <w:pStyle w:val="TableParagraph"/>
              <w:spacing w:line="240" w:lineRule="auto" w:before="19"/>
              <w:ind w:left="8" w:right="0"/>
              <w:jc w:val="center"/>
              <w:rPr>
                <w:rFonts w:ascii="Times New Roman" w:hAnsi="Times New Roman" w:cs="Times New Roman" w:eastAsia="Times New Roman" w:hint="default"/>
                <w:sz w:val="20"/>
                <w:szCs w:val="20"/>
              </w:rPr>
            </w:pPr>
            <w:r>
              <w:rPr>
                <w:rFonts w:ascii="Times New Roman"/>
                <w:sz w:val="20"/>
              </w:rPr>
              <w:t>93.81%</w:t>
            </w:r>
          </w:p>
        </w:tc>
      </w:tr>
      <w:tr>
        <w:trPr>
          <w:trHeight w:val="312" w:hRule="exact"/>
        </w:trPr>
        <w:tc>
          <w:tcPr>
            <w:tcW w:w="1287" w:type="dxa"/>
            <w:tcBorders>
              <w:top w:val="single" w:sz="17" w:space="0" w:color="000000"/>
              <w:left w:val="single" w:sz="17" w:space="0" w:color="000000"/>
              <w:bottom w:val="single" w:sz="4" w:space="0" w:color="000000"/>
              <w:right w:val="single" w:sz="8" w:space="0" w:color="000000"/>
            </w:tcBorders>
          </w:tcPr>
          <w:p>
            <w:pPr>
              <w:pStyle w:val="TableParagraph"/>
              <w:spacing w:line="254" w:lineRule="exact"/>
              <w:ind w:right="17"/>
              <w:jc w:val="center"/>
              <w:rPr>
                <w:rFonts w:ascii="宋体" w:hAnsi="宋体" w:cs="宋体" w:eastAsia="宋体" w:hint="default"/>
                <w:sz w:val="20"/>
                <w:szCs w:val="20"/>
              </w:rPr>
            </w:pPr>
            <w:r>
              <w:rPr>
                <w:rFonts w:ascii="宋体" w:hAnsi="宋体" w:cs="宋体" w:eastAsia="宋体" w:hint="default"/>
                <w:sz w:val="20"/>
                <w:szCs w:val="20"/>
              </w:rPr>
              <w:t>精品店</w:t>
            </w:r>
          </w:p>
        </w:tc>
        <w:tc>
          <w:tcPr>
            <w:tcW w:w="951"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77"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left="220" w:right="0"/>
              <w:jc w:val="left"/>
              <w:rPr>
                <w:rFonts w:ascii="Times New Roman" w:hAnsi="Times New Roman" w:cs="Times New Roman" w:eastAsia="Times New Roman" w:hint="default"/>
                <w:sz w:val="20"/>
                <w:szCs w:val="20"/>
              </w:rPr>
            </w:pPr>
            <w:r>
              <w:rPr>
                <w:rFonts w:ascii="Times New Roman"/>
                <w:sz w:val="20"/>
              </w:rPr>
              <w:t>0.27%</w:t>
            </w:r>
          </w:p>
        </w:tc>
        <w:tc>
          <w:tcPr>
            <w:tcW w:w="926"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975"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217"/>
              <w:jc w:val="right"/>
              <w:rPr>
                <w:rFonts w:ascii="Times New Roman" w:hAnsi="Times New Roman" w:cs="Times New Roman" w:eastAsia="Times New Roman" w:hint="default"/>
                <w:sz w:val="20"/>
                <w:szCs w:val="20"/>
              </w:rPr>
            </w:pPr>
            <w:r>
              <w:rPr>
                <w:rFonts w:ascii="Times New Roman"/>
                <w:sz w:val="20"/>
              </w:rPr>
              <w:t>0.64%</w:t>
            </w:r>
          </w:p>
        </w:tc>
        <w:tc>
          <w:tcPr>
            <w:tcW w:w="931"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5"/>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292"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sz w:val="20"/>
              </w:rPr>
              <w:t>1.85%</w:t>
            </w:r>
          </w:p>
        </w:tc>
        <w:tc>
          <w:tcPr>
            <w:tcW w:w="950" w:type="dxa"/>
            <w:tcBorders>
              <w:top w:val="single" w:sz="17" w:space="0" w:color="000000"/>
              <w:left w:val="single" w:sz="8" w:space="0" w:color="000000"/>
              <w:bottom w:val="single" w:sz="4"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68" w:type="dxa"/>
            <w:tcBorders>
              <w:top w:val="single" w:sz="17" w:space="0" w:color="000000"/>
              <w:left w:val="single" w:sz="8" w:space="0" w:color="000000"/>
              <w:bottom w:val="single" w:sz="4" w:space="0" w:color="000000"/>
              <w:right w:val="single" w:sz="17" w:space="0" w:color="000000"/>
            </w:tcBorders>
          </w:tcPr>
          <w:p>
            <w:pPr>
              <w:pStyle w:val="TableParagraph"/>
              <w:spacing w:line="240" w:lineRule="auto" w:before="22"/>
              <w:ind w:left="8" w:right="0"/>
              <w:jc w:val="center"/>
              <w:rPr>
                <w:rFonts w:ascii="Times New Roman" w:hAnsi="Times New Roman" w:cs="Times New Roman" w:eastAsia="Times New Roman" w:hint="default"/>
                <w:sz w:val="20"/>
                <w:szCs w:val="20"/>
              </w:rPr>
            </w:pPr>
            <w:r>
              <w:rPr>
                <w:rFonts w:ascii="Times New Roman"/>
                <w:sz w:val="20"/>
              </w:rPr>
              <w:t>2.65%</w:t>
            </w:r>
          </w:p>
        </w:tc>
      </w:tr>
      <w:tr>
        <w:trPr>
          <w:trHeight w:val="312" w:hRule="exact"/>
        </w:trPr>
        <w:tc>
          <w:tcPr>
            <w:tcW w:w="1287" w:type="dxa"/>
            <w:tcBorders>
              <w:top w:val="single" w:sz="4" w:space="0" w:color="000000"/>
              <w:left w:val="single" w:sz="17" w:space="0" w:color="000000"/>
              <w:bottom w:val="single" w:sz="17" w:space="0" w:color="000000"/>
              <w:right w:val="single" w:sz="8" w:space="0" w:color="000000"/>
            </w:tcBorders>
          </w:tcPr>
          <w:p>
            <w:pPr>
              <w:pStyle w:val="TableParagraph"/>
              <w:spacing w:line="254" w:lineRule="exact"/>
              <w:ind w:right="17"/>
              <w:jc w:val="center"/>
              <w:rPr>
                <w:rFonts w:ascii="宋体" w:hAnsi="宋体" w:cs="宋体" w:eastAsia="宋体" w:hint="default"/>
                <w:sz w:val="20"/>
                <w:szCs w:val="20"/>
              </w:rPr>
            </w:pPr>
            <w:r>
              <w:rPr>
                <w:rFonts w:ascii="宋体" w:hAnsi="宋体" w:cs="宋体" w:eastAsia="宋体" w:hint="default"/>
                <w:sz w:val="20"/>
                <w:szCs w:val="20"/>
              </w:rPr>
              <w:t>县镇店</w:t>
            </w:r>
          </w:p>
        </w:tc>
        <w:tc>
          <w:tcPr>
            <w:tcW w:w="951"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sz w:val="20"/>
              </w:rPr>
              <w:t>63</w:t>
            </w:r>
          </w:p>
        </w:tc>
        <w:tc>
          <w:tcPr>
            <w:tcW w:w="977"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166"/>
              <w:jc w:val="right"/>
              <w:rPr>
                <w:rFonts w:ascii="Times New Roman" w:hAnsi="Times New Roman" w:cs="Times New Roman" w:eastAsia="Times New Roman" w:hint="default"/>
                <w:sz w:val="20"/>
                <w:szCs w:val="20"/>
              </w:rPr>
            </w:pPr>
            <w:r>
              <w:rPr>
                <w:rFonts w:ascii="Times New Roman"/>
                <w:sz w:val="20"/>
              </w:rPr>
              <w:t>17.17%</w:t>
            </w:r>
          </w:p>
        </w:tc>
        <w:tc>
          <w:tcPr>
            <w:tcW w:w="926"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sz w:val="20"/>
              </w:rPr>
              <w:t>21</w:t>
            </w:r>
          </w:p>
        </w:tc>
        <w:tc>
          <w:tcPr>
            <w:tcW w:w="975"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217"/>
              <w:jc w:val="right"/>
              <w:rPr>
                <w:rFonts w:ascii="Times New Roman" w:hAnsi="Times New Roman" w:cs="Times New Roman" w:eastAsia="Times New Roman" w:hint="default"/>
                <w:sz w:val="20"/>
                <w:szCs w:val="20"/>
              </w:rPr>
            </w:pPr>
            <w:r>
              <w:rPr>
                <w:rFonts w:ascii="Times New Roman"/>
                <w:sz w:val="20"/>
              </w:rPr>
              <w:t>6.75%</w:t>
            </w:r>
          </w:p>
        </w:tc>
        <w:tc>
          <w:tcPr>
            <w:tcW w:w="931"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353"/>
              <w:jc w:val="right"/>
              <w:rPr>
                <w:rFonts w:ascii="Times New Roman" w:hAnsi="Times New Roman" w:cs="Times New Roman" w:eastAsia="Times New Roman" w:hint="default"/>
                <w:sz w:val="20"/>
                <w:szCs w:val="20"/>
              </w:rPr>
            </w:pPr>
            <w:r>
              <w:rPr>
                <w:rFonts w:ascii="Times New Roman"/>
                <w:sz w:val="20"/>
              </w:rPr>
              <w:t>13</w:t>
            </w:r>
          </w:p>
        </w:tc>
        <w:tc>
          <w:tcPr>
            <w:tcW w:w="1292"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sz w:val="20"/>
              </w:rPr>
              <w:t>4.81%</w:t>
            </w:r>
          </w:p>
        </w:tc>
        <w:tc>
          <w:tcPr>
            <w:tcW w:w="950" w:type="dxa"/>
            <w:tcBorders>
              <w:top w:val="single" w:sz="4" w:space="0" w:color="000000"/>
              <w:left w:val="single" w:sz="8" w:space="0" w:color="000000"/>
              <w:bottom w:val="single" w:sz="17"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968" w:type="dxa"/>
            <w:tcBorders>
              <w:top w:val="single" w:sz="4" w:space="0" w:color="000000"/>
              <w:left w:val="single" w:sz="8" w:space="0" w:color="000000"/>
              <w:bottom w:val="single" w:sz="17" w:space="0" w:color="000000"/>
              <w:right w:val="single" w:sz="17" w:space="0" w:color="000000"/>
            </w:tcBorders>
          </w:tcPr>
          <w:p>
            <w:pPr>
              <w:pStyle w:val="TableParagraph"/>
              <w:spacing w:line="240" w:lineRule="auto" w:before="22"/>
              <w:ind w:left="8" w:right="0"/>
              <w:jc w:val="center"/>
              <w:rPr>
                <w:rFonts w:ascii="Times New Roman" w:hAnsi="Times New Roman" w:cs="Times New Roman" w:eastAsia="Times New Roman" w:hint="default"/>
                <w:sz w:val="20"/>
                <w:szCs w:val="20"/>
              </w:rPr>
            </w:pPr>
            <w:r>
              <w:rPr>
                <w:rFonts w:ascii="Times New Roman"/>
                <w:sz w:val="20"/>
              </w:rPr>
              <w:t>3.54%</w:t>
            </w:r>
          </w:p>
        </w:tc>
      </w:tr>
      <w:tr>
        <w:trPr>
          <w:trHeight w:val="332" w:hRule="exact"/>
        </w:trPr>
        <w:tc>
          <w:tcPr>
            <w:tcW w:w="1287" w:type="dxa"/>
            <w:tcBorders>
              <w:top w:val="single" w:sz="17" w:space="0" w:color="000000"/>
              <w:left w:val="single" w:sz="17" w:space="0" w:color="000000"/>
              <w:bottom w:val="single" w:sz="17" w:space="0" w:color="000000"/>
              <w:right w:val="single" w:sz="8" w:space="0" w:color="000000"/>
            </w:tcBorders>
          </w:tcPr>
          <w:p>
            <w:pPr>
              <w:pStyle w:val="TableParagraph"/>
              <w:spacing w:line="258" w:lineRule="exact"/>
              <w:ind w:right="14"/>
              <w:jc w:val="center"/>
              <w:rPr>
                <w:rFonts w:ascii="宋体" w:hAnsi="宋体" w:cs="宋体" w:eastAsia="宋体" w:hint="default"/>
                <w:sz w:val="20"/>
                <w:szCs w:val="20"/>
              </w:rPr>
            </w:pPr>
            <w:r>
              <w:rPr>
                <w:rFonts w:ascii="宋体" w:hAnsi="宋体" w:cs="宋体" w:eastAsia="宋体" w:hint="default"/>
                <w:sz w:val="21"/>
                <w:szCs w:val="21"/>
              </w:rPr>
              <w:t>乐购仕</w:t>
            </w:r>
            <w:r>
              <w:rPr>
                <w:rFonts w:ascii="宋体" w:hAnsi="宋体" w:cs="宋体" w:eastAsia="宋体" w:hint="default"/>
                <w:sz w:val="20"/>
                <w:szCs w:val="20"/>
              </w:rPr>
              <w:t>店</w:t>
            </w:r>
          </w:p>
        </w:tc>
        <w:tc>
          <w:tcPr>
            <w:tcW w:w="95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77"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left="220" w:right="0"/>
              <w:jc w:val="left"/>
              <w:rPr>
                <w:rFonts w:ascii="Times New Roman" w:hAnsi="Times New Roman" w:cs="Times New Roman" w:eastAsia="Times New Roman" w:hint="default"/>
                <w:sz w:val="20"/>
                <w:szCs w:val="20"/>
              </w:rPr>
            </w:pPr>
            <w:r>
              <w:rPr>
                <w:rFonts w:ascii="Times New Roman"/>
                <w:sz w:val="20"/>
              </w:rPr>
              <w:t>0.27%</w:t>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5"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4"/>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2"/>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8"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2"/>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3" w:hRule="exact"/>
        </w:trPr>
        <w:tc>
          <w:tcPr>
            <w:tcW w:w="1287" w:type="dxa"/>
            <w:tcBorders>
              <w:top w:val="single" w:sz="17" w:space="0" w:color="000000"/>
              <w:left w:val="single" w:sz="17" w:space="0" w:color="000000"/>
              <w:bottom w:val="single" w:sz="17" w:space="0" w:color="000000"/>
              <w:right w:val="single" w:sz="8" w:space="0" w:color="000000"/>
            </w:tcBorders>
          </w:tcPr>
          <w:p>
            <w:pPr>
              <w:pStyle w:val="TableParagraph"/>
              <w:spacing w:line="261" w:lineRule="exact"/>
              <w:ind w:right="20"/>
              <w:jc w:val="center"/>
              <w:rPr>
                <w:rFonts w:ascii="宋体" w:hAnsi="宋体" w:cs="宋体" w:eastAsia="宋体" w:hint="default"/>
                <w:sz w:val="20"/>
                <w:szCs w:val="20"/>
              </w:rPr>
            </w:pPr>
            <w:r>
              <w:rPr>
                <w:rFonts w:ascii="宋体" w:hAnsi="宋体" w:cs="宋体" w:eastAsia="宋体" w:hint="default"/>
                <w:sz w:val="20"/>
                <w:szCs w:val="20"/>
              </w:rPr>
              <w:t>合计</w:t>
            </w:r>
          </w:p>
        </w:tc>
        <w:tc>
          <w:tcPr>
            <w:tcW w:w="95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312"/>
              <w:jc w:val="right"/>
              <w:rPr>
                <w:rFonts w:ascii="Times New Roman" w:hAnsi="Times New Roman" w:cs="Times New Roman" w:eastAsia="Times New Roman" w:hint="default"/>
                <w:sz w:val="20"/>
                <w:szCs w:val="20"/>
              </w:rPr>
            </w:pPr>
            <w:r>
              <w:rPr>
                <w:rFonts w:ascii="Times New Roman"/>
                <w:sz w:val="20"/>
              </w:rPr>
              <w:t>367</w:t>
            </w:r>
          </w:p>
        </w:tc>
        <w:tc>
          <w:tcPr>
            <w:tcW w:w="977"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1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left="1" w:right="0"/>
              <w:jc w:val="center"/>
              <w:rPr>
                <w:rFonts w:ascii="Times New Roman" w:hAnsi="Times New Roman" w:cs="Times New Roman" w:eastAsia="Times New Roman" w:hint="default"/>
                <w:sz w:val="20"/>
                <w:szCs w:val="20"/>
              </w:rPr>
            </w:pPr>
            <w:r>
              <w:rPr>
                <w:rFonts w:ascii="Times New Roman"/>
                <w:sz w:val="20"/>
              </w:rPr>
              <w:t>311</w:t>
            </w:r>
          </w:p>
        </w:tc>
        <w:tc>
          <w:tcPr>
            <w:tcW w:w="975"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3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302"/>
              <w:jc w:val="right"/>
              <w:rPr>
                <w:rFonts w:ascii="Times New Roman" w:hAnsi="Times New Roman" w:cs="Times New Roman" w:eastAsia="Times New Roman" w:hint="default"/>
                <w:sz w:val="20"/>
                <w:szCs w:val="20"/>
              </w:rPr>
            </w:pPr>
            <w:r>
              <w:rPr>
                <w:rFonts w:ascii="Times New Roman"/>
                <w:sz w:val="20"/>
              </w:rPr>
              <w:t>270</w:t>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100.00%</w:t>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226</w:t>
            </w:r>
          </w:p>
        </w:tc>
        <w:tc>
          <w:tcPr>
            <w:tcW w:w="968"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9"/>
              <w:ind w:left="5" w:right="0"/>
              <w:jc w:val="center"/>
              <w:rPr>
                <w:rFonts w:ascii="Times New Roman" w:hAnsi="Times New Roman" w:cs="Times New Roman" w:eastAsia="Times New Roman" w:hint="default"/>
                <w:sz w:val="20"/>
                <w:szCs w:val="20"/>
              </w:rPr>
            </w:pPr>
            <w:r>
              <w:rPr>
                <w:rFonts w:ascii="Times New Roman"/>
                <w:sz w:val="20"/>
              </w:rPr>
              <w:t>100.00%</w:t>
            </w:r>
          </w:p>
        </w:tc>
      </w:tr>
      <w:tr>
        <w:trPr>
          <w:trHeight w:val="276" w:hRule="exact"/>
        </w:trPr>
        <w:tc>
          <w:tcPr>
            <w:tcW w:w="9257" w:type="dxa"/>
            <w:gridSpan w:val="9"/>
            <w:tcBorders>
              <w:top w:val="single" w:sz="17" w:space="0" w:color="000000"/>
              <w:left w:val="nil" w:sz="6" w:space="0" w:color="auto"/>
              <w:bottom w:val="single" w:sz="17" w:space="0" w:color="000000"/>
              <w:right w:val="nil" w:sz="6" w:space="0" w:color="auto"/>
            </w:tcBorders>
          </w:tcPr>
          <w:p>
            <w:pPr/>
          </w:p>
        </w:tc>
      </w:tr>
      <w:tr>
        <w:trPr>
          <w:trHeight w:val="348" w:hRule="exact"/>
        </w:trPr>
        <w:tc>
          <w:tcPr>
            <w:tcW w:w="1287" w:type="dxa"/>
            <w:vMerge w:val="restart"/>
            <w:tcBorders>
              <w:top w:val="single" w:sz="17" w:space="0" w:color="000000"/>
              <w:left w:val="single" w:sz="17" w:space="0" w:color="000000"/>
              <w:right w:val="single" w:sz="8" w:space="0" w:color="000000"/>
            </w:tcBorders>
          </w:tcPr>
          <w:p>
            <w:pPr>
              <w:pStyle w:val="TableParagraph"/>
              <w:spacing w:line="240" w:lineRule="auto" w:before="40"/>
              <w:ind w:left="753"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9"/>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928"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554" w:right="0"/>
              <w:jc w:val="left"/>
              <w:rPr>
                <w:rFonts w:ascii="宋体" w:hAnsi="宋体" w:cs="宋体" w:eastAsia="宋体" w:hint="default"/>
                <w:sz w:val="20"/>
                <w:szCs w:val="20"/>
              </w:rPr>
            </w:pPr>
            <w:r>
              <w:rPr>
                <w:rFonts w:ascii="宋体" w:hAnsi="宋体" w:cs="宋体" w:eastAsia="宋体" w:hint="default"/>
                <w:sz w:val="20"/>
                <w:szCs w:val="20"/>
              </w:rPr>
              <w:t>西南地区</w:t>
            </w:r>
          </w:p>
        </w:tc>
        <w:tc>
          <w:tcPr>
            <w:tcW w:w="1901"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542" w:right="0"/>
              <w:jc w:val="left"/>
              <w:rPr>
                <w:rFonts w:ascii="宋体" w:hAnsi="宋体" w:cs="宋体" w:eastAsia="宋体" w:hint="default"/>
                <w:sz w:val="20"/>
                <w:szCs w:val="20"/>
              </w:rPr>
            </w:pPr>
            <w:r>
              <w:rPr>
                <w:rFonts w:ascii="宋体" w:hAnsi="宋体" w:cs="宋体" w:eastAsia="宋体" w:hint="default"/>
                <w:sz w:val="20"/>
                <w:szCs w:val="20"/>
              </w:rPr>
              <w:t>华中地区</w:t>
            </w:r>
          </w:p>
        </w:tc>
        <w:tc>
          <w:tcPr>
            <w:tcW w:w="2223" w:type="dxa"/>
            <w:gridSpan w:val="2"/>
            <w:tcBorders>
              <w:top w:val="single" w:sz="17" w:space="0" w:color="000000"/>
              <w:left w:val="single" w:sz="8" w:space="0" w:color="000000"/>
              <w:bottom w:val="single" w:sz="8" w:space="0" w:color="000000"/>
              <w:right w:val="single" w:sz="8" w:space="0" w:color="000000"/>
            </w:tcBorders>
          </w:tcPr>
          <w:p>
            <w:pPr>
              <w:pStyle w:val="TableParagraph"/>
              <w:spacing w:line="259" w:lineRule="exact"/>
              <w:ind w:left="700" w:right="0"/>
              <w:jc w:val="left"/>
              <w:rPr>
                <w:rFonts w:ascii="宋体" w:hAnsi="宋体" w:cs="宋体" w:eastAsia="宋体" w:hint="default"/>
                <w:sz w:val="20"/>
                <w:szCs w:val="20"/>
              </w:rPr>
            </w:pPr>
            <w:r>
              <w:rPr>
                <w:rFonts w:ascii="宋体" w:hAnsi="宋体" w:cs="宋体" w:eastAsia="宋体" w:hint="default"/>
                <w:sz w:val="20"/>
                <w:szCs w:val="20"/>
              </w:rPr>
              <w:t>东北地区</w:t>
            </w:r>
          </w:p>
        </w:tc>
        <w:tc>
          <w:tcPr>
            <w:tcW w:w="1918" w:type="dxa"/>
            <w:gridSpan w:val="2"/>
            <w:tcBorders>
              <w:top w:val="single" w:sz="17" w:space="0" w:color="000000"/>
              <w:left w:val="single" w:sz="8" w:space="0" w:color="000000"/>
              <w:bottom w:val="single" w:sz="8" w:space="0" w:color="000000"/>
              <w:right w:val="single" w:sz="17" w:space="0" w:color="000000"/>
            </w:tcBorders>
          </w:tcPr>
          <w:p>
            <w:pPr>
              <w:pStyle w:val="TableParagraph"/>
              <w:spacing w:line="259" w:lineRule="exact"/>
              <w:ind w:left="547" w:right="0"/>
              <w:jc w:val="left"/>
              <w:rPr>
                <w:rFonts w:ascii="宋体" w:hAnsi="宋体" w:cs="宋体" w:eastAsia="宋体" w:hint="default"/>
                <w:sz w:val="20"/>
                <w:szCs w:val="20"/>
              </w:rPr>
            </w:pPr>
            <w:r>
              <w:rPr>
                <w:rFonts w:ascii="宋体" w:hAnsi="宋体" w:cs="宋体" w:eastAsia="宋体" w:hint="default"/>
                <w:sz w:val="20"/>
                <w:szCs w:val="20"/>
              </w:rPr>
              <w:t>西北地区</w:t>
            </w:r>
          </w:p>
        </w:tc>
      </w:tr>
      <w:tr>
        <w:trPr>
          <w:trHeight w:val="346" w:hRule="exact"/>
        </w:trPr>
        <w:tc>
          <w:tcPr>
            <w:tcW w:w="1287" w:type="dxa"/>
            <w:vMerge/>
            <w:tcBorders>
              <w:left w:val="single" w:sz="17" w:space="0" w:color="000000"/>
              <w:bottom w:val="single" w:sz="8" w:space="0" w:color="000000"/>
              <w:right w:val="single" w:sz="8" w:space="0" w:color="000000"/>
            </w:tcBorders>
          </w:tcPr>
          <w:p>
            <w:pP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66"/>
              <w:jc w:val="right"/>
              <w:rPr>
                <w:rFonts w:ascii="宋体" w:hAnsi="宋体" w:cs="宋体" w:eastAsia="宋体" w:hint="default"/>
                <w:sz w:val="20"/>
                <w:szCs w:val="20"/>
              </w:rPr>
            </w:pPr>
            <w:r>
              <w:rPr>
                <w:rFonts w:ascii="宋体" w:hAnsi="宋体" w:cs="宋体" w:eastAsia="宋体" w:hint="default"/>
                <w:w w:val="95"/>
                <w:sz w:val="20"/>
                <w:szCs w:val="20"/>
              </w:rPr>
              <w:t>数量</w:t>
            </w:r>
            <w:r>
              <w:rPr>
                <w:rFonts w:ascii="宋体" w:hAnsi="宋体" w:cs="宋体" w:eastAsia="宋体" w:hint="default"/>
                <w:sz w:val="20"/>
                <w:szCs w:val="20"/>
              </w:rPr>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78"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76"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57"/>
              <w:jc w:val="right"/>
              <w:rPr>
                <w:rFonts w:ascii="宋体" w:hAnsi="宋体" w:cs="宋体" w:eastAsia="宋体" w:hint="default"/>
                <w:sz w:val="20"/>
                <w:szCs w:val="20"/>
              </w:rPr>
            </w:pPr>
            <w:r>
              <w:rPr>
                <w:rFonts w:ascii="宋体" w:hAnsi="宋体" w:cs="宋体" w:eastAsia="宋体" w:hint="default"/>
                <w:w w:val="95"/>
                <w:sz w:val="20"/>
                <w:szCs w:val="20"/>
              </w:rPr>
              <w:t>数量</w:t>
            </w:r>
            <w:r>
              <w:rPr>
                <w:rFonts w:ascii="宋体" w:hAnsi="宋体" w:cs="宋体" w:eastAsia="宋体" w:hint="default"/>
                <w:sz w:val="20"/>
                <w:szCs w:val="20"/>
              </w:rPr>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占比</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3"/>
              <w:ind w:left="4" w:right="0"/>
              <w:jc w:val="center"/>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287" w:type="dxa"/>
            <w:tcBorders>
              <w:top w:val="single" w:sz="8" w:space="0" w:color="000000"/>
              <w:left w:val="single" w:sz="17" w:space="0" w:color="000000"/>
              <w:bottom w:val="single" w:sz="8" w:space="0" w:color="000000"/>
              <w:right w:val="single" w:sz="8" w:space="0" w:color="000000"/>
            </w:tcBorders>
          </w:tcPr>
          <w:p>
            <w:pPr>
              <w:pStyle w:val="TableParagraph"/>
              <w:spacing w:line="261" w:lineRule="exact"/>
              <w:ind w:right="17"/>
              <w:jc w:val="center"/>
              <w:rPr>
                <w:rFonts w:ascii="宋体" w:hAnsi="宋体" w:cs="宋体" w:eastAsia="宋体" w:hint="default"/>
                <w:sz w:val="20"/>
                <w:szCs w:val="20"/>
              </w:rPr>
            </w:pPr>
            <w:r>
              <w:rPr>
                <w:rFonts w:ascii="宋体" w:hAnsi="宋体" w:cs="宋体" w:eastAsia="宋体" w:hint="default"/>
                <w:sz w:val="20"/>
                <w:szCs w:val="20"/>
              </w:rPr>
              <w:t>旗舰店</w:t>
            </w: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31</w:t>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66"/>
              <w:jc w:val="right"/>
              <w:rPr>
                <w:rFonts w:ascii="Times New Roman" w:hAnsi="Times New Roman" w:cs="Times New Roman" w:eastAsia="Times New Roman" w:hint="default"/>
                <w:sz w:val="20"/>
                <w:szCs w:val="20"/>
              </w:rPr>
            </w:pPr>
            <w:r>
              <w:rPr>
                <w:rFonts w:ascii="Times New Roman"/>
                <w:sz w:val="20"/>
              </w:rPr>
              <w:t>17.22%</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19</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67"/>
              <w:jc w:val="right"/>
              <w:rPr>
                <w:rFonts w:ascii="Times New Roman" w:hAnsi="Times New Roman" w:cs="Times New Roman" w:eastAsia="Times New Roman" w:hint="default"/>
                <w:sz w:val="20"/>
                <w:szCs w:val="20"/>
              </w:rPr>
            </w:pPr>
            <w:r>
              <w:rPr>
                <w:rFonts w:ascii="Times New Roman"/>
                <w:sz w:val="20"/>
              </w:rPr>
              <w:t>13.29%</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353"/>
              <w:jc w:val="right"/>
              <w:rPr>
                <w:rFonts w:ascii="Times New Roman" w:hAnsi="Times New Roman" w:cs="Times New Roman" w:eastAsia="Times New Roman" w:hint="default"/>
                <w:sz w:val="20"/>
                <w:szCs w:val="20"/>
              </w:rPr>
            </w:pPr>
            <w:r>
              <w:rPr>
                <w:rFonts w:ascii="Times New Roman"/>
                <w:sz w:val="20"/>
              </w:rPr>
              <w:t>24</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sz w:val="20"/>
              </w:rPr>
              <w:t>22.02%</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17</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7"/>
              <w:ind w:left="8" w:right="0"/>
              <w:jc w:val="center"/>
              <w:rPr>
                <w:rFonts w:ascii="Times New Roman" w:hAnsi="Times New Roman" w:cs="Times New Roman" w:eastAsia="Times New Roman" w:hint="default"/>
                <w:sz w:val="20"/>
                <w:szCs w:val="20"/>
              </w:rPr>
            </w:pPr>
            <w:r>
              <w:rPr>
                <w:rFonts w:ascii="Times New Roman"/>
                <w:sz w:val="20"/>
              </w:rPr>
              <w:t>21.79%</w:t>
            </w:r>
          </w:p>
        </w:tc>
      </w:tr>
      <w:tr>
        <w:trPr>
          <w:trHeight w:val="319" w:hRule="exact"/>
        </w:trPr>
        <w:tc>
          <w:tcPr>
            <w:tcW w:w="1287" w:type="dxa"/>
            <w:tcBorders>
              <w:top w:val="single" w:sz="8" w:space="0" w:color="000000"/>
              <w:left w:val="single" w:sz="17" w:space="0" w:color="000000"/>
              <w:bottom w:val="single" w:sz="8" w:space="0" w:color="000000"/>
              <w:right w:val="single" w:sz="8" w:space="0" w:color="000000"/>
            </w:tcBorders>
          </w:tcPr>
          <w:p>
            <w:pPr>
              <w:pStyle w:val="TableParagraph"/>
              <w:spacing w:line="261" w:lineRule="exact"/>
              <w:ind w:right="17"/>
              <w:jc w:val="center"/>
              <w:rPr>
                <w:rFonts w:ascii="宋体" w:hAnsi="宋体" w:cs="宋体" w:eastAsia="宋体" w:hint="default"/>
                <w:sz w:val="20"/>
                <w:szCs w:val="20"/>
              </w:rPr>
            </w:pPr>
            <w:r>
              <w:rPr>
                <w:rFonts w:ascii="宋体" w:hAnsi="宋体" w:cs="宋体" w:eastAsia="宋体" w:hint="default"/>
                <w:sz w:val="20"/>
                <w:szCs w:val="20"/>
              </w:rPr>
              <w:t>中心店</w:t>
            </w: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51</w:t>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6"/>
              <w:jc w:val="right"/>
              <w:rPr>
                <w:rFonts w:ascii="Times New Roman" w:hAnsi="Times New Roman" w:cs="Times New Roman" w:eastAsia="Times New Roman" w:hint="default"/>
                <w:sz w:val="20"/>
                <w:szCs w:val="20"/>
              </w:rPr>
            </w:pPr>
            <w:r>
              <w:rPr>
                <w:rFonts w:ascii="Times New Roman"/>
                <w:sz w:val="20"/>
              </w:rPr>
              <w:t>28.33%</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31</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7"/>
              <w:jc w:val="right"/>
              <w:rPr>
                <w:rFonts w:ascii="Times New Roman" w:hAnsi="Times New Roman" w:cs="Times New Roman" w:eastAsia="Times New Roman" w:hint="default"/>
                <w:sz w:val="20"/>
                <w:szCs w:val="20"/>
              </w:rPr>
            </w:pPr>
            <w:r>
              <w:rPr>
                <w:rFonts w:ascii="Times New Roman"/>
                <w:sz w:val="20"/>
              </w:rPr>
              <w:t>21.68%</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353"/>
              <w:jc w:val="right"/>
              <w:rPr>
                <w:rFonts w:ascii="Times New Roman" w:hAnsi="Times New Roman" w:cs="Times New Roman" w:eastAsia="Times New Roman" w:hint="default"/>
                <w:sz w:val="20"/>
                <w:szCs w:val="20"/>
              </w:rPr>
            </w:pPr>
            <w:r>
              <w:rPr>
                <w:rFonts w:ascii="Times New Roman"/>
                <w:sz w:val="20"/>
              </w:rPr>
              <w:t>18</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16.51%</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28</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9"/>
              <w:ind w:left="8" w:right="0"/>
              <w:jc w:val="center"/>
              <w:rPr>
                <w:rFonts w:ascii="Times New Roman" w:hAnsi="Times New Roman" w:cs="Times New Roman" w:eastAsia="Times New Roman" w:hint="default"/>
                <w:sz w:val="20"/>
                <w:szCs w:val="20"/>
              </w:rPr>
            </w:pPr>
            <w:r>
              <w:rPr>
                <w:rFonts w:ascii="Times New Roman"/>
                <w:sz w:val="20"/>
              </w:rPr>
              <w:t>35.90%</w:t>
            </w:r>
          </w:p>
        </w:tc>
      </w:tr>
      <w:tr>
        <w:trPr>
          <w:trHeight w:val="322" w:hRule="exact"/>
        </w:trPr>
        <w:tc>
          <w:tcPr>
            <w:tcW w:w="128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
              <w:ind w:right="17"/>
              <w:jc w:val="center"/>
              <w:rPr>
                <w:rFonts w:ascii="宋体" w:hAnsi="宋体" w:cs="宋体" w:eastAsia="宋体" w:hint="default"/>
                <w:sz w:val="20"/>
                <w:szCs w:val="20"/>
              </w:rPr>
            </w:pPr>
            <w:r>
              <w:rPr>
                <w:rFonts w:ascii="宋体" w:hAnsi="宋体" w:cs="宋体" w:eastAsia="宋体" w:hint="default"/>
                <w:sz w:val="20"/>
                <w:szCs w:val="20"/>
              </w:rPr>
              <w:t>社区店</w:t>
            </w:r>
          </w:p>
        </w:tc>
        <w:tc>
          <w:tcPr>
            <w:tcW w:w="9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86</w:t>
            </w:r>
          </w:p>
        </w:tc>
        <w:tc>
          <w:tcPr>
            <w:tcW w:w="9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6"/>
              <w:jc w:val="right"/>
              <w:rPr>
                <w:rFonts w:ascii="Times New Roman" w:hAnsi="Times New Roman" w:cs="Times New Roman" w:eastAsia="Times New Roman" w:hint="default"/>
                <w:sz w:val="20"/>
                <w:szCs w:val="20"/>
              </w:rPr>
            </w:pPr>
            <w:r>
              <w:rPr>
                <w:rFonts w:ascii="Times New Roman"/>
                <w:sz w:val="20"/>
              </w:rPr>
              <w:t>47.78%</w:t>
            </w:r>
          </w:p>
        </w:tc>
        <w:tc>
          <w:tcPr>
            <w:tcW w:w="9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87</w:t>
            </w:r>
          </w:p>
        </w:tc>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67"/>
              <w:jc w:val="right"/>
              <w:rPr>
                <w:rFonts w:ascii="Times New Roman" w:hAnsi="Times New Roman" w:cs="Times New Roman" w:eastAsia="Times New Roman" w:hint="default"/>
                <w:sz w:val="20"/>
                <w:szCs w:val="20"/>
              </w:rPr>
            </w:pPr>
            <w:r>
              <w:rPr>
                <w:rFonts w:ascii="Times New Roman"/>
                <w:sz w:val="20"/>
              </w:rPr>
              <w:t>60.84%</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353"/>
              <w:jc w:val="right"/>
              <w:rPr>
                <w:rFonts w:ascii="Times New Roman" w:hAnsi="Times New Roman" w:cs="Times New Roman" w:eastAsia="Times New Roman" w:hint="default"/>
                <w:sz w:val="20"/>
                <w:szCs w:val="20"/>
              </w:rPr>
            </w:pPr>
            <w:r>
              <w:rPr>
                <w:rFonts w:ascii="Times New Roman"/>
                <w:sz w:val="20"/>
              </w:rPr>
              <w:t>58</w:t>
            </w:r>
          </w:p>
        </w:tc>
        <w:tc>
          <w:tcPr>
            <w:tcW w:w="12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53.21%</w:t>
            </w:r>
          </w:p>
        </w:tc>
        <w:tc>
          <w:tcPr>
            <w:tcW w:w="9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28</w:t>
            </w:r>
          </w:p>
        </w:tc>
        <w:tc>
          <w:tcPr>
            <w:tcW w:w="96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9"/>
              <w:ind w:left="8" w:right="0"/>
              <w:jc w:val="center"/>
              <w:rPr>
                <w:rFonts w:ascii="Times New Roman" w:hAnsi="Times New Roman" w:cs="Times New Roman" w:eastAsia="Times New Roman" w:hint="default"/>
                <w:sz w:val="20"/>
                <w:szCs w:val="20"/>
              </w:rPr>
            </w:pPr>
            <w:r>
              <w:rPr>
                <w:rFonts w:ascii="Times New Roman"/>
                <w:sz w:val="20"/>
              </w:rPr>
              <w:t>35.90%</w:t>
            </w:r>
          </w:p>
        </w:tc>
      </w:tr>
      <w:tr>
        <w:trPr>
          <w:trHeight w:val="331" w:hRule="exact"/>
        </w:trPr>
        <w:tc>
          <w:tcPr>
            <w:tcW w:w="1287" w:type="dxa"/>
            <w:tcBorders>
              <w:top w:val="single" w:sz="8" w:space="0" w:color="000000"/>
              <w:left w:val="single" w:sz="17" w:space="0" w:color="000000"/>
              <w:bottom w:val="single" w:sz="17" w:space="0" w:color="000000"/>
              <w:right w:val="single" w:sz="8" w:space="0" w:color="000000"/>
            </w:tcBorders>
          </w:tcPr>
          <w:p>
            <w:pPr>
              <w:pStyle w:val="TableParagraph"/>
              <w:spacing w:line="261" w:lineRule="exact"/>
              <w:ind w:right="20"/>
              <w:jc w:val="center"/>
              <w:rPr>
                <w:rFonts w:ascii="宋体" w:hAnsi="宋体" w:cs="宋体" w:eastAsia="宋体" w:hint="default"/>
                <w:sz w:val="20"/>
                <w:szCs w:val="20"/>
              </w:rPr>
            </w:pPr>
            <w:r>
              <w:rPr>
                <w:rFonts w:ascii="宋体" w:hAnsi="宋体" w:cs="宋体" w:eastAsia="宋体" w:hint="default"/>
                <w:sz w:val="20"/>
                <w:szCs w:val="20"/>
              </w:rPr>
              <w:t>常规店小计</w:t>
            </w:r>
          </w:p>
        </w:tc>
        <w:tc>
          <w:tcPr>
            <w:tcW w:w="95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312"/>
              <w:jc w:val="right"/>
              <w:rPr>
                <w:rFonts w:ascii="Times New Roman" w:hAnsi="Times New Roman" w:cs="Times New Roman" w:eastAsia="Times New Roman" w:hint="default"/>
                <w:sz w:val="20"/>
                <w:szCs w:val="20"/>
              </w:rPr>
            </w:pPr>
            <w:r>
              <w:rPr>
                <w:rFonts w:ascii="Times New Roman"/>
                <w:sz w:val="20"/>
              </w:rPr>
              <w:t>168</w:t>
            </w:r>
          </w:p>
        </w:tc>
        <w:tc>
          <w:tcPr>
            <w:tcW w:w="97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166"/>
              <w:jc w:val="right"/>
              <w:rPr>
                <w:rFonts w:ascii="Times New Roman" w:hAnsi="Times New Roman" w:cs="Times New Roman" w:eastAsia="Times New Roman" w:hint="default"/>
                <w:sz w:val="20"/>
                <w:szCs w:val="20"/>
              </w:rPr>
            </w:pPr>
            <w:r>
              <w:rPr>
                <w:rFonts w:ascii="Times New Roman"/>
                <w:sz w:val="20"/>
              </w:rPr>
              <w:t>93.33%</w:t>
            </w:r>
          </w:p>
        </w:tc>
        <w:tc>
          <w:tcPr>
            <w:tcW w:w="9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137</w:t>
            </w:r>
          </w:p>
        </w:tc>
        <w:tc>
          <w:tcPr>
            <w:tcW w:w="97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167"/>
              <w:jc w:val="right"/>
              <w:rPr>
                <w:rFonts w:ascii="Times New Roman" w:hAnsi="Times New Roman" w:cs="Times New Roman" w:eastAsia="Times New Roman" w:hint="default"/>
                <w:sz w:val="20"/>
                <w:szCs w:val="20"/>
              </w:rPr>
            </w:pPr>
            <w:r>
              <w:rPr>
                <w:rFonts w:ascii="Times New Roman"/>
                <w:sz w:val="20"/>
              </w:rPr>
              <w:t>95.80%</w:t>
            </w:r>
          </w:p>
        </w:tc>
        <w:tc>
          <w:tcPr>
            <w:tcW w:w="93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302"/>
              <w:jc w:val="right"/>
              <w:rPr>
                <w:rFonts w:ascii="Times New Roman" w:hAnsi="Times New Roman" w:cs="Times New Roman" w:eastAsia="Times New Roman" w:hint="default"/>
                <w:sz w:val="20"/>
                <w:szCs w:val="20"/>
              </w:rPr>
            </w:pPr>
            <w:r>
              <w:rPr>
                <w:rFonts w:ascii="Times New Roman"/>
                <w:sz w:val="20"/>
              </w:rPr>
              <w:t>100</w:t>
            </w:r>
          </w:p>
        </w:tc>
        <w:tc>
          <w:tcPr>
            <w:tcW w:w="12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1"/>
              <w:jc w:val="center"/>
              <w:rPr>
                <w:rFonts w:ascii="Times New Roman" w:hAnsi="Times New Roman" w:cs="Times New Roman" w:eastAsia="Times New Roman" w:hint="default"/>
                <w:sz w:val="20"/>
                <w:szCs w:val="20"/>
              </w:rPr>
            </w:pPr>
            <w:r>
              <w:rPr>
                <w:rFonts w:ascii="Times New Roman"/>
                <w:sz w:val="20"/>
              </w:rPr>
              <w:t>91.74%</w:t>
            </w:r>
          </w:p>
        </w:tc>
        <w:tc>
          <w:tcPr>
            <w:tcW w:w="9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0"/>
              <w:jc w:val="center"/>
              <w:rPr>
                <w:rFonts w:ascii="Times New Roman" w:hAnsi="Times New Roman" w:cs="Times New Roman" w:eastAsia="Times New Roman" w:hint="default"/>
                <w:sz w:val="20"/>
                <w:szCs w:val="20"/>
              </w:rPr>
            </w:pPr>
            <w:r>
              <w:rPr>
                <w:rFonts w:ascii="Times New Roman"/>
                <w:sz w:val="20"/>
              </w:rPr>
              <w:t>73</w:t>
            </w:r>
          </w:p>
        </w:tc>
        <w:tc>
          <w:tcPr>
            <w:tcW w:w="968"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27"/>
              <w:ind w:left="8" w:right="0"/>
              <w:jc w:val="center"/>
              <w:rPr>
                <w:rFonts w:ascii="Times New Roman" w:hAnsi="Times New Roman" w:cs="Times New Roman" w:eastAsia="Times New Roman" w:hint="default"/>
                <w:sz w:val="20"/>
                <w:szCs w:val="20"/>
              </w:rPr>
            </w:pPr>
            <w:r>
              <w:rPr>
                <w:rFonts w:ascii="Times New Roman"/>
                <w:sz w:val="20"/>
              </w:rPr>
              <w:t>93.59%</w:t>
            </w:r>
          </w:p>
        </w:tc>
      </w:tr>
      <w:tr>
        <w:trPr>
          <w:trHeight w:val="334" w:hRule="exact"/>
        </w:trPr>
        <w:tc>
          <w:tcPr>
            <w:tcW w:w="1287"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1"/>
              <w:ind w:right="17"/>
              <w:jc w:val="center"/>
              <w:rPr>
                <w:rFonts w:ascii="宋体" w:hAnsi="宋体" w:cs="宋体" w:eastAsia="宋体" w:hint="default"/>
                <w:sz w:val="20"/>
                <w:szCs w:val="20"/>
              </w:rPr>
            </w:pPr>
            <w:r>
              <w:rPr>
                <w:rFonts w:ascii="宋体" w:hAnsi="宋体" w:cs="宋体" w:eastAsia="宋体" w:hint="default"/>
                <w:sz w:val="20"/>
                <w:szCs w:val="20"/>
              </w:rPr>
              <w:t>精品店</w:t>
            </w:r>
          </w:p>
        </w:tc>
        <w:tc>
          <w:tcPr>
            <w:tcW w:w="95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75"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217"/>
              <w:jc w:val="right"/>
              <w:rPr>
                <w:rFonts w:ascii="Times New Roman" w:hAnsi="Times New Roman" w:cs="Times New Roman" w:eastAsia="Times New Roman" w:hint="default"/>
                <w:sz w:val="20"/>
                <w:szCs w:val="20"/>
              </w:rPr>
            </w:pPr>
            <w:r>
              <w:rPr>
                <w:rFonts w:ascii="Times New Roman"/>
                <w:sz w:val="20"/>
              </w:rPr>
              <w:t>0.70%</w:t>
            </w:r>
          </w:p>
        </w:tc>
        <w:tc>
          <w:tcPr>
            <w:tcW w:w="93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5"/>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29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1.83%</w:t>
            </w:r>
          </w:p>
        </w:tc>
        <w:tc>
          <w:tcPr>
            <w:tcW w:w="95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8"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2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2" w:hRule="exact"/>
        </w:trPr>
        <w:tc>
          <w:tcPr>
            <w:tcW w:w="1287" w:type="dxa"/>
            <w:tcBorders>
              <w:top w:val="single" w:sz="8" w:space="0" w:color="000000"/>
              <w:left w:val="single" w:sz="17" w:space="0" w:color="000000"/>
              <w:bottom w:val="single" w:sz="17" w:space="0" w:color="000000"/>
              <w:right w:val="single" w:sz="8" w:space="0" w:color="000000"/>
            </w:tcBorders>
          </w:tcPr>
          <w:p>
            <w:pPr>
              <w:pStyle w:val="TableParagraph"/>
              <w:spacing w:line="261" w:lineRule="exact"/>
              <w:ind w:right="17"/>
              <w:jc w:val="center"/>
              <w:rPr>
                <w:rFonts w:ascii="宋体" w:hAnsi="宋体" w:cs="宋体" w:eastAsia="宋体" w:hint="default"/>
                <w:sz w:val="20"/>
                <w:szCs w:val="20"/>
              </w:rPr>
            </w:pPr>
            <w:r>
              <w:rPr>
                <w:rFonts w:ascii="宋体" w:hAnsi="宋体" w:cs="宋体" w:eastAsia="宋体" w:hint="default"/>
                <w:sz w:val="20"/>
                <w:szCs w:val="20"/>
              </w:rPr>
              <w:t>县镇店</w:t>
            </w:r>
          </w:p>
        </w:tc>
        <w:tc>
          <w:tcPr>
            <w:tcW w:w="95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12</w:t>
            </w:r>
          </w:p>
        </w:tc>
        <w:tc>
          <w:tcPr>
            <w:tcW w:w="97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left="220" w:right="0"/>
              <w:jc w:val="left"/>
              <w:rPr>
                <w:rFonts w:ascii="Times New Roman" w:hAnsi="Times New Roman" w:cs="Times New Roman" w:eastAsia="Times New Roman" w:hint="default"/>
                <w:sz w:val="20"/>
                <w:szCs w:val="20"/>
              </w:rPr>
            </w:pPr>
            <w:r>
              <w:rPr>
                <w:rFonts w:ascii="Times New Roman"/>
                <w:sz w:val="20"/>
              </w:rPr>
              <w:t>6.67%</w:t>
            </w:r>
          </w:p>
        </w:tc>
        <w:tc>
          <w:tcPr>
            <w:tcW w:w="92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975"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217"/>
              <w:jc w:val="right"/>
              <w:rPr>
                <w:rFonts w:ascii="Times New Roman" w:hAnsi="Times New Roman" w:cs="Times New Roman" w:eastAsia="Times New Roman" w:hint="default"/>
                <w:sz w:val="20"/>
                <w:szCs w:val="20"/>
              </w:rPr>
            </w:pPr>
            <w:r>
              <w:rPr>
                <w:rFonts w:ascii="Times New Roman"/>
                <w:sz w:val="20"/>
              </w:rPr>
              <w:t>3.50%</w:t>
            </w:r>
          </w:p>
        </w:tc>
        <w:tc>
          <w:tcPr>
            <w:tcW w:w="93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5"/>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2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6.42%</w:t>
            </w:r>
          </w:p>
        </w:tc>
        <w:tc>
          <w:tcPr>
            <w:tcW w:w="95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968"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29"/>
              <w:ind w:left="8" w:right="0"/>
              <w:jc w:val="center"/>
              <w:rPr>
                <w:rFonts w:ascii="Times New Roman" w:hAnsi="Times New Roman" w:cs="Times New Roman" w:eastAsia="Times New Roman" w:hint="default"/>
                <w:sz w:val="20"/>
                <w:szCs w:val="20"/>
              </w:rPr>
            </w:pPr>
            <w:r>
              <w:rPr>
                <w:rFonts w:ascii="Times New Roman"/>
                <w:sz w:val="20"/>
              </w:rPr>
              <w:t>6.41%</w:t>
            </w:r>
          </w:p>
        </w:tc>
      </w:tr>
      <w:tr>
        <w:trPr>
          <w:trHeight w:val="346" w:hRule="exact"/>
        </w:trPr>
        <w:tc>
          <w:tcPr>
            <w:tcW w:w="1287" w:type="dxa"/>
            <w:tcBorders>
              <w:top w:val="single" w:sz="17" w:space="0" w:color="000000"/>
              <w:left w:val="single" w:sz="17" w:space="0" w:color="000000"/>
              <w:bottom w:val="single" w:sz="17" w:space="0" w:color="000000"/>
              <w:right w:val="single" w:sz="8" w:space="0" w:color="000000"/>
            </w:tcBorders>
          </w:tcPr>
          <w:p>
            <w:pPr>
              <w:pStyle w:val="TableParagraph"/>
              <w:spacing w:line="265" w:lineRule="exact"/>
              <w:ind w:right="14"/>
              <w:jc w:val="center"/>
              <w:rPr>
                <w:rFonts w:ascii="宋体" w:hAnsi="宋体" w:cs="宋体" w:eastAsia="宋体" w:hint="default"/>
                <w:sz w:val="20"/>
                <w:szCs w:val="20"/>
              </w:rPr>
            </w:pPr>
            <w:r>
              <w:rPr>
                <w:rFonts w:ascii="宋体" w:hAnsi="宋体" w:cs="宋体" w:eastAsia="宋体" w:hint="default"/>
                <w:sz w:val="21"/>
                <w:szCs w:val="21"/>
              </w:rPr>
              <w:t>乐购仕</w:t>
            </w:r>
            <w:r>
              <w:rPr>
                <w:rFonts w:ascii="宋体" w:hAnsi="宋体" w:cs="宋体" w:eastAsia="宋体" w:hint="default"/>
                <w:sz w:val="20"/>
                <w:szCs w:val="20"/>
              </w:rPr>
              <w:t>店</w:t>
            </w:r>
          </w:p>
        </w:tc>
        <w:tc>
          <w:tcPr>
            <w:tcW w:w="95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7"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75"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4"/>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8"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9"/>
              <w:ind w:left="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6" w:hRule="exact"/>
        </w:trPr>
        <w:tc>
          <w:tcPr>
            <w:tcW w:w="1287" w:type="dxa"/>
            <w:tcBorders>
              <w:top w:val="single" w:sz="17" w:space="0" w:color="000000"/>
              <w:left w:val="single" w:sz="17" w:space="0" w:color="000000"/>
              <w:bottom w:val="single" w:sz="17" w:space="0" w:color="000000"/>
              <w:right w:val="single" w:sz="8" w:space="0" w:color="000000"/>
            </w:tcBorders>
          </w:tcPr>
          <w:p>
            <w:pPr>
              <w:pStyle w:val="TableParagraph"/>
              <w:spacing w:line="240" w:lineRule="auto" w:before="1"/>
              <w:ind w:right="20"/>
              <w:jc w:val="center"/>
              <w:rPr>
                <w:rFonts w:ascii="宋体" w:hAnsi="宋体" w:cs="宋体" w:eastAsia="宋体" w:hint="default"/>
                <w:sz w:val="20"/>
                <w:szCs w:val="20"/>
              </w:rPr>
            </w:pPr>
            <w:r>
              <w:rPr>
                <w:rFonts w:ascii="宋体" w:hAnsi="宋体" w:cs="宋体" w:eastAsia="宋体" w:hint="default"/>
                <w:sz w:val="20"/>
                <w:szCs w:val="20"/>
              </w:rPr>
              <w:t>合计</w:t>
            </w:r>
          </w:p>
        </w:tc>
        <w:tc>
          <w:tcPr>
            <w:tcW w:w="95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312"/>
              <w:jc w:val="right"/>
              <w:rPr>
                <w:rFonts w:ascii="Times New Roman" w:hAnsi="Times New Roman" w:cs="Times New Roman" w:eastAsia="Times New Roman" w:hint="default"/>
                <w:sz w:val="20"/>
                <w:szCs w:val="20"/>
              </w:rPr>
            </w:pPr>
            <w:r>
              <w:rPr>
                <w:rFonts w:ascii="Times New Roman"/>
                <w:sz w:val="20"/>
              </w:rPr>
              <w:t>180</w:t>
            </w:r>
          </w:p>
        </w:tc>
        <w:tc>
          <w:tcPr>
            <w:tcW w:w="977"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1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26"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143</w:t>
            </w:r>
          </w:p>
        </w:tc>
        <w:tc>
          <w:tcPr>
            <w:tcW w:w="975"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19"/>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931"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302"/>
              <w:jc w:val="right"/>
              <w:rPr>
                <w:rFonts w:ascii="Times New Roman" w:hAnsi="Times New Roman" w:cs="Times New Roman" w:eastAsia="Times New Roman" w:hint="default"/>
                <w:sz w:val="20"/>
                <w:szCs w:val="20"/>
              </w:rPr>
            </w:pPr>
            <w:r>
              <w:rPr>
                <w:rFonts w:ascii="Times New Roman"/>
                <w:sz w:val="20"/>
              </w:rPr>
              <w:t>109</w:t>
            </w:r>
          </w:p>
        </w:tc>
        <w:tc>
          <w:tcPr>
            <w:tcW w:w="1292"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100.00%</w:t>
            </w:r>
          </w:p>
        </w:tc>
        <w:tc>
          <w:tcPr>
            <w:tcW w:w="950" w:type="dxa"/>
            <w:tcBorders>
              <w:top w:val="single" w:sz="17" w:space="0" w:color="000000"/>
              <w:left w:val="single" w:sz="8" w:space="0" w:color="000000"/>
              <w:bottom w:val="single" w:sz="17" w:space="0" w:color="000000"/>
              <w:right w:val="single" w:sz="8"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78</w:t>
            </w:r>
          </w:p>
        </w:tc>
        <w:tc>
          <w:tcPr>
            <w:tcW w:w="968" w:type="dxa"/>
            <w:tcBorders>
              <w:top w:val="single" w:sz="17" w:space="0" w:color="000000"/>
              <w:left w:val="single" w:sz="8" w:space="0" w:color="000000"/>
              <w:bottom w:val="single" w:sz="17" w:space="0" w:color="000000"/>
              <w:right w:val="single" w:sz="17" w:space="0" w:color="000000"/>
            </w:tcBorders>
          </w:tcPr>
          <w:p>
            <w:pPr>
              <w:pStyle w:val="TableParagraph"/>
              <w:spacing w:line="240" w:lineRule="auto" w:before="29"/>
              <w:ind w:left="5" w:right="0"/>
              <w:jc w:val="center"/>
              <w:rPr>
                <w:rFonts w:ascii="Times New Roman" w:hAnsi="Times New Roman" w:cs="Times New Roman" w:eastAsia="Times New Roman" w:hint="default"/>
                <w:sz w:val="20"/>
                <w:szCs w:val="20"/>
              </w:rPr>
            </w:pPr>
            <w:r>
              <w:rPr>
                <w:rFonts w:ascii="Times New Roman"/>
                <w:sz w:val="20"/>
              </w:rPr>
              <w:t>100.00%</w:t>
            </w:r>
          </w:p>
        </w:tc>
      </w:tr>
    </w:tbl>
    <w:p>
      <w:pPr>
        <w:spacing w:line="246" w:lineRule="exact" w:before="0"/>
        <w:ind w:left="722" w:right="3386" w:firstLine="0"/>
        <w:jc w:val="left"/>
        <w:rPr>
          <w:rFonts w:ascii="宋体" w:hAnsi="宋体" w:cs="宋体" w:eastAsia="宋体" w:hint="default"/>
          <w:sz w:val="21"/>
          <w:szCs w:val="21"/>
        </w:rPr>
      </w:pPr>
      <w:r>
        <w:rPr>
          <w:rFonts w:ascii="宋体" w:hAnsi="宋体" w:cs="宋体" w:eastAsia="宋体" w:hint="default"/>
          <w:sz w:val="24"/>
          <w:szCs w:val="24"/>
        </w:rPr>
        <w:t>﹡</w:t>
      </w:r>
      <w:r>
        <w:rPr>
          <w:rFonts w:ascii="宋体" w:hAnsi="宋体" w:cs="宋体" w:eastAsia="宋体" w:hint="default"/>
          <w:sz w:val="21"/>
          <w:szCs w:val="21"/>
        </w:rPr>
        <w:t>由于香港、日本地区连锁店类型较为特殊，类型分布情况未列示。</w:t>
      </w:r>
    </w:p>
    <w:p>
      <w:pPr>
        <w:spacing w:after="0" w:line="246" w:lineRule="exact"/>
        <w:jc w:val="left"/>
        <w:rPr>
          <w:rFonts w:ascii="宋体" w:hAnsi="宋体" w:cs="宋体" w:eastAsia="宋体" w:hint="default"/>
          <w:sz w:val="21"/>
          <w:szCs w:val="21"/>
        </w:rPr>
        <w:sectPr>
          <w:pgSz w:w="11910" w:h="16840"/>
          <w:pgMar w:header="748" w:footer="857" w:top="980" w:bottom="1040" w:left="1200" w:right="0"/>
        </w:sectPr>
      </w:pPr>
    </w:p>
    <w:p>
      <w:pPr>
        <w:spacing w:line="240" w:lineRule="auto" w:before="6"/>
        <w:rPr>
          <w:rFonts w:ascii="宋体" w:hAnsi="宋体" w:cs="宋体" w:eastAsia="宋体" w:hint="default"/>
          <w:sz w:val="29"/>
          <w:szCs w:val="29"/>
        </w:rPr>
      </w:pPr>
    </w:p>
    <w:p>
      <w:pPr>
        <w:tabs>
          <w:tab w:pos="1200" w:val="left" w:leader="none"/>
          <w:tab w:pos="7667" w:val="left" w:leader="none"/>
        </w:tabs>
        <w:spacing w:before="26"/>
        <w:ind w:left="782" w:right="1436" w:firstLine="0"/>
        <w:jc w:val="left"/>
        <w:rPr>
          <w:rFonts w:ascii="宋体" w:hAnsi="宋体" w:cs="宋体" w:eastAsia="宋体" w:hint="default"/>
          <w:sz w:val="21"/>
          <w:szCs w:val="21"/>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z w:val="24"/>
          <w:szCs w:val="24"/>
        </w:rPr>
        <w:t>重点城市店面类型分布：</w:t>
        <w:tab/>
      </w: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家）</w:t>
      </w:r>
    </w:p>
    <w:p>
      <w:pPr>
        <w:spacing w:line="240" w:lineRule="auto" w:before="10"/>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1177"/>
        <w:gridCol w:w="598"/>
        <w:gridCol w:w="946"/>
        <w:gridCol w:w="696"/>
        <w:gridCol w:w="946"/>
        <w:gridCol w:w="668"/>
        <w:gridCol w:w="931"/>
        <w:gridCol w:w="658"/>
        <w:gridCol w:w="949"/>
        <w:gridCol w:w="590"/>
        <w:gridCol w:w="110"/>
        <w:gridCol w:w="937"/>
      </w:tblGrid>
      <w:tr>
        <w:trPr>
          <w:trHeight w:val="359" w:hRule="exact"/>
        </w:trPr>
        <w:tc>
          <w:tcPr>
            <w:tcW w:w="1177" w:type="dxa"/>
            <w:vMerge w:val="restart"/>
            <w:tcBorders>
              <w:top w:val="single" w:sz="17" w:space="0" w:color="000000"/>
              <w:left w:val="single" w:sz="17" w:space="0" w:color="000000"/>
              <w:right w:val="single" w:sz="8" w:space="0" w:color="000000"/>
            </w:tcBorders>
          </w:tcPr>
          <w:p>
            <w:pPr>
              <w:pStyle w:val="TableParagraph"/>
              <w:spacing w:line="240" w:lineRule="auto" w:before="172"/>
              <w:ind w:left="489"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6"/>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54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上海</w:t>
            </w:r>
          </w:p>
        </w:tc>
        <w:tc>
          <w:tcPr>
            <w:tcW w:w="164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北京</w:t>
            </w:r>
          </w:p>
        </w:tc>
        <w:tc>
          <w:tcPr>
            <w:tcW w:w="1599"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广州</w:t>
            </w:r>
          </w:p>
        </w:tc>
        <w:tc>
          <w:tcPr>
            <w:tcW w:w="1606"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20"/>
                <w:szCs w:val="20"/>
              </w:rPr>
            </w:pPr>
            <w:r>
              <w:rPr>
                <w:rFonts w:ascii="宋体" w:hAnsi="宋体" w:cs="宋体" w:eastAsia="宋体" w:hint="default"/>
                <w:sz w:val="20"/>
                <w:szCs w:val="20"/>
              </w:rPr>
              <w:t>深圳</w:t>
            </w:r>
          </w:p>
        </w:tc>
        <w:tc>
          <w:tcPr>
            <w:tcW w:w="1637" w:type="dxa"/>
            <w:gridSpan w:val="3"/>
            <w:tcBorders>
              <w:top w:val="single" w:sz="17" w:space="0" w:color="000000"/>
              <w:left w:val="single" w:sz="8" w:space="0" w:color="000000"/>
              <w:bottom w:val="single" w:sz="8" w:space="0" w:color="000000"/>
              <w:right w:val="single" w:sz="17" w:space="0" w:color="000000"/>
            </w:tcBorders>
          </w:tcPr>
          <w:p>
            <w:pPr>
              <w:pStyle w:val="TableParagraph"/>
              <w:spacing w:line="240" w:lineRule="auto" w:before="25"/>
              <w:ind w:left="1" w:right="0"/>
              <w:jc w:val="center"/>
              <w:rPr>
                <w:rFonts w:ascii="宋体" w:hAnsi="宋体" w:cs="宋体" w:eastAsia="宋体" w:hint="default"/>
                <w:sz w:val="20"/>
                <w:szCs w:val="20"/>
              </w:rPr>
            </w:pPr>
            <w:r>
              <w:rPr>
                <w:rFonts w:ascii="宋体" w:hAnsi="宋体" w:cs="宋体" w:eastAsia="宋体" w:hint="default"/>
                <w:sz w:val="20"/>
                <w:szCs w:val="20"/>
              </w:rPr>
              <w:t>天津</w:t>
            </w:r>
          </w:p>
        </w:tc>
      </w:tr>
      <w:tr>
        <w:trPr>
          <w:trHeight w:val="605" w:hRule="exact"/>
        </w:trPr>
        <w:tc>
          <w:tcPr>
            <w:tcW w:w="1177" w:type="dxa"/>
            <w:vMerge/>
            <w:tcBorders>
              <w:left w:val="single" w:sz="17" w:space="0" w:color="000000"/>
              <w:bottom w:val="single" w:sz="8" w:space="0" w:color="000000"/>
              <w:right w:val="single" w:sz="8" w:space="0" w:color="000000"/>
            </w:tcBorders>
          </w:tcPr>
          <w:p>
            <w:pP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54" w:lineRule="auto" w:before="16"/>
              <w:ind w:left="189" w:right="187"/>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26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0"/>
                <w:szCs w:val="20"/>
              </w:rPr>
            </w:pPr>
            <w:r>
              <w:rPr>
                <w:rFonts w:ascii="宋体" w:hAnsi="宋体" w:cs="宋体" w:eastAsia="宋体" w:hint="default"/>
                <w:sz w:val="20"/>
                <w:szCs w:val="20"/>
              </w:rPr>
              <w:t>占比</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3"/>
              <w:jc w:val="center"/>
              <w:rPr>
                <w:rFonts w:ascii="宋体" w:hAnsi="宋体" w:cs="宋体" w:eastAsia="宋体" w:hint="default"/>
                <w:sz w:val="20"/>
                <w:szCs w:val="20"/>
              </w:rPr>
            </w:pPr>
            <w:r>
              <w:rPr>
                <w:rFonts w:ascii="宋体" w:hAnsi="宋体" w:cs="宋体" w:eastAsia="宋体" w:hint="default"/>
                <w:sz w:val="20"/>
                <w:szCs w:val="20"/>
              </w:rPr>
              <w:t>数量</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0"/>
                <w:szCs w:val="20"/>
              </w:rPr>
            </w:pPr>
            <w:r>
              <w:rPr>
                <w:rFonts w:ascii="宋体" w:hAnsi="宋体" w:cs="宋体" w:eastAsia="宋体" w:hint="default"/>
                <w:sz w:val="20"/>
                <w:szCs w:val="20"/>
              </w:rPr>
              <w:t>占比</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55"/>
              <w:ind w:left="139"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155"/>
              <w:ind w:left="256"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36</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52"/>
              <w:jc w:val="right"/>
              <w:rPr>
                <w:rFonts w:ascii="Times New Roman" w:hAnsi="Times New Roman" w:cs="Times New Roman" w:eastAsia="Times New Roman" w:hint="default"/>
                <w:sz w:val="20"/>
                <w:szCs w:val="20"/>
              </w:rPr>
            </w:pPr>
            <w:r>
              <w:rPr>
                <w:rFonts w:ascii="Times New Roman"/>
                <w:sz w:val="20"/>
              </w:rPr>
              <w:t>39.13%</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36</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41.38%</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13</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26.00%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13</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29.55%</w:t>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2"/>
              <w:jc w:val="center"/>
              <w:rPr>
                <w:rFonts w:ascii="Times New Roman" w:hAnsi="Times New Roman" w:cs="Times New Roman" w:eastAsia="Times New Roman" w:hint="default"/>
                <w:sz w:val="20"/>
                <w:szCs w:val="20"/>
              </w:rPr>
            </w:pPr>
            <w:r>
              <w:rPr>
                <w:rFonts w:ascii="Times New Roman"/>
                <w:spacing w:val="-7"/>
                <w:sz w:val="20"/>
              </w:rPr>
              <w:t>11</w:t>
            </w:r>
            <w:r>
              <w:rPr>
                <w:rFonts w:ascii="Times New Roman"/>
                <w:sz w:val="20"/>
              </w:rPr>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148" w:right="0"/>
              <w:jc w:val="left"/>
              <w:rPr>
                <w:rFonts w:ascii="Times New Roman" w:hAnsi="Times New Roman" w:cs="Times New Roman" w:eastAsia="Times New Roman" w:hint="default"/>
                <w:sz w:val="20"/>
                <w:szCs w:val="20"/>
              </w:rPr>
            </w:pPr>
            <w:r>
              <w:rPr>
                <w:rFonts w:ascii="Times New Roman"/>
                <w:sz w:val="20"/>
              </w:rPr>
              <w:t>32.35%</w:t>
            </w:r>
          </w:p>
        </w:tc>
      </w:tr>
      <w:tr>
        <w:trPr>
          <w:trHeight w:val="322"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45</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52"/>
              <w:jc w:val="right"/>
              <w:rPr>
                <w:rFonts w:ascii="Times New Roman" w:hAnsi="Times New Roman" w:cs="Times New Roman" w:eastAsia="Times New Roman" w:hint="default"/>
                <w:sz w:val="20"/>
                <w:szCs w:val="20"/>
              </w:rPr>
            </w:pPr>
            <w:r>
              <w:rPr>
                <w:rFonts w:ascii="Times New Roman"/>
                <w:sz w:val="20"/>
              </w:rPr>
              <w:t>48.91%</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25</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28.74%</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19</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38.00%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12</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27.27%</w:t>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w:t>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148" w:right="0"/>
              <w:jc w:val="left"/>
              <w:rPr>
                <w:rFonts w:ascii="Times New Roman" w:hAnsi="Times New Roman" w:cs="Times New Roman" w:eastAsia="Times New Roman" w:hint="default"/>
                <w:sz w:val="20"/>
                <w:szCs w:val="20"/>
              </w:rPr>
            </w:pPr>
            <w:r>
              <w:rPr>
                <w:rFonts w:ascii="Times New Roman"/>
                <w:sz w:val="20"/>
              </w:rPr>
              <w:t>29.41%</w:t>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0"/>
                <w:szCs w:val="20"/>
              </w:rPr>
            </w:pPr>
            <w:r>
              <w:rPr>
                <w:rFonts w:ascii="Times New Roman"/>
                <w:sz w:val="20"/>
              </w:rPr>
              <w:t>10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52"/>
              <w:jc w:val="right"/>
              <w:rPr>
                <w:rFonts w:ascii="Times New Roman" w:hAnsi="Times New Roman" w:cs="Times New Roman" w:eastAsia="Times New Roman" w:hint="default"/>
                <w:sz w:val="20"/>
                <w:szCs w:val="20"/>
              </w:rPr>
            </w:pPr>
            <w:r>
              <w:rPr>
                <w:rFonts w:ascii="Times New Roman"/>
                <w:sz w:val="20"/>
              </w:rPr>
              <w:t>10.87%</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19</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21.84%</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17</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34.00%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15</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 w:right="0"/>
              <w:jc w:val="center"/>
              <w:rPr>
                <w:rFonts w:ascii="Times New Roman" w:hAnsi="Times New Roman" w:cs="Times New Roman" w:eastAsia="Times New Roman" w:hint="default"/>
                <w:sz w:val="20"/>
                <w:szCs w:val="20"/>
              </w:rPr>
            </w:pPr>
            <w:r>
              <w:rPr>
                <w:rFonts w:ascii="Times New Roman"/>
                <w:sz w:val="20"/>
              </w:rPr>
              <w:t>34.09%</w:t>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12</w:t>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3"/>
              <w:ind w:left="148" w:right="0"/>
              <w:jc w:val="left"/>
              <w:rPr>
                <w:rFonts w:ascii="Times New Roman" w:hAnsi="Times New Roman" w:cs="Times New Roman" w:eastAsia="Times New Roman" w:hint="default"/>
                <w:sz w:val="20"/>
                <w:szCs w:val="20"/>
              </w:rPr>
            </w:pPr>
            <w:r>
              <w:rPr>
                <w:rFonts w:ascii="Times New Roman"/>
                <w:sz w:val="20"/>
              </w:rPr>
              <w:t>35.29%</w:t>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精品店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03" w:right="0"/>
              <w:jc w:val="left"/>
              <w:rPr>
                <w:rFonts w:ascii="Times New Roman" w:hAnsi="Times New Roman" w:cs="Times New Roman" w:eastAsia="Times New Roman" w:hint="default"/>
                <w:sz w:val="20"/>
                <w:szCs w:val="20"/>
              </w:rPr>
            </w:pPr>
            <w:r>
              <w:rPr>
                <w:rFonts w:ascii="Times New Roman"/>
                <w:sz w:val="20"/>
              </w:rPr>
              <w:t>1.09%</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6.90%</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9.09%</w:t>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199" w:right="0"/>
              <w:jc w:val="left"/>
              <w:rPr>
                <w:rFonts w:ascii="Times New Roman" w:hAnsi="Times New Roman" w:cs="Times New Roman" w:eastAsia="Times New Roman" w:hint="default"/>
                <w:sz w:val="20"/>
                <w:szCs w:val="20"/>
              </w:rPr>
            </w:pPr>
            <w:r>
              <w:rPr>
                <w:rFonts w:ascii="Times New Roman"/>
                <w:sz w:val="20"/>
              </w:rPr>
              <w:t>0.00%</w:t>
            </w:r>
          </w:p>
        </w:tc>
      </w:tr>
      <w:tr>
        <w:trPr>
          <w:trHeight w:val="322"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县镇店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1.15%</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199" w:right="0"/>
              <w:jc w:val="left"/>
              <w:rPr>
                <w:rFonts w:ascii="Times New Roman" w:hAnsi="Times New Roman" w:cs="Times New Roman" w:eastAsia="Times New Roman" w:hint="default"/>
                <w:sz w:val="20"/>
                <w:szCs w:val="20"/>
              </w:rPr>
            </w:pPr>
            <w:r>
              <w:rPr>
                <w:rFonts w:ascii="Times New Roman"/>
                <w:sz w:val="20"/>
              </w:rPr>
              <w:t>2.94%</w:t>
            </w:r>
          </w:p>
        </w:tc>
      </w:tr>
      <w:tr>
        <w:trPr>
          <w:trHeight w:val="320"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73" w:lineRule="exact"/>
              <w:ind w:left="86" w:right="0"/>
              <w:jc w:val="left"/>
              <w:rPr>
                <w:rFonts w:ascii="宋体" w:hAnsi="宋体" w:cs="宋体" w:eastAsia="宋体" w:hint="default"/>
                <w:sz w:val="20"/>
                <w:szCs w:val="20"/>
              </w:rPr>
            </w:pPr>
            <w:r>
              <w:rPr>
                <w:rFonts w:ascii="宋体" w:hAnsi="宋体" w:cs="宋体" w:eastAsia="宋体" w:hint="default"/>
                <w:sz w:val="21"/>
                <w:szCs w:val="21"/>
              </w:rPr>
              <w:t>乐购仕</w:t>
            </w:r>
            <w:r>
              <w:rPr>
                <w:rFonts w:ascii="宋体" w:hAnsi="宋体" w:cs="宋体" w:eastAsia="宋体" w:hint="default"/>
                <w:sz w:val="20"/>
                <w:szCs w:val="20"/>
              </w:rPr>
              <w:t>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63"/>
              <w:ind w:left="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1" w:hRule="exact"/>
        </w:trPr>
        <w:tc>
          <w:tcPr>
            <w:tcW w:w="1177"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59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92</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04"/>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69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87</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100.00%</w:t>
            </w:r>
          </w:p>
        </w:tc>
        <w:tc>
          <w:tcPr>
            <w:tcW w:w="66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50</w:t>
            </w:r>
          </w:p>
        </w:tc>
        <w:tc>
          <w:tcPr>
            <w:tcW w:w="93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100.00%</w:t>
            </w:r>
          </w:p>
        </w:tc>
        <w:tc>
          <w:tcPr>
            <w:tcW w:w="6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44</w:t>
            </w:r>
          </w:p>
        </w:tc>
        <w:tc>
          <w:tcPr>
            <w:tcW w:w="9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100.00%</w:t>
            </w:r>
          </w:p>
        </w:tc>
        <w:tc>
          <w:tcPr>
            <w:tcW w:w="701" w:type="dxa"/>
            <w:gridSpan w:val="2"/>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34</w:t>
            </w:r>
          </w:p>
        </w:tc>
        <w:tc>
          <w:tcPr>
            <w:tcW w:w="937"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65"/>
              <w:ind w:left="98" w:right="0"/>
              <w:jc w:val="left"/>
              <w:rPr>
                <w:rFonts w:ascii="Times New Roman" w:hAnsi="Times New Roman" w:cs="Times New Roman" w:eastAsia="Times New Roman" w:hint="default"/>
                <w:sz w:val="20"/>
                <w:szCs w:val="20"/>
              </w:rPr>
            </w:pPr>
            <w:r>
              <w:rPr>
                <w:rFonts w:ascii="Times New Roman"/>
                <w:sz w:val="20"/>
              </w:rPr>
              <w:t>100.00%</w:t>
            </w:r>
          </w:p>
        </w:tc>
      </w:tr>
      <w:tr>
        <w:trPr>
          <w:trHeight w:val="391" w:hRule="exact"/>
        </w:trPr>
        <w:tc>
          <w:tcPr>
            <w:tcW w:w="9204" w:type="dxa"/>
            <w:gridSpan w:val="12"/>
            <w:tcBorders>
              <w:top w:val="single" w:sz="17" w:space="0" w:color="000000"/>
              <w:left w:val="nil" w:sz="6" w:space="0" w:color="auto"/>
              <w:bottom w:val="single" w:sz="17" w:space="0" w:color="000000"/>
              <w:right w:val="nil" w:sz="6" w:space="0" w:color="auto"/>
            </w:tcBorders>
          </w:tcPr>
          <w:p>
            <w:pPr/>
          </w:p>
        </w:tc>
      </w:tr>
      <w:tr>
        <w:trPr>
          <w:trHeight w:val="348" w:hRule="exact"/>
        </w:trPr>
        <w:tc>
          <w:tcPr>
            <w:tcW w:w="1177" w:type="dxa"/>
            <w:vMerge w:val="restart"/>
            <w:tcBorders>
              <w:top w:val="single" w:sz="17" w:space="0" w:color="000000"/>
              <w:left w:val="single" w:sz="17" w:space="0" w:color="000000"/>
              <w:right w:val="single" w:sz="8" w:space="0" w:color="000000"/>
            </w:tcBorders>
          </w:tcPr>
          <w:p>
            <w:pPr>
              <w:pStyle w:val="TableParagraph"/>
              <w:spacing w:line="240" w:lineRule="auto" w:before="157"/>
              <w:ind w:left="489" w:right="0"/>
              <w:jc w:val="left"/>
              <w:rPr>
                <w:rFonts w:ascii="宋体" w:hAnsi="宋体" w:cs="宋体" w:eastAsia="宋体" w:hint="default"/>
                <w:sz w:val="20"/>
                <w:szCs w:val="20"/>
              </w:rPr>
            </w:pPr>
            <w:r>
              <w:rPr>
                <w:rFonts w:ascii="宋体" w:hAnsi="宋体" w:cs="宋体" w:eastAsia="宋体" w:hint="default"/>
                <w:sz w:val="20"/>
                <w:szCs w:val="20"/>
              </w:rPr>
              <w:t>项目</w:t>
            </w:r>
          </w:p>
          <w:p>
            <w:pPr>
              <w:pStyle w:val="TableParagraph"/>
              <w:spacing w:line="240" w:lineRule="auto" w:before="19"/>
              <w:ind w:left="86"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544"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重庆</w:t>
            </w:r>
          </w:p>
        </w:tc>
        <w:tc>
          <w:tcPr>
            <w:tcW w:w="1642"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南京</w:t>
            </w:r>
          </w:p>
        </w:tc>
        <w:tc>
          <w:tcPr>
            <w:tcW w:w="1599"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杭州</w:t>
            </w:r>
          </w:p>
        </w:tc>
        <w:tc>
          <w:tcPr>
            <w:tcW w:w="1606"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sz w:val="20"/>
                <w:szCs w:val="20"/>
              </w:rPr>
              <w:t>成都</w:t>
            </w:r>
          </w:p>
        </w:tc>
        <w:tc>
          <w:tcPr>
            <w:tcW w:w="1637" w:type="dxa"/>
            <w:gridSpan w:val="3"/>
            <w:tcBorders>
              <w:top w:val="single" w:sz="17" w:space="0" w:color="000000"/>
              <w:left w:val="single" w:sz="8" w:space="0" w:color="000000"/>
              <w:bottom w:val="single" w:sz="8" w:space="0" w:color="000000"/>
              <w:right w:val="single" w:sz="17"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武汉</w:t>
            </w:r>
          </w:p>
        </w:tc>
      </w:tr>
      <w:tr>
        <w:trPr>
          <w:trHeight w:val="578" w:hRule="exact"/>
        </w:trPr>
        <w:tc>
          <w:tcPr>
            <w:tcW w:w="1177" w:type="dxa"/>
            <w:vMerge/>
            <w:tcBorders>
              <w:left w:val="single" w:sz="17" w:space="0" w:color="000000"/>
              <w:bottom w:val="single" w:sz="8" w:space="0" w:color="000000"/>
              <w:right w:val="single" w:sz="8" w:space="0" w:color="000000"/>
            </w:tcBorders>
          </w:tcPr>
          <w:p>
            <w:pP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189" w:right="187"/>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261" w:right="0"/>
              <w:jc w:val="left"/>
              <w:rPr>
                <w:rFonts w:ascii="宋体" w:hAnsi="宋体" w:cs="宋体" w:eastAsia="宋体" w:hint="default"/>
                <w:sz w:val="20"/>
                <w:szCs w:val="20"/>
              </w:rPr>
            </w:pPr>
            <w:r>
              <w:rPr>
                <w:rFonts w:ascii="宋体" w:hAnsi="宋体" w:cs="宋体" w:eastAsia="宋体" w:hint="default"/>
                <w:sz w:val="20"/>
                <w:szCs w:val="20"/>
              </w:rPr>
              <w:t>占比</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占比</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3"/>
              <w:jc w:val="center"/>
              <w:rPr>
                <w:rFonts w:ascii="宋体" w:hAnsi="宋体" w:cs="宋体" w:eastAsia="宋体" w:hint="default"/>
                <w:sz w:val="20"/>
                <w:szCs w:val="20"/>
              </w:rPr>
            </w:pPr>
            <w:r>
              <w:rPr>
                <w:rFonts w:ascii="宋体" w:hAnsi="宋体" w:cs="宋体" w:eastAsia="宋体" w:hint="default"/>
                <w:sz w:val="20"/>
                <w:szCs w:val="20"/>
              </w:rPr>
              <w:t>数量</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占比</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2"/>
              <w:jc w:val="center"/>
              <w:rPr>
                <w:rFonts w:ascii="宋体" w:hAnsi="宋体" w:cs="宋体" w:eastAsia="宋体" w:hint="default"/>
                <w:sz w:val="20"/>
                <w:szCs w:val="20"/>
              </w:rPr>
            </w:pPr>
            <w:r>
              <w:rPr>
                <w:rFonts w:ascii="宋体" w:hAnsi="宋体" w:cs="宋体" w:eastAsia="宋体" w:hint="default"/>
                <w:sz w:val="20"/>
                <w:szCs w:val="20"/>
              </w:rPr>
              <w:t>数量</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
              <w:jc w:val="center"/>
              <w:rPr>
                <w:rFonts w:ascii="宋体" w:hAnsi="宋体" w:cs="宋体" w:eastAsia="宋体" w:hint="default"/>
                <w:sz w:val="20"/>
                <w:szCs w:val="20"/>
              </w:rPr>
            </w:pPr>
            <w:r>
              <w:rPr>
                <w:rFonts w:ascii="宋体" w:hAnsi="宋体" w:cs="宋体" w:eastAsia="宋体" w:hint="default"/>
                <w:sz w:val="20"/>
                <w:szCs w:val="20"/>
              </w:rPr>
              <w:t>占比</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ind w:left="184" w:right="185"/>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129"/>
              <w:ind w:left="311" w:right="0"/>
              <w:jc w:val="left"/>
              <w:rPr>
                <w:rFonts w:ascii="宋体" w:hAnsi="宋体" w:cs="宋体" w:eastAsia="宋体" w:hint="default"/>
                <w:sz w:val="20"/>
                <w:szCs w:val="20"/>
              </w:rPr>
            </w:pPr>
            <w:r>
              <w:rPr>
                <w:rFonts w:ascii="宋体" w:hAnsi="宋体" w:cs="宋体" w:eastAsia="宋体" w:hint="default"/>
                <w:sz w:val="20"/>
                <w:szCs w:val="20"/>
              </w:rPr>
              <w:t>占比</w:t>
            </w:r>
          </w:p>
        </w:tc>
      </w:tr>
      <w:tr>
        <w:trPr>
          <w:trHeight w:val="322"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旗舰店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10</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52"/>
              <w:jc w:val="right"/>
              <w:rPr>
                <w:rFonts w:ascii="Times New Roman" w:hAnsi="Times New Roman" w:cs="Times New Roman" w:eastAsia="Times New Roman" w:hint="default"/>
                <w:sz w:val="20"/>
                <w:szCs w:val="20"/>
              </w:rPr>
            </w:pPr>
            <w:r>
              <w:rPr>
                <w:rFonts w:ascii="Times New Roman"/>
                <w:sz w:val="20"/>
              </w:rPr>
              <w:t>21.74%</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12</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33.33%</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40.00%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10</w:t>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41.67%</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203" w:right="0"/>
              <w:jc w:val="left"/>
              <w:rPr>
                <w:rFonts w:ascii="Times New Roman" w:hAnsi="Times New Roman" w:cs="Times New Roman" w:eastAsia="Times New Roman" w:hint="default"/>
                <w:sz w:val="20"/>
                <w:szCs w:val="20"/>
              </w:rPr>
            </w:pPr>
            <w:r>
              <w:rPr>
                <w:rFonts w:ascii="Times New Roman"/>
                <w:sz w:val="20"/>
              </w:rPr>
              <w:t>30.43%</w:t>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中心店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 w:right="0"/>
              <w:jc w:val="center"/>
              <w:rPr>
                <w:rFonts w:ascii="Times New Roman" w:hAnsi="Times New Roman" w:cs="Times New Roman" w:eastAsia="Times New Roman" w:hint="default"/>
                <w:sz w:val="20"/>
                <w:szCs w:val="20"/>
              </w:rPr>
            </w:pPr>
            <w:r>
              <w:rPr>
                <w:rFonts w:ascii="Times New Roman"/>
                <w:sz w:val="20"/>
              </w:rPr>
              <w:t>16</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52"/>
              <w:jc w:val="right"/>
              <w:rPr>
                <w:rFonts w:ascii="Times New Roman" w:hAnsi="Times New Roman" w:cs="Times New Roman" w:eastAsia="Times New Roman" w:hint="default"/>
                <w:sz w:val="20"/>
                <w:szCs w:val="20"/>
              </w:rPr>
            </w:pPr>
            <w:r>
              <w:rPr>
                <w:rFonts w:ascii="Times New Roman"/>
                <w:sz w:val="20"/>
              </w:rPr>
              <w:t>34.78%</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25.00%</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32.00%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1" w:right="0"/>
              <w:jc w:val="center"/>
              <w:rPr>
                <w:rFonts w:ascii="Times New Roman" w:hAnsi="Times New Roman" w:cs="Times New Roman" w:eastAsia="Times New Roman" w:hint="default"/>
                <w:sz w:val="20"/>
                <w:szCs w:val="20"/>
              </w:rPr>
            </w:pPr>
            <w:r>
              <w:rPr>
                <w:rFonts w:ascii="Times New Roman"/>
                <w:sz w:val="20"/>
              </w:rPr>
              <w:t>33.33%</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3"/>
              <w:ind w:left="203" w:right="0"/>
              <w:jc w:val="left"/>
              <w:rPr>
                <w:rFonts w:ascii="Times New Roman" w:hAnsi="Times New Roman" w:cs="Times New Roman" w:eastAsia="Times New Roman" w:hint="default"/>
                <w:sz w:val="20"/>
                <w:szCs w:val="20"/>
              </w:rPr>
            </w:pPr>
            <w:r>
              <w:rPr>
                <w:rFonts w:ascii="Times New Roman"/>
                <w:sz w:val="20"/>
              </w:rPr>
              <w:t>30.43%</w:t>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社区店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19</w:t>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52"/>
              <w:jc w:val="right"/>
              <w:rPr>
                <w:rFonts w:ascii="Times New Roman" w:hAnsi="Times New Roman" w:cs="Times New Roman" w:eastAsia="Times New Roman" w:hint="default"/>
                <w:sz w:val="20"/>
                <w:szCs w:val="20"/>
              </w:rPr>
            </w:pPr>
            <w:r>
              <w:rPr>
                <w:rFonts w:ascii="Times New Roman"/>
                <w:sz w:val="20"/>
              </w:rPr>
              <w:t>41.30%</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22.22%</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16.00%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sz w:val="20"/>
              </w:rPr>
              <w:t>25.00%</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203" w:right="0"/>
              <w:jc w:val="left"/>
              <w:rPr>
                <w:rFonts w:ascii="Times New Roman" w:hAnsi="Times New Roman" w:cs="Times New Roman" w:eastAsia="Times New Roman" w:hint="default"/>
                <w:sz w:val="20"/>
                <w:szCs w:val="20"/>
              </w:rPr>
            </w:pPr>
            <w:r>
              <w:rPr>
                <w:rFonts w:ascii="Times New Roman"/>
                <w:sz w:val="20"/>
              </w:rPr>
              <w:t>34.78%</w:t>
            </w:r>
          </w:p>
        </w:tc>
      </w:tr>
      <w:tr>
        <w:trPr>
          <w:trHeight w:val="322"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精品店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4.00%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254" w:right="0"/>
              <w:jc w:val="left"/>
              <w:rPr>
                <w:rFonts w:ascii="Times New Roman" w:hAnsi="Times New Roman" w:cs="Times New Roman" w:eastAsia="Times New Roman" w:hint="default"/>
                <w:sz w:val="20"/>
                <w:szCs w:val="20"/>
              </w:rPr>
            </w:pPr>
            <w:r>
              <w:rPr>
                <w:rFonts w:ascii="Times New Roman"/>
                <w:sz w:val="20"/>
              </w:rPr>
              <w:t>4.35%</w:t>
            </w:r>
          </w:p>
        </w:tc>
      </w:tr>
      <w:tr>
        <w:trPr>
          <w:trHeight w:val="320"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40" w:lineRule="auto" w:before="9"/>
              <w:ind w:left="86" w:right="0"/>
              <w:jc w:val="left"/>
              <w:rPr>
                <w:rFonts w:ascii="宋体" w:hAnsi="宋体" w:cs="宋体" w:eastAsia="宋体" w:hint="default"/>
                <w:sz w:val="20"/>
                <w:szCs w:val="20"/>
              </w:rPr>
            </w:pPr>
            <w:r>
              <w:rPr>
                <w:rFonts w:ascii="宋体" w:hAnsi="宋体" w:cs="宋体" w:eastAsia="宋体" w:hint="default"/>
                <w:sz w:val="20"/>
                <w:szCs w:val="20"/>
              </w:rPr>
              <w:t>县镇店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203" w:right="0"/>
              <w:jc w:val="left"/>
              <w:rPr>
                <w:rFonts w:ascii="Times New Roman" w:hAnsi="Times New Roman" w:cs="Times New Roman" w:eastAsia="Times New Roman" w:hint="default"/>
                <w:sz w:val="20"/>
                <w:szCs w:val="20"/>
              </w:rPr>
            </w:pPr>
            <w:r>
              <w:rPr>
                <w:rFonts w:ascii="Times New Roman"/>
                <w:sz w:val="20"/>
              </w:rPr>
              <w:t>2.17%</w:t>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16.67%</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sz w:val="20"/>
              </w:rPr>
              <w:t>8.00%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3"/>
              <w:ind w:left="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19" w:hRule="exact"/>
        </w:trPr>
        <w:tc>
          <w:tcPr>
            <w:tcW w:w="1177" w:type="dxa"/>
            <w:tcBorders>
              <w:top w:val="single" w:sz="8" w:space="0" w:color="000000"/>
              <w:left w:val="single" w:sz="17" w:space="0" w:color="000000"/>
              <w:bottom w:val="single" w:sz="8" w:space="0" w:color="000000"/>
              <w:right w:val="single" w:sz="8" w:space="0" w:color="000000"/>
            </w:tcBorders>
          </w:tcPr>
          <w:p>
            <w:pPr>
              <w:pStyle w:val="TableParagraph"/>
              <w:spacing w:line="274" w:lineRule="exact"/>
              <w:ind w:left="86" w:right="0"/>
              <w:jc w:val="left"/>
              <w:rPr>
                <w:rFonts w:ascii="宋体" w:hAnsi="宋体" w:cs="宋体" w:eastAsia="宋体" w:hint="default"/>
                <w:sz w:val="20"/>
                <w:szCs w:val="20"/>
              </w:rPr>
            </w:pPr>
            <w:r>
              <w:rPr>
                <w:rFonts w:ascii="宋体" w:hAnsi="宋体" w:cs="宋体" w:eastAsia="宋体" w:hint="default"/>
                <w:sz w:val="21"/>
                <w:szCs w:val="21"/>
              </w:rPr>
              <w:t>乐购仕</w:t>
            </w:r>
            <w:r>
              <w:rPr>
                <w:rFonts w:ascii="宋体" w:hAnsi="宋体" w:cs="宋体" w:eastAsia="宋体" w:hint="default"/>
                <w:sz w:val="20"/>
                <w:szCs w:val="20"/>
              </w:rPr>
              <w:t>店</w:t>
            </w:r>
          </w:p>
        </w:tc>
        <w:tc>
          <w:tcPr>
            <w:tcW w:w="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2.78%</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7" w:type="dxa"/>
            <w:gridSpan w:val="2"/>
            <w:tcBorders>
              <w:top w:val="single" w:sz="8" w:space="0" w:color="000000"/>
              <w:left w:val="single" w:sz="8" w:space="0" w:color="000000"/>
              <w:bottom w:val="single" w:sz="8" w:space="0" w:color="000000"/>
              <w:right w:val="single" w:sz="17" w:space="0" w:color="000000"/>
            </w:tcBorders>
          </w:tcPr>
          <w:p>
            <w:pPr>
              <w:pStyle w:val="TableParagraph"/>
              <w:spacing w:line="240" w:lineRule="auto" w:before="65"/>
              <w:ind w:left="5"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7" w:hRule="exact"/>
        </w:trPr>
        <w:tc>
          <w:tcPr>
            <w:tcW w:w="1177" w:type="dxa"/>
            <w:tcBorders>
              <w:top w:val="single" w:sz="8" w:space="0" w:color="000000"/>
              <w:left w:val="single" w:sz="17" w:space="0" w:color="000000"/>
              <w:bottom w:val="single" w:sz="17" w:space="0" w:color="000000"/>
              <w:right w:val="single" w:sz="8" w:space="0" w:color="000000"/>
            </w:tcBorders>
          </w:tcPr>
          <w:p>
            <w:pPr>
              <w:pStyle w:val="TableParagraph"/>
              <w:spacing w:line="240" w:lineRule="auto" w:before="11"/>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59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left="2" w:right="0"/>
              <w:jc w:val="center"/>
              <w:rPr>
                <w:rFonts w:ascii="Times New Roman" w:hAnsi="Times New Roman" w:cs="Times New Roman" w:eastAsia="Times New Roman" w:hint="default"/>
                <w:sz w:val="20"/>
                <w:szCs w:val="20"/>
              </w:rPr>
            </w:pPr>
            <w:r>
              <w:rPr>
                <w:rFonts w:ascii="Times New Roman"/>
                <w:sz w:val="20"/>
              </w:rPr>
              <w:t>46</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04"/>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69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36</w:t>
            </w:r>
          </w:p>
        </w:tc>
        <w:tc>
          <w:tcPr>
            <w:tcW w:w="94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100.00%</w:t>
            </w:r>
          </w:p>
        </w:tc>
        <w:tc>
          <w:tcPr>
            <w:tcW w:w="66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25</w:t>
            </w:r>
          </w:p>
        </w:tc>
        <w:tc>
          <w:tcPr>
            <w:tcW w:w="93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100.00%</w:t>
            </w:r>
          </w:p>
        </w:tc>
        <w:tc>
          <w:tcPr>
            <w:tcW w:w="65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24</w:t>
            </w:r>
          </w:p>
        </w:tc>
        <w:tc>
          <w:tcPr>
            <w:tcW w:w="9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1"/>
              <w:jc w:val="center"/>
              <w:rPr>
                <w:rFonts w:ascii="Times New Roman" w:hAnsi="Times New Roman" w:cs="Times New Roman" w:eastAsia="Times New Roman" w:hint="default"/>
                <w:sz w:val="20"/>
                <w:szCs w:val="20"/>
              </w:rPr>
            </w:pPr>
            <w:r>
              <w:rPr>
                <w:rFonts w:ascii="Times New Roman"/>
                <w:sz w:val="20"/>
              </w:rPr>
              <w:t>100.00%</w:t>
            </w:r>
          </w:p>
        </w:tc>
        <w:tc>
          <w:tcPr>
            <w:tcW w:w="59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0"/>
                <w:szCs w:val="20"/>
              </w:rPr>
            </w:pPr>
            <w:r>
              <w:rPr>
                <w:rFonts w:ascii="Times New Roman"/>
                <w:sz w:val="20"/>
              </w:rPr>
              <w:t>23</w:t>
            </w:r>
          </w:p>
        </w:tc>
        <w:tc>
          <w:tcPr>
            <w:tcW w:w="1047" w:type="dxa"/>
            <w:gridSpan w:val="2"/>
            <w:tcBorders>
              <w:top w:val="single" w:sz="8" w:space="0" w:color="000000"/>
              <w:left w:val="single" w:sz="8" w:space="0" w:color="000000"/>
              <w:bottom w:val="single" w:sz="17" w:space="0" w:color="000000"/>
              <w:right w:val="single" w:sz="17" w:space="0" w:color="000000"/>
            </w:tcBorders>
          </w:tcPr>
          <w:p>
            <w:pPr>
              <w:pStyle w:val="TableParagraph"/>
              <w:spacing w:line="240" w:lineRule="auto" w:before="65"/>
              <w:ind w:left="153" w:right="0"/>
              <w:jc w:val="left"/>
              <w:rPr>
                <w:rFonts w:ascii="Times New Roman" w:hAnsi="Times New Roman" w:cs="Times New Roman" w:eastAsia="Times New Roman" w:hint="default"/>
                <w:sz w:val="20"/>
                <w:szCs w:val="20"/>
              </w:rPr>
            </w:pPr>
            <w:r>
              <w:rPr>
                <w:rFonts w:ascii="Times New Roman"/>
                <w:sz w:val="20"/>
              </w:rPr>
              <w:t>100.00%</w:t>
            </w:r>
          </w:p>
        </w:tc>
      </w:tr>
    </w:tbl>
    <w:p>
      <w:pPr>
        <w:spacing w:line="232" w:lineRule="exact" w:before="0"/>
        <w:ind w:left="271" w:right="1436" w:firstLine="0"/>
        <w:jc w:val="left"/>
        <w:rPr>
          <w:rFonts w:ascii="宋体" w:hAnsi="宋体" w:cs="宋体" w:eastAsia="宋体" w:hint="default"/>
          <w:sz w:val="21"/>
          <w:szCs w:val="21"/>
        </w:rPr>
      </w:pPr>
      <w:r>
        <w:rPr>
          <w:rFonts w:ascii="宋体" w:hAnsi="宋体" w:cs="宋体" w:eastAsia="宋体" w:hint="default"/>
          <w:sz w:val="21"/>
          <w:szCs w:val="21"/>
        </w:rPr>
        <w:t>注：统计中包括上述城市下辖郊区、县的连锁店开设情况。</w:t>
      </w:r>
    </w:p>
    <w:p>
      <w:pPr>
        <w:pStyle w:val="BodyText"/>
        <w:spacing w:line="292" w:lineRule="auto" w:before="98"/>
        <w:ind w:left="780" w:right="1436"/>
        <w:jc w:val="left"/>
      </w:pPr>
      <w:r>
        <w:rPr/>
        <w:t>（</w:t>
      </w:r>
      <w:r>
        <w:rPr>
          <w:rFonts w:ascii="Times New Roman" w:hAnsi="Times New Roman" w:cs="Times New Roman" w:eastAsia="Times New Roman" w:hint="default"/>
        </w:rPr>
        <w:t>3</w:t>
      </w:r>
      <w:r>
        <w:rPr/>
        <w:t>）连锁店市场分布情况 </w:t>
      </w:r>
      <w:r>
        <w:rPr>
          <w:spacing w:val="-3"/>
        </w:rPr>
        <w:t>报告期内，公司继续贯彻“横向扩张”与“纵向渗透”相结合、多业态店面同步开</w:t>
      </w:r>
    </w:p>
    <w:p>
      <w:pPr>
        <w:pStyle w:val="BodyText"/>
        <w:spacing w:line="333" w:lineRule="auto" w:before="70"/>
        <w:ind w:left="300" w:right="1328"/>
        <w:jc w:val="left"/>
      </w:pPr>
      <w:r>
        <w:rPr/>
        <w:t>发的模式，在进一步完善一二级市场空白地区布局的同时，加快三、四级市场的发展， 以实现区域间的均衡发展，并有效分享城镇化进程带来的市场增长。</w:t>
      </w:r>
    </w:p>
    <w:p>
      <w:pPr>
        <w:pStyle w:val="BodyText"/>
        <w:spacing w:line="240" w:lineRule="auto" w:before="29"/>
        <w:ind w:left="780" w:right="1328"/>
        <w:jc w:val="left"/>
      </w:pPr>
      <w:r>
        <w:rPr/>
        <w:t>报告期末，公司大陆地区三四级市场连锁店数量占比提升了 </w:t>
      </w:r>
      <w:r>
        <w:rPr>
          <w:rFonts w:ascii="Times New Roman" w:hAnsi="Times New Roman" w:cs="Times New Roman" w:eastAsia="Times New Roman" w:hint="default"/>
        </w:rPr>
        <w:t>5.48</w:t>
      </w:r>
      <w:r>
        <w:rPr>
          <w:rFonts w:ascii="Times New Roman" w:hAnsi="Times New Roman" w:cs="Times New Roman" w:eastAsia="Times New Roman" w:hint="default"/>
          <w:spacing w:val="28"/>
        </w:rPr>
        <w:t> </w:t>
      </w:r>
      <w:r>
        <w:rPr/>
        <w:t>个百分点，达到</w:t>
      </w:r>
    </w:p>
    <w:p>
      <w:pPr>
        <w:spacing w:before="104"/>
        <w:ind w:left="300" w:right="1436" w:firstLine="0"/>
        <w:jc w:val="left"/>
        <w:rPr>
          <w:rFonts w:ascii="宋体" w:hAnsi="宋体" w:cs="宋体" w:eastAsia="宋体" w:hint="default"/>
          <w:sz w:val="21"/>
          <w:szCs w:val="21"/>
        </w:rPr>
      </w:pPr>
      <w:r>
        <w:rPr>
          <w:rFonts w:ascii="Times New Roman" w:hAnsi="Times New Roman" w:cs="Times New Roman" w:eastAsia="Times New Roman" w:hint="default"/>
          <w:w w:val="99"/>
          <w:sz w:val="24"/>
          <w:szCs w:val="24"/>
        </w:rPr>
        <w:t>36.52</w:t>
      </w:r>
      <w:r>
        <w:rPr>
          <w:rFonts w:ascii="Times New Roman" w:hAnsi="Times New Roman" w:cs="Times New Roman" w:eastAsia="Times New Roman" w:hint="default"/>
          <w:spacing w:val="-1"/>
          <w:w w:val="99"/>
          <w:sz w:val="24"/>
          <w:szCs w:val="24"/>
        </w:rPr>
        <w:t>%</w:t>
      </w:r>
      <w:r>
        <w:rPr>
          <w:rFonts w:ascii="宋体" w:hAnsi="宋体" w:cs="宋体" w:eastAsia="宋体" w:hint="default"/>
          <w:spacing w:val="-120"/>
          <w:w w:val="99"/>
          <w:sz w:val="24"/>
          <w:szCs w:val="24"/>
        </w:rPr>
        <w:t>。</w:t>
      </w:r>
      <w:r>
        <w:rPr>
          <w:rFonts w:ascii="宋体" w:hAnsi="宋体" w:cs="宋体" w:eastAsia="宋体" w:hint="default"/>
          <w:w w:val="100"/>
          <w:sz w:val="21"/>
          <w:szCs w:val="21"/>
        </w:rPr>
        <w:t>（单位</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3"/>
          <w:w w:val="100"/>
          <w:sz w:val="21"/>
          <w:szCs w:val="21"/>
        </w:rPr>
        <w:t>家</w:t>
      </w:r>
      <w:r>
        <w:rPr>
          <w:rFonts w:ascii="宋体" w:hAnsi="宋体" w:cs="宋体" w:eastAsia="宋体" w:hint="default"/>
          <w:w w:val="100"/>
          <w:sz w:val="21"/>
          <w:szCs w:val="21"/>
        </w:rPr>
        <w:t>）</w:t>
      </w:r>
    </w:p>
    <w:p>
      <w:pPr>
        <w:spacing w:line="240" w:lineRule="auto" w:before="1"/>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080"/>
        <w:gridCol w:w="922"/>
        <w:gridCol w:w="1059"/>
        <w:gridCol w:w="732"/>
        <w:gridCol w:w="1248"/>
        <w:gridCol w:w="1049"/>
        <w:gridCol w:w="1249"/>
        <w:gridCol w:w="1054"/>
        <w:gridCol w:w="970"/>
      </w:tblGrid>
      <w:tr>
        <w:trPr>
          <w:trHeight w:val="329" w:hRule="exact"/>
        </w:trPr>
        <w:tc>
          <w:tcPr>
            <w:tcW w:w="1080" w:type="dxa"/>
            <w:vMerge w:val="restart"/>
            <w:tcBorders>
              <w:top w:val="single" w:sz="17" w:space="0" w:color="000000"/>
              <w:left w:val="single" w:sz="17"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1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0" w:type="dxa"/>
            <w:gridSpan w:val="2"/>
            <w:tcBorders>
              <w:top w:val="single" w:sz="17" w:space="0" w:color="000000"/>
              <w:left w:val="single" w:sz="4" w:space="0" w:color="000000"/>
              <w:bottom w:val="single" w:sz="4" w:space="0" w:color="000000"/>
              <w:right w:val="single" w:sz="4" w:space="0" w:color="000000"/>
            </w:tcBorders>
          </w:tcPr>
          <w:p>
            <w:pPr>
              <w:pStyle w:val="TableParagraph"/>
              <w:spacing w:line="271" w:lineRule="exact"/>
              <w:ind w:left="1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9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增减变化情况</w:t>
            </w:r>
          </w:p>
        </w:tc>
        <w:tc>
          <w:tcPr>
            <w:tcW w:w="2023" w:type="dxa"/>
            <w:gridSpan w:val="2"/>
            <w:tcBorders>
              <w:top w:val="single" w:sz="17" w:space="0" w:color="000000"/>
              <w:left w:val="single" w:sz="4" w:space="0" w:color="000000"/>
              <w:bottom w:val="single" w:sz="4" w:space="0" w:color="000000"/>
              <w:right w:val="single" w:sz="17" w:space="0" w:color="000000"/>
            </w:tcBorders>
          </w:tcPr>
          <w:p>
            <w:pPr>
              <w:pStyle w:val="TableParagraph"/>
              <w:spacing w:line="259" w:lineRule="exact"/>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90" w:hRule="exact"/>
        </w:trPr>
        <w:tc>
          <w:tcPr>
            <w:tcW w:w="1080" w:type="dxa"/>
            <w:vMerge/>
            <w:tcBorders>
              <w:left w:val="single" w:sz="17"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9" w:right="305"/>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pacing w:val="-103"/>
                <w:sz w:val="21"/>
                <w:szCs w:val="21"/>
              </w:rPr>
              <w:t> </w:t>
            </w:r>
            <w:r>
              <w:rPr>
                <w:rFonts w:ascii="宋体" w:hAnsi="宋体" w:cs="宋体" w:eastAsia="宋体" w:hint="default"/>
                <w:sz w:val="21"/>
                <w:szCs w:val="21"/>
              </w:rPr>
              <w:t>变化</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占比变化</w:t>
            </w:r>
          </w:p>
          <w:p>
            <w:pPr>
              <w:pStyle w:val="TableParagraph"/>
              <w:spacing w:line="240" w:lineRule="auto" w:before="26"/>
              <w:ind w:right="1"/>
              <w:jc w:val="center"/>
              <w:rPr>
                <w:rFonts w:ascii="Times New Roman" w:hAnsi="Times New Roman" w:cs="Times New Roman" w:eastAsia="Times New Roman" w:hint="default"/>
                <w:sz w:val="21"/>
                <w:szCs w:val="21"/>
              </w:rPr>
            </w:pPr>
            <w:r>
              <w:rPr>
                <w:rFonts w:ascii="Times New Roman"/>
                <w:sz w:val="21"/>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36"/>
              <w:ind w:left="268" w:right="0"/>
              <w:jc w:val="left"/>
              <w:rPr>
                <w:rFonts w:ascii="宋体" w:hAnsi="宋体" w:cs="宋体" w:eastAsia="宋体" w:hint="default"/>
                <w:sz w:val="21"/>
                <w:szCs w:val="21"/>
              </w:rPr>
            </w:pPr>
            <w:r>
              <w:rPr>
                <w:rFonts w:ascii="宋体" w:hAnsi="宋体" w:cs="宋体" w:eastAsia="宋体" w:hint="default"/>
                <w:sz w:val="21"/>
                <w:szCs w:val="21"/>
              </w:rPr>
              <w:t>占比</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6" w:lineRule="exact"/>
              <w:ind w:right="12"/>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608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36.10%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525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40.05%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83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-3.95%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9" w:right="0"/>
              <w:jc w:val="left"/>
              <w:rPr>
                <w:rFonts w:ascii="Times New Roman" w:hAnsi="Times New Roman" w:cs="Times New Roman" w:eastAsia="Times New Roman" w:hint="default"/>
                <w:sz w:val="20"/>
                <w:szCs w:val="20"/>
              </w:rPr>
            </w:pPr>
            <w:r>
              <w:rPr>
                <w:rFonts w:ascii="Times New Roman"/>
                <w:sz w:val="20"/>
              </w:rPr>
              <w:t>435</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right="152"/>
              <w:jc w:val="right"/>
              <w:rPr>
                <w:rFonts w:ascii="Times New Roman" w:hAnsi="Times New Roman" w:cs="Times New Roman" w:eastAsia="Times New Roman" w:hint="default"/>
                <w:sz w:val="20"/>
                <w:szCs w:val="20"/>
              </w:rPr>
            </w:pPr>
            <w:r>
              <w:rPr>
                <w:rFonts w:ascii="Times New Roman"/>
                <w:sz w:val="20"/>
              </w:rPr>
              <w:t>46.23%</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6" w:lineRule="exact"/>
              <w:ind w:right="12"/>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461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27.38%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379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28.91%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82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-1.53%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9" w:right="0"/>
              <w:jc w:val="left"/>
              <w:rPr>
                <w:rFonts w:ascii="Times New Roman" w:hAnsi="Times New Roman" w:cs="Times New Roman" w:eastAsia="Times New Roman" w:hint="default"/>
                <w:sz w:val="20"/>
                <w:szCs w:val="20"/>
              </w:rPr>
            </w:pPr>
            <w:r>
              <w:rPr>
                <w:rFonts w:ascii="Times New Roman"/>
                <w:sz w:val="20"/>
              </w:rPr>
              <w:t>292</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right="152"/>
              <w:jc w:val="right"/>
              <w:rPr>
                <w:rFonts w:ascii="Times New Roman" w:hAnsi="Times New Roman" w:cs="Times New Roman" w:eastAsia="Times New Roman" w:hint="default"/>
                <w:sz w:val="20"/>
                <w:szCs w:val="20"/>
              </w:rPr>
            </w:pPr>
            <w:r>
              <w:rPr>
                <w:rFonts w:ascii="Times New Roman"/>
                <w:sz w:val="20"/>
              </w:rPr>
              <w:t>31.03%</w:t>
            </w:r>
          </w:p>
        </w:tc>
      </w:tr>
      <w:tr>
        <w:trPr>
          <w:trHeight w:val="295"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6" w:lineRule="exact"/>
              <w:ind w:right="12"/>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479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28.44%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303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23.11%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176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Times New Roman" w:hAnsi="Times New Roman" w:cs="Times New Roman" w:eastAsia="Times New Roman" w:hint="default"/>
                <w:sz w:val="20"/>
                <w:szCs w:val="20"/>
              </w:rPr>
            </w:pPr>
            <w:r>
              <w:rPr>
                <w:rFonts w:ascii="Times New Roman"/>
                <w:sz w:val="20"/>
              </w:rPr>
              <w:t>5.33%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69" w:right="0"/>
              <w:jc w:val="left"/>
              <w:rPr>
                <w:rFonts w:ascii="Times New Roman" w:hAnsi="Times New Roman" w:cs="Times New Roman" w:eastAsia="Times New Roman" w:hint="default"/>
                <w:sz w:val="20"/>
                <w:szCs w:val="20"/>
              </w:rPr>
            </w:pPr>
            <w:r>
              <w:rPr>
                <w:rFonts w:ascii="Times New Roman"/>
                <w:sz w:val="20"/>
              </w:rPr>
              <w:t>174</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right="152"/>
              <w:jc w:val="right"/>
              <w:rPr>
                <w:rFonts w:ascii="Times New Roman" w:hAnsi="Times New Roman" w:cs="Times New Roman" w:eastAsia="Times New Roman" w:hint="default"/>
                <w:sz w:val="20"/>
                <w:szCs w:val="20"/>
              </w:rPr>
            </w:pPr>
            <w:r>
              <w:rPr>
                <w:rFonts w:ascii="Times New Roman"/>
                <w:sz w:val="20"/>
              </w:rPr>
              <w:t>18.49%</w:t>
            </w:r>
          </w:p>
        </w:tc>
      </w:tr>
      <w:tr>
        <w:trPr>
          <w:trHeight w:val="293" w:hRule="exact"/>
        </w:trPr>
        <w:tc>
          <w:tcPr>
            <w:tcW w:w="1080" w:type="dxa"/>
            <w:tcBorders>
              <w:top w:val="single" w:sz="4" w:space="0" w:color="000000"/>
              <w:left w:val="single" w:sz="17" w:space="0" w:color="000000"/>
              <w:bottom w:val="single" w:sz="4" w:space="0" w:color="000000"/>
              <w:right w:val="single" w:sz="4" w:space="0" w:color="000000"/>
            </w:tcBorders>
          </w:tcPr>
          <w:p>
            <w:pPr>
              <w:pStyle w:val="TableParagraph"/>
              <w:spacing w:line="246" w:lineRule="exact"/>
              <w:ind w:right="12"/>
              <w:jc w:val="center"/>
              <w:rPr>
                <w:rFonts w:ascii="宋体" w:hAnsi="宋体" w:cs="宋体" w:eastAsia="宋体" w:hint="default"/>
                <w:sz w:val="21"/>
                <w:szCs w:val="21"/>
              </w:rPr>
            </w:pPr>
            <w:r>
              <w:rPr>
                <w:rFonts w:ascii="宋体" w:hAnsi="宋体" w:cs="宋体" w:eastAsia="宋体" w:hint="default"/>
                <w:sz w:val="21"/>
                <w:szCs w:val="21"/>
              </w:rPr>
              <w:t>四级市场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136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Times New Roman" w:hAnsi="Times New Roman" w:cs="Times New Roman" w:eastAsia="Times New Roman" w:hint="default"/>
                <w:sz w:val="20"/>
                <w:szCs w:val="20"/>
              </w:rPr>
            </w:pPr>
            <w:r>
              <w:rPr>
                <w:rFonts w:ascii="Times New Roman"/>
                <w:sz w:val="20"/>
              </w:rPr>
              <w:t>8.08%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104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7.93%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Times New Roman" w:hAnsi="Times New Roman" w:cs="Times New Roman" w:eastAsia="Times New Roman" w:hint="default"/>
                <w:sz w:val="20"/>
                <w:szCs w:val="20"/>
              </w:rPr>
            </w:pPr>
            <w:r>
              <w:rPr>
                <w:rFonts w:ascii="Times New Roman"/>
                <w:sz w:val="20"/>
              </w:rPr>
              <w:t>32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0"/>
                <w:szCs w:val="20"/>
              </w:rPr>
            </w:pPr>
            <w:r>
              <w:rPr>
                <w:rFonts w:ascii="Times New Roman"/>
                <w:sz w:val="20"/>
              </w:rPr>
              <w:t>0.15%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0" w:right="0"/>
              <w:jc w:val="left"/>
              <w:rPr>
                <w:rFonts w:ascii="Times New Roman" w:hAnsi="Times New Roman" w:cs="Times New Roman" w:eastAsia="Times New Roman" w:hint="default"/>
                <w:sz w:val="20"/>
                <w:szCs w:val="20"/>
              </w:rPr>
            </w:pPr>
            <w:r>
              <w:rPr>
                <w:rFonts w:ascii="Times New Roman"/>
                <w:sz w:val="20"/>
              </w:rPr>
              <w:t>40</w:t>
            </w:r>
          </w:p>
        </w:tc>
        <w:tc>
          <w:tcPr>
            <w:tcW w:w="97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left="220" w:right="0"/>
              <w:jc w:val="left"/>
              <w:rPr>
                <w:rFonts w:ascii="Times New Roman" w:hAnsi="Times New Roman" w:cs="Times New Roman" w:eastAsia="Times New Roman" w:hint="default"/>
                <w:sz w:val="20"/>
                <w:szCs w:val="20"/>
              </w:rPr>
            </w:pPr>
            <w:r>
              <w:rPr>
                <w:rFonts w:ascii="Times New Roman"/>
                <w:sz w:val="20"/>
              </w:rPr>
              <w:t>4.25%</w:t>
            </w:r>
          </w:p>
        </w:tc>
      </w:tr>
      <w:tr>
        <w:trPr>
          <w:trHeight w:val="329" w:hRule="exact"/>
        </w:trPr>
        <w:tc>
          <w:tcPr>
            <w:tcW w:w="1080" w:type="dxa"/>
            <w:tcBorders>
              <w:top w:val="single" w:sz="4" w:space="0" w:color="000000"/>
              <w:left w:val="single" w:sz="17" w:space="0" w:color="000000"/>
              <w:bottom w:val="single" w:sz="17" w:space="0" w:color="000000"/>
              <w:right w:val="single" w:sz="4" w:space="0" w:color="000000"/>
            </w:tcBorders>
          </w:tcPr>
          <w:p>
            <w:pPr>
              <w:pStyle w:val="TableParagraph"/>
              <w:spacing w:line="255" w:lineRule="exact"/>
              <w:ind w:right="14"/>
              <w:jc w:val="center"/>
              <w:rPr>
                <w:rFonts w:ascii="宋体" w:hAnsi="宋体" w:cs="宋体" w:eastAsia="宋体" w:hint="default"/>
                <w:sz w:val="21"/>
                <w:szCs w:val="21"/>
              </w:rPr>
            </w:pPr>
            <w:r>
              <w:rPr>
                <w:rFonts w:ascii="宋体" w:hAnsi="宋体" w:cs="宋体" w:eastAsia="宋体" w:hint="default"/>
                <w:sz w:val="21"/>
                <w:szCs w:val="21"/>
              </w:rPr>
              <w:t>合计</w:t>
            </w:r>
          </w:p>
        </w:tc>
        <w:tc>
          <w:tcPr>
            <w:tcW w:w="9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0"/>
                <w:szCs w:val="20"/>
              </w:rPr>
            </w:pPr>
            <w:r>
              <w:rPr>
                <w:rFonts w:ascii="Times New Roman"/>
                <w:sz w:val="20"/>
              </w:rPr>
              <w:t>1,684</w:t>
            </w:r>
          </w:p>
        </w:tc>
        <w:tc>
          <w:tcPr>
            <w:tcW w:w="10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100.00%</w:t>
            </w:r>
          </w:p>
        </w:tc>
        <w:tc>
          <w:tcPr>
            <w:tcW w:w="7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1311</w:t>
            </w:r>
          </w:p>
        </w:tc>
        <w:tc>
          <w:tcPr>
            <w:tcW w:w="12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0"/>
                <w:szCs w:val="20"/>
              </w:rPr>
            </w:pPr>
            <w:r>
              <w:rPr>
                <w:rFonts w:ascii="Times New Roman"/>
                <w:sz w:val="20"/>
              </w:rPr>
              <w:t>100.00%</w:t>
            </w:r>
          </w:p>
        </w:tc>
        <w:tc>
          <w:tcPr>
            <w:tcW w:w="10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left="2" w:right="0"/>
              <w:jc w:val="center"/>
              <w:rPr>
                <w:rFonts w:ascii="Times New Roman" w:hAnsi="Times New Roman" w:cs="Times New Roman" w:eastAsia="Times New Roman" w:hint="default"/>
                <w:sz w:val="20"/>
                <w:szCs w:val="20"/>
              </w:rPr>
            </w:pPr>
            <w:r>
              <w:rPr>
                <w:rFonts w:ascii="Times New Roman"/>
                <w:sz w:val="20"/>
              </w:rPr>
              <w:t>373</w:t>
            </w:r>
          </w:p>
        </w:tc>
        <w:tc>
          <w:tcPr>
            <w:tcW w:w="124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4"/>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left="369" w:right="0"/>
              <w:jc w:val="left"/>
              <w:rPr>
                <w:rFonts w:ascii="Times New Roman" w:hAnsi="Times New Roman" w:cs="Times New Roman" w:eastAsia="Times New Roman" w:hint="default"/>
                <w:sz w:val="20"/>
                <w:szCs w:val="20"/>
              </w:rPr>
            </w:pPr>
            <w:r>
              <w:rPr>
                <w:rFonts w:ascii="Times New Roman"/>
                <w:sz w:val="20"/>
              </w:rPr>
              <w:t>941</w:t>
            </w:r>
          </w:p>
        </w:tc>
        <w:tc>
          <w:tcPr>
            <w:tcW w:w="97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9"/>
              <w:ind w:right="104"/>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53" w:lineRule="exact" w:before="0"/>
        <w:ind w:left="720" w:right="1328" w:firstLine="0"/>
        <w:jc w:val="left"/>
        <w:rPr>
          <w:rFonts w:ascii="宋体" w:hAnsi="宋体" w:cs="宋体" w:eastAsia="宋体" w:hint="default"/>
          <w:sz w:val="21"/>
          <w:szCs w:val="21"/>
        </w:rPr>
      </w:pPr>
      <w:r>
        <w:rPr>
          <w:rFonts w:ascii="宋体" w:hAnsi="宋体" w:cs="宋体" w:eastAsia="宋体" w:hint="default"/>
          <w:sz w:val="21"/>
          <w:szCs w:val="21"/>
        </w:rPr>
        <w:t>注：一级市场指副省级以上城市；二级市场指一级市场以外的地级市；三级市场指一二级市场</w:t>
      </w:r>
    </w:p>
    <w:p>
      <w:pPr>
        <w:spacing w:before="6"/>
        <w:ind w:left="300" w:right="1436" w:firstLine="0"/>
        <w:jc w:val="left"/>
        <w:rPr>
          <w:rFonts w:ascii="宋体" w:hAnsi="宋体" w:cs="宋体" w:eastAsia="宋体" w:hint="default"/>
          <w:sz w:val="21"/>
          <w:szCs w:val="21"/>
        </w:rPr>
      </w:pPr>
      <w:r>
        <w:rPr>
          <w:rFonts w:ascii="宋体" w:hAnsi="宋体" w:cs="宋体" w:eastAsia="宋体" w:hint="default"/>
          <w:sz w:val="21"/>
          <w:szCs w:val="21"/>
        </w:rPr>
        <w:t>下辖的县、县级市或远郊区；四级市场主要指镇级城市。</w:t>
      </w:r>
    </w:p>
    <w:p>
      <w:pPr>
        <w:spacing w:after="0"/>
        <w:jc w:val="left"/>
        <w:rPr>
          <w:rFonts w:ascii="宋体" w:hAnsi="宋体" w:cs="宋体" w:eastAsia="宋体" w:hint="default"/>
          <w:sz w:val="21"/>
          <w:szCs w:val="21"/>
        </w:rPr>
        <w:sectPr>
          <w:pgSz w:w="11910" w:h="16840"/>
          <w:pgMar w:header="748" w:footer="857" w:top="980" w:bottom="1040" w:left="1140" w:right="0"/>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360" type="#_x0000_t75" stroked="false">
            <v:imagedata r:id="rId21" o:title=""/>
          </v:shape>
        </w:pict>
      </w:r>
    </w:p>
    <w:p>
      <w:pPr>
        <w:pStyle w:val="BodyText"/>
        <w:spacing w:line="333" w:lineRule="auto" w:before="26"/>
        <w:ind w:left="720" w:right="1436"/>
        <w:jc w:val="left"/>
      </w:pPr>
      <w:r>
        <w:rPr/>
        <w:t>（三）连锁店经营质量分析 </w:t>
      </w:r>
      <w:r>
        <w:rPr>
          <w:spacing w:val="-3"/>
        </w:rPr>
        <w:t>报告期内，受到宏观调控政策影响，以及家电激励政策效应减弱，家电行业增速放</w:t>
      </w:r>
    </w:p>
    <w:p>
      <w:pPr>
        <w:pStyle w:val="BodyText"/>
        <w:spacing w:line="333" w:lineRule="auto" w:before="29"/>
        <w:ind w:left="240" w:right="1422"/>
        <w:jc w:val="left"/>
      </w:pPr>
      <w:r>
        <w:rPr>
          <w:spacing w:val="-3"/>
        </w:rPr>
        <w:t>缓。公司面对市场变化，积极应对，一方面通过加强培训，提升终端销售服务能力，另</w:t>
      </w:r>
      <w:r>
        <w:rPr>
          <w:spacing w:val="-104"/>
        </w:rPr>
        <w:t> </w:t>
      </w:r>
      <w:r>
        <w:rPr>
          <w:spacing w:val="-104"/>
        </w:rPr>
      </w:r>
      <w:r>
        <w:rPr/>
        <w:t>一方面，组织多次有效促销，提升销售。</w:t>
      </w:r>
    </w:p>
    <w:p>
      <w:pPr>
        <w:pStyle w:val="BodyText"/>
        <w:spacing w:line="314" w:lineRule="auto" w:before="29"/>
        <w:ind w:left="240" w:right="1428" w:firstLine="480"/>
        <w:jc w:val="left"/>
      </w:pPr>
      <w:r>
        <w:rPr/>
        <w:t>综上，公司可比店面（指</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日当日及之前开设的店面）销售收入同比 上升</w:t>
      </w:r>
      <w:r>
        <w:rPr>
          <w:spacing w:val="-62"/>
        </w:rPr>
        <w:t> </w:t>
      </w:r>
      <w:r>
        <w:rPr>
          <w:rFonts w:ascii="Times New Roman" w:hAnsi="Times New Roman" w:cs="Times New Roman" w:eastAsia="Times New Roman" w:hint="default"/>
        </w:rPr>
        <w:t>3.39%</w:t>
      </w:r>
      <w:r>
        <w:rPr/>
        <w:t>。</w:t>
      </w:r>
    </w:p>
    <w:p>
      <w:pPr>
        <w:pStyle w:val="BodyText"/>
        <w:spacing w:line="240" w:lineRule="auto" w:before="22"/>
        <w:ind w:left="720" w:right="1422"/>
        <w:jc w:val="left"/>
      </w:pPr>
      <w:r>
        <w:rPr/>
        <w:t>公司大陆地区可比店面按店面类型及市场类型分布经营质量情况：</w:t>
      </w:r>
    </w:p>
    <w:p>
      <w:pPr>
        <w:spacing w:line="240" w:lineRule="auto" w:before="6"/>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04"/>
        <w:gridCol w:w="1562"/>
        <w:gridCol w:w="1661"/>
        <w:gridCol w:w="1762"/>
        <w:gridCol w:w="1757"/>
      </w:tblGrid>
      <w:tr>
        <w:trPr>
          <w:trHeight w:val="332" w:hRule="exact"/>
        </w:trPr>
        <w:tc>
          <w:tcPr>
            <w:tcW w:w="2504" w:type="dxa"/>
            <w:tcBorders>
              <w:top w:val="single" w:sz="12" w:space="0" w:color="000000"/>
              <w:left w:val="single" w:sz="12" w:space="0" w:color="000000"/>
              <w:bottom w:val="single" w:sz="4" w:space="0" w:color="000000"/>
              <w:right w:val="single" w:sz="4" w:space="0" w:color="000000"/>
            </w:tcBorders>
          </w:tcPr>
          <w:p>
            <w:pPr>
              <w:pStyle w:val="TableParagraph"/>
              <w:spacing w:line="261" w:lineRule="exact"/>
              <w:ind w:right="8"/>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社区店</w:t>
            </w:r>
          </w:p>
        </w:tc>
        <w:tc>
          <w:tcPr>
            <w:tcW w:w="1757" w:type="dxa"/>
            <w:tcBorders>
              <w:top w:val="single" w:sz="12" w:space="0" w:color="000000"/>
              <w:left w:val="single" w:sz="4" w:space="0" w:color="000000"/>
              <w:bottom w:val="single" w:sz="4" w:space="0" w:color="000000"/>
              <w:right w:val="single" w:sz="12" w:space="0" w:color="000000"/>
            </w:tcBorders>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sz w:val="21"/>
                <w:szCs w:val="21"/>
              </w:rPr>
              <w:t>精品店</w:t>
            </w:r>
          </w:p>
        </w:tc>
      </w:tr>
      <w:tr>
        <w:trPr>
          <w:trHeight w:val="350" w:hRule="exact"/>
        </w:trPr>
        <w:tc>
          <w:tcPr>
            <w:tcW w:w="2504" w:type="dxa"/>
            <w:tcBorders>
              <w:top w:val="single" w:sz="4" w:space="0" w:color="000000"/>
              <w:left w:val="single" w:sz="12" w:space="0" w:color="000000"/>
              <w:bottom w:val="single" w:sz="12" w:space="0" w:color="000000"/>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2.43%</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3.68%</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6.36%</w:t>
            </w:r>
          </w:p>
        </w:tc>
        <w:tc>
          <w:tcPr>
            <w:tcW w:w="17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6"/>
              <w:ind w:left="12" w:right="0"/>
              <w:jc w:val="center"/>
              <w:rPr>
                <w:rFonts w:ascii="Times New Roman" w:hAnsi="Times New Roman" w:cs="Times New Roman" w:eastAsia="Times New Roman" w:hint="default"/>
                <w:sz w:val="21"/>
                <w:szCs w:val="21"/>
              </w:rPr>
            </w:pPr>
            <w:r>
              <w:rPr>
                <w:rFonts w:ascii="Times New Roman"/>
                <w:sz w:val="21"/>
              </w:rPr>
              <w:t>9.78%</w:t>
            </w:r>
          </w:p>
        </w:tc>
      </w:tr>
    </w:tbl>
    <w:p>
      <w:pPr>
        <w:spacing w:line="240" w:lineRule="auto" w:before="9"/>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501"/>
        <w:gridCol w:w="1565"/>
        <w:gridCol w:w="1661"/>
        <w:gridCol w:w="1762"/>
        <w:gridCol w:w="1762"/>
      </w:tblGrid>
      <w:tr>
        <w:trPr>
          <w:trHeight w:val="329" w:hRule="exact"/>
        </w:trPr>
        <w:tc>
          <w:tcPr>
            <w:tcW w:w="2501" w:type="dxa"/>
            <w:tcBorders>
              <w:top w:val="single" w:sz="12" w:space="0" w:color="000000"/>
              <w:left w:val="single" w:sz="12" w:space="0" w:color="000000"/>
              <w:bottom w:val="single" w:sz="4" w:space="0" w:color="000000"/>
              <w:right w:val="single" w:sz="4"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市场级别</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四级市场</w:t>
            </w:r>
          </w:p>
        </w:tc>
      </w:tr>
      <w:tr>
        <w:trPr>
          <w:trHeight w:val="350" w:hRule="exact"/>
        </w:trPr>
        <w:tc>
          <w:tcPr>
            <w:tcW w:w="2501" w:type="dxa"/>
            <w:tcBorders>
              <w:top w:val="single" w:sz="4" w:space="0" w:color="000000"/>
              <w:left w:val="single" w:sz="12" w:space="0" w:color="000000"/>
              <w:bottom w:val="single" w:sz="12" w:space="0" w:color="000000"/>
              <w:right w:val="single" w:sz="4" w:space="0" w:color="000000"/>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可比店面销售同比增长</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2.23%</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4.99%</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6.60%</w:t>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9"/>
              <w:ind w:left="12" w:right="0"/>
              <w:jc w:val="center"/>
              <w:rPr>
                <w:rFonts w:ascii="Times New Roman" w:hAnsi="Times New Roman" w:cs="Times New Roman" w:eastAsia="Times New Roman" w:hint="default"/>
                <w:sz w:val="21"/>
                <w:szCs w:val="21"/>
              </w:rPr>
            </w:pPr>
            <w:r>
              <w:rPr>
                <w:rFonts w:ascii="Times New Roman"/>
                <w:sz w:val="21"/>
              </w:rPr>
              <w:t>7.00%</w:t>
            </w:r>
          </w:p>
        </w:tc>
      </w:tr>
    </w:tbl>
    <w:p>
      <w:pPr>
        <w:spacing w:line="245" w:lineRule="exact" w:before="0"/>
        <w:ind w:left="737" w:right="1422" w:firstLine="0"/>
        <w:jc w:val="left"/>
        <w:rPr>
          <w:rFonts w:ascii="宋体" w:hAnsi="宋体" w:cs="宋体" w:eastAsia="宋体" w:hint="default"/>
          <w:sz w:val="21"/>
          <w:szCs w:val="21"/>
        </w:rPr>
      </w:pPr>
      <w:r>
        <w:rPr>
          <w:rFonts w:ascii="宋体" w:hAnsi="宋体" w:cs="宋体" w:eastAsia="宋体" w:hint="default"/>
          <w:sz w:val="21"/>
          <w:szCs w:val="21"/>
        </w:rPr>
        <w:t>注：精品店可比店面为深圳金光华店；公司于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年推进县镇店开发，暂无可比店面。</w:t>
      </w:r>
    </w:p>
    <w:p>
      <w:pPr>
        <w:pStyle w:val="BodyText"/>
        <w:spacing w:line="352" w:lineRule="auto" w:before="0"/>
        <w:ind w:left="240" w:right="1328" w:firstLine="480"/>
        <w:jc w:val="left"/>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由于一线城市对宏观调控政策敏感度高，受政策影响较大，故一级市场可比店 </w:t>
      </w:r>
      <w:r>
        <w:rPr>
          <w:spacing w:val="-3"/>
        </w:rPr>
        <w:t>面销售同比增长略低，在一级市场分布较多的旗舰店、中心店也受相对较大影响，但旗</w:t>
      </w:r>
      <w:r>
        <w:rPr>
          <w:spacing w:val="-101"/>
        </w:rPr>
        <w:t> </w:t>
      </w:r>
      <w:r>
        <w:rPr>
          <w:spacing w:val="-101"/>
        </w:rPr>
      </w:r>
      <w:r>
        <w:rPr/>
        <w:t>舰店仍凭借其丰富的商品组合、较强的消费辐射效应，表现优于一级市场的平均水平。 </w:t>
      </w:r>
      <w:r>
        <w:rPr>
          <w:spacing w:val="-3"/>
        </w:rPr>
        <w:t>后续公司仍将继续推进“旗舰店攻略”，注重核心商圈的旗舰店建设，而针对一级市场</w:t>
      </w:r>
      <w:r>
        <w:rPr>
          <w:spacing w:val="-104"/>
        </w:rPr>
        <w:t> </w:t>
      </w:r>
      <w:r>
        <w:rPr>
          <w:spacing w:val="-104"/>
        </w:rPr>
      </w:r>
      <w:r>
        <w:rPr/>
        <w:t>的社区店拓展，公司将会更加审慎地推进，并注重对现有社区店的调整优化。</w:t>
      </w:r>
    </w:p>
    <w:p>
      <w:pPr>
        <w:pStyle w:val="BodyText"/>
        <w:tabs>
          <w:tab w:pos="1080" w:val="left" w:leader="none"/>
        </w:tabs>
        <w:spacing w:line="355" w:lineRule="auto" w:before="41"/>
        <w:ind w:left="240" w:right="1317" w:firstLine="480"/>
        <w:jc w:val="left"/>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t>二三级市场原有家电产品保有率不高，随着“家电下乡”等激励政策的实施， </w:t>
      </w:r>
      <w:r>
        <w:rPr>
          <w:spacing w:val="-3"/>
        </w:rPr>
        <w:t>二三级市场家电消费逐步释放。且随着公司物流、售后平台建设的加强，跨区域管理模</w:t>
      </w:r>
      <w:r>
        <w:rPr>
          <w:spacing w:val="-102"/>
        </w:rPr>
        <w:t> </w:t>
      </w:r>
      <w:r>
        <w:rPr>
          <w:spacing w:val="-102"/>
        </w:rPr>
      </w:r>
      <w:r>
        <w:rPr>
          <w:spacing w:val="-6"/>
        </w:rPr>
        <w:t>式进一步成熟，二三级市场可比店面增长较快。在渠道下沉拓展中，公司结合市场情况，</w:t>
      </w:r>
      <w:r>
        <w:rPr>
          <w:spacing w:val="-98"/>
        </w:rPr>
        <w:t> </w:t>
      </w:r>
      <w:r>
        <w:rPr>
          <w:spacing w:val="-98"/>
        </w:rPr>
      </w:r>
      <w:r>
        <w:rPr>
          <w:spacing w:val="-3"/>
        </w:rPr>
        <w:t>推进常规店以及县镇店的开发，通常社区店占比较高，二三级市场较好的销售表现，也</w:t>
      </w:r>
      <w:r>
        <w:rPr>
          <w:spacing w:val="-100"/>
        </w:rPr>
        <w:t> </w:t>
      </w:r>
      <w:r>
        <w:rPr>
          <w:spacing w:val="-100"/>
        </w:rPr>
      </w:r>
      <w:r>
        <w:rPr/>
        <w:t>使得二三级市场社区店可比销售增长较快。</w:t>
      </w:r>
    </w:p>
    <w:p>
      <w:pPr>
        <w:pStyle w:val="BodyText"/>
        <w:spacing w:line="240" w:lineRule="auto" w:before="38"/>
        <w:ind w:left="720" w:right="3386"/>
        <w:jc w:val="left"/>
      </w:pPr>
      <w:r>
        <w:rPr/>
        <w:t>（四）经营成果及原因分析</w:t>
      </w:r>
    </w:p>
    <w:p>
      <w:pPr>
        <w:tabs>
          <w:tab w:pos="7518" w:val="left" w:leader="none"/>
        </w:tabs>
        <w:spacing w:before="154"/>
        <w:ind w:left="960" w:right="1422"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w:t>
      </w:r>
      <w:r>
        <w:rPr>
          <w:rFonts w:ascii="宋体" w:hAnsi="宋体" w:cs="宋体" w:eastAsia="宋体" w:hint="default"/>
          <w:sz w:val="24"/>
          <w:szCs w:val="24"/>
        </w:rPr>
        <w:t>、经营结果及原因综述</w:t>
        <w:tab/>
      </w:r>
      <w:r>
        <w:rPr>
          <w:rFonts w:ascii="宋体" w:hAnsi="宋体" w:cs="宋体" w:eastAsia="宋体" w:hint="default"/>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001"/>
        <w:gridCol w:w="1743"/>
        <w:gridCol w:w="1747"/>
        <w:gridCol w:w="1009"/>
        <w:gridCol w:w="1747"/>
      </w:tblGrid>
      <w:tr>
        <w:trPr>
          <w:trHeight w:val="578" w:hRule="exact"/>
        </w:trPr>
        <w:tc>
          <w:tcPr>
            <w:tcW w:w="3001"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105"/>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3"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5"/>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74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5"/>
              <w:ind w:right="16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009" w:type="dxa"/>
            <w:tcBorders>
              <w:top w:val="single" w:sz="17" w:space="0" w:color="000000"/>
              <w:left w:val="single" w:sz="8" w:space="0" w:color="000000"/>
              <w:bottom w:val="single" w:sz="8" w:space="0" w:color="000000"/>
              <w:right w:val="single" w:sz="8"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sz w:val="21"/>
                <w:szCs w:val="21"/>
              </w:rPr>
              <w:t>增减率</w:t>
            </w:r>
          </w:p>
          <w:p>
            <w:pPr>
              <w:pStyle w:val="TableParagraph"/>
              <w:spacing w:line="290" w:lineRule="exact"/>
              <w:ind w:left="19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7"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105"/>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93,888,580</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75,504,739</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24.35%</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pacing w:val="-1"/>
                <w:sz w:val="21"/>
              </w:rPr>
              <w:t>58,300,149</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76,104,656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62,040,712</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22.67%</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pacing w:val="-1"/>
                <w:sz w:val="21"/>
              </w:rPr>
              <w:t>48,185,789</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Times New Roman" w:hAnsi="Times New Roman" w:cs="Times New Roman" w:eastAsia="Times New Roman" w:hint="default"/>
                <w:sz w:val="21"/>
                <w:szCs w:val="21"/>
              </w:rPr>
            </w:pPr>
            <w:r>
              <w:rPr>
                <w:rFonts w:ascii="Times New Roman"/>
                <w:spacing w:val="-1"/>
                <w:sz w:val="21"/>
              </w:rPr>
              <w:t>9,367,346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pacing w:val="-1"/>
                <w:sz w:val="21"/>
              </w:rPr>
              <w:t>6,809,109</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37.57%</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pacing w:val="-1"/>
                <w:sz w:val="21"/>
              </w:rPr>
              <w:t>5,192,356</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Times New Roman" w:hAnsi="Times New Roman" w:cs="Times New Roman" w:eastAsia="Times New Roman" w:hint="default"/>
                <w:sz w:val="21"/>
                <w:szCs w:val="21"/>
              </w:rPr>
            </w:pPr>
            <w:r>
              <w:rPr>
                <w:rFonts w:ascii="Times New Roman"/>
                <w:spacing w:val="-1"/>
                <w:sz w:val="21"/>
              </w:rPr>
              <w:t>2,088,637</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pacing w:val="-2"/>
                <w:sz w:val="21"/>
              </w:rPr>
              <w:t>1,250,311</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67.05%</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pacing w:val="-1"/>
                <w:sz w:val="21"/>
              </w:rPr>
              <w:t>912,093</w:t>
            </w:r>
          </w:p>
        </w:tc>
      </w:tr>
      <w:tr>
        <w:trPr>
          <w:trHeight w:val="339"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3" w:lineRule="exact"/>
              <w:ind w:left="86" w:right="0"/>
              <w:jc w:val="left"/>
              <w:rPr>
                <w:rFonts w:ascii="宋体" w:hAnsi="宋体" w:cs="宋体" w:eastAsia="宋体" w:hint="default"/>
                <w:sz w:val="21"/>
                <w:szCs w:val="21"/>
              </w:rPr>
            </w:pPr>
            <w:r>
              <w:rPr>
                <w:rFonts w:ascii="宋体" w:hAnsi="宋体" w:cs="宋体" w:eastAsia="宋体" w:hint="default"/>
                <w:sz w:val="21"/>
                <w:szCs w:val="21"/>
              </w:rPr>
              <w:t>财务收入—净额</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Times New Roman" w:hAnsi="Times New Roman" w:cs="Times New Roman" w:eastAsia="Times New Roman" w:hint="default"/>
                <w:sz w:val="21"/>
                <w:szCs w:val="21"/>
              </w:rPr>
            </w:pPr>
            <w:r>
              <w:rPr>
                <w:rFonts w:ascii="Times New Roman"/>
                <w:spacing w:val="-1"/>
                <w:sz w:val="21"/>
              </w:rPr>
              <w:t>403,236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pacing w:val="-1"/>
                <w:sz w:val="21"/>
              </w:rPr>
              <w:t>360,769</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pacing w:val="-2"/>
                <w:sz w:val="21"/>
              </w:rPr>
              <w:t>11.77%</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pacing w:val="-1"/>
                <w:sz w:val="21"/>
              </w:rPr>
              <w:t>172,924</w:t>
            </w:r>
          </w:p>
        </w:tc>
      </w:tr>
      <w:tr>
        <w:trPr>
          <w:trHeight w:val="336"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4"/>
              <w:jc w:val="right"/>
              <w:rPr>
                <w:rFonts w:ascii="Times New Roman" w:hAnsi="Times New Roman" w:cs="Times New Roman" w:eastAsia="Times New Roman" w:hint="default"/>
                <w:sz w:val="21"/>
                <w:szCs w:val="21"/>
              </w:rPr>
            </w:pPr>
            <w:r>
              <w:rPr>
                <w:rFonts w:ascii="Times New Roman"/>
                <w:spacing w:val="-1"/>
                <w:sz w:val="21"/>
              </w:rPr>
              <w:t>6,444,081</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pacing w:val="-1"/>
                <w:sz w:val="21"/>
              </w:rPr>
              <w:t>5,431,948</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18.63%</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pacing w:val="-1"/>
                <w:sz w:val="21"/>
              </w:rPr>
              <w:t>3,875,032</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6,473,226</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5,402,044</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19.83%</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pacing w:val="-1"/>
                <w:sz w:val="21"/>
              </w:rPr>
              <w:t>3,926,367</w:t>
            </w:r>
          </w:p>
        </w:tc>
      </w:tr>
      <w:tr>
        <w:trPr>
          <w:trHeight w:val="338" w:hRule="exact"/>
        </w:trPr>
        <w:tc>
          <w:tcPr>
            <w:tcW w:w="3001"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4,820,594</w:t>
            </w:r>
          </w:p>
        </w:tc>
        <w:tc>
          <w:tcPr>
            <w:tcW w:w="17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2"/>
                <w:sz w:val="21"/>
              </w:rPr>
              <w:t>4,011,820</w:t>
            </w:r>
          </w:p>
        </w:tc>
        <w:tc>
          <w:tcPr>
            <w:tcW w:w="10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20.16%</w:t>
            </w:r>
          </w:p>
        </w:tc>
        <w:tc>
          <w:tcPr>
            <w:tcW w:w="1747"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pacing w:val="-1"/>
                <w:sz w:val="21"/>
              </w:rPr>
              <w:t>2,889,956</w:t>
            </w:r>
          </w:p>
        </w:tc>
      </w:tr>
      <w:tr>
        <w:trPr>
          <w:trHeight w:val="353" w:hRule="exact"/>
        </w:trPr>
        <w:tc>
          <w:tcPr>
            <w:tcW w:w="3001" w:type="dxa"/>
            <w:tcBorders>
              <w:top w:val="single" w:sz="8" w:space="0" w:color="000000"/>
              <w:left w:val="single" w:sz="17" w:space="0" w:color="000000"/>
              <w:bottom w:val="single" w:sz="17" w:space="0" w:color="000000"/>
              <w:right w:val="single" w:sz="8"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4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4"/>
              <w:jc w:val="right"/>
              <w:rPr>
                <w:rFonts w:ascii="Times New Roman" w:hAnsi="Times New Roman" w:cs="Times New Roman" w:eastAsia="Times New Roman" w:hint="default"/>
                <w:sz w:val="21"/>
                <w:szCs w:val="21"/>
              </w:rPr>
            </w:pPr>
            <w:r>
              <w:rPr>
                <w:rFonts w:ascii="Times New Roman"/>
                <w:spacing w:val="-1"/>
                <w:sz w:val="21"/>
              </w:rPr>
              <w:t>6,588,520</w:t>
            </w:r>
          </w:p>
        </w:tc>
        <w:tc>
          <w:tcPr>
            <w:tcW w:w="174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pacing w:val="-1"/>
                <w:sz w:val="21"/>
              </w:rPr>
              <w:t>3,881,336</w:t>
            </w:r>
          </w:p>
        </w:tc>
        <w:tc>
          <w:tcPr>
            <w:tcW w:w="100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69.75%</w:t>
            </w:r>
          </w:p>
        </w:tc>
        <w:tc>
          <w:tcPr>
            <w:tcW w:w="1747"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pacing w:val="-1"/>
                <w:sz w:val="21"/>
              </w:rPr>
              <w:t>5,554,942</w:t>
            </w:r>
          </w:p>
        </w:tc>
      </w:tr>
    </w:tbl>
    <w:p>
      <w:pPr>
        <w:spacing w:after="0" w:line="240" w:lineRule="auto"/>
        <w:jc w:val="right"/>
        <w:rPr>
          <w:rFonts w:ascii="Times New Roman" w:hAnsi="Times New Roman" w:cs="Times New Roman" w:eastAsia="Times New Roman" w:hint="default"/>
          <w:sz w:val="21"/>
          <w:szCs w:val="21"/>
        </w:rPr>
        <w:sectPr>
          <w:footerReference w:type="default" r:id="rId40"/>
          <w:pgSz w:w="11910" w:h="16840"/>
          <w:pgMar w:footer="706" w:header="748" w:top="980" w:bottom="900" w:left="1200" w:right="0"/>
          <w:pgNumType w:start="42"/>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480" type="#_x0000_t75" stroked="false">
            <v:imagedata r:id="rId21" o:title=""/>
          </v:shape>
        </w:pict>
      </w:r>
    </w:p>
    <w:p>
      <w:pPr>
        <w:pStyle w:val="BodyText"/>
        <w:spacing w:line="338" w:lineRule="auto" w:before="26"/>
        <w:ind w:left="720" w:right="1436"/>
        <w:jc w:val="left"/>
      </w:pPr>
      <w:r>
        <w:rPr/>
        <w:t>（</w:t>
      </w:r>
      <w:r>
        <w:rPr>
          <w:rFonts w:ascii="Times New Roman" w:hAnsi="Times New Roman" w:cs="Times New Roman" w:eastAsia="Times New Roman" w:hint="default"/>
        </w:rPr>
        <w:t>1</w:t>
      </w:r>
      <w:r>
        <w:rPr/>
        <w:t>） 营业收入变化情况 </w:t>
      </w:r>
      <w:r>
        <w:rPr>
          <w:spacing w:val="-3"/>
        </w:rPr>
        <w:t>报告期内公司把握市场变化趋势，加快二三级市场连锁网络布局，营销转型变革取</w:t>
      </w:r>
    </w:p>
    <w:p>
      <w:pPr>
        <w:pStyle w:val="BodyText"/>
        <w:spacing w:line="338" w:lineRule="auto" w:before="55"/>
        <w:ind w:left="240" w:right="1423"/>
        <w:jc w:val="left"/>
      </w:pPr>
      <w:r>
        <w:rPr/>
        <w:t>得阶段性成果，线上业务迅速成长，公司实现营业收入较上年同期增长</w:t>
      </w:r>
      <w:r>
        <w:rPr>
          <w:spacing w:val="5"/>
        </w:rPr>
        <w:t> </w:t>
      </w:r>
      <w:r>
        <w:rPr>
          <w:rFonts w:ascii="Times New Roman" w:hAnsi="Times New Roman" w:cs="Times New Roman" w:eastAsia="Times New Roman" w:hint="default"/>
        </w:rPr>
        <w:t>24.35%</w:t>
      </w:r>
      <w:r>
        <w:rPr/>
        <w:t>，其中 主营业务收入同比增长</w:t>
      </w:r>
      <w:r>
        <w:rPr>
          <w:spacing w:val="-61"/>
        </w:rPr>
        <w:t> </w:t>
      </w:r>
      <w:r>
        <w:rPr>
          <w:rFonts w:ascii="Times New Roman" w:hAnsi="Times New Roman" w:cs="Times New Roman" w:eastAsia="Times New Roman" w:hint="default"/>
        </w:rPr>
        <w:t>24.57%</w:t>
      </w:r>
      <w:r>
        <w:rPr/>
        <w:t>。</w:t>
      </w:r>
    </w:p>
    <w:p>
      <w:pPr>
        <w:pStyle w:val="BodyText"/>
        <w:spacing w:line="240" w:lineRule="auto" w:before="147"/>
        <w:ind w:left="720" w:right="3386"/>
        <w:jc w:val="left"/>
      </w:pPr>
      <w:r>
        <w:rPr/>
        <w:t>（</w:t>
      </w:r>
      <w:r>
        <w:rPr>
          <w:rFonts w:ascii="Times New Roman" w:hAnsi="Times New Roman" w:cs="Times New Roman" w:eastAsia="Times New Roman" w:hint="default"/>
        </w:rPr>
        <w:t>2</w:t>
      </w:r>
      <w:r>
        <w:rPr/>
        <w:t>）</w:t>
      </w:r>
      <w:r>
        <w:rPr>
          <w:spacing w:val="-1"/>
        </w:rPr>
        <w:t> </w:t>
      </w:r>
      <w:r>
        <w:rPr/>
        <w:t>毛利率变化情况</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331"/>
        <w:gridCol w:w="1378"/>
        <w:gridCol w:w="1419"/>
        <w:gridCol w:w="2509"/>
        <w:gridCol w:w="1610"/>
      </w:tblGrid>
      <w:tr>
        <w:trPr>
          <w:trHeight w:val="348" w:hRule="exact"/>
        </w:trPr>
        <w:tc>
          <w:tcPr>
            <w:tcW w:w="2331" w:type="dxa"/>
            <w:tcBorders>
              <w:top w:val="single" w:sz="17" w:space="0" w:color="000000"/>
              <w:left w:val="single" w:sz="17" w:space="0" w:color="000000"/>
              <w:bottom w:val="single" w:sz="8" w:space="0" w:color="000000"/>
              <w:right w:val="single" w:sz="8" w:space="0" w:color="000000"/>
            </w:tcBorders>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378" w:type="dxa"/>
            <w:tcBorders>
              <w:top w:val="single" w:sz="17" w:space="0" w:color="000000"/>
              <w:left w:val="single" w:sz="8" w:space="0" w:color="000000"/>
              <w:bottom w:val="single" w:sz="8" w:space="0" w:color="000000"/>
              <w:right w:val="single" w:sz="8" w:space="0" w:color="000000"/>
            </w:tcBorders>
          </w:tcPr>
          <w:p>
            <w:pPr>
              <w:pStyle w:val="TableParagraph"/>
              <w:spacing w:line="278" w:lineRule="exact"/>
              <w:ind w:right="33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419" w:type="dxa"/>
            <w:tcBorders>
              <w:top w:val="single" w:sz="17"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509" w:type="dxa"/>
            <w:tcBorders>
              <w:top w:val="single" w:sz="17"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c>
          <w:tcPr>
            <w:tcW w:w="1610" w:type="dxa"/>
            <w:tcBorders>
              <w:top w:val="single" w:sz="17" w:space="0" w:color="000000"/>
              <w:left w:val="single" w:sz="8" w:space="0" w:color="000000"/>
              <w:bottom w:val="single" w:sz="8" w:space="0" w:color="000000"/>
              <w:right w:val="single" w:sz="17" w:space="0" w:color="000000"/>
            </w:tcBorders>
          </w:tcPr>
          <w:p>
            <w:pPr>
              <w:pStyle w:val="TableParagraph"/>
              <w:spacing w:line="278" w:lineRule="exact"/>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36" w:hRule="exact"/>
        </w:trPr>
        <w:tc>
          <w:tcPr>
            <w:tcW w:w="2331" w:type="dxa"/>
            <w:tcBorders>
              <w:top w:val="single" w:sz="8" w:space="0" w:color="000000"/>
              <w:left w:val="single" w:sz="17" w:space="0" w:color="000000"/>
              <w:bottom w:val="single" w:sz="8" w:space="0" w:color="000000"/>
              <w:right w:val="single" w:sz="8" w:space="0" w:color="000000"/>
            </w:tcBorders>
          </w:tcPr>
          <w:p>
            <w:pPr>
              <w:pStyle w:val="TableParagraph"/>
              <w:spacing w:line="278" w:lineRule="exact"/>
              <w:ind w:right="10"/>
              <w:jc w:val="center"/>
              <w:rPr>
                <w:rFonts w:ascii="宋体" w:hAnsi="宋体" w:cs="宋体" w:eastAsia="宋体" w:hint="default"/>
                <w:sz w:val="21"/>
                <w:szCs w:val="21"/>
              </w:rPr>
            </w:pPr>
            <w:r>
              <w:rPr>
                <w:rFonts w:ascii="宋体" w:hAnsi="宋体" w:cs="宋体" w:eastAsia="宋体" w:hint="default"/>
                <w:sz w:val="21"/>
                <w:szCs w:val="21"/>
              </w:rPr>
              <w:t>主营业务毛利率（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350"/>
              <w:jc w:val="right"/>
              <w:rPr>
                <w:rFonts w:ascii="Times New Roman" w:hAnsi="Times New Roman" w:cs="Times New Roman" w:eastAsia="Times New Roman" w:hint="default"/>
                <w:sz w:val="21"/>
                <w:szCs w:val="21"/>
              </w:rPr>
            </w:pPr>
            <w:r>
              <w:rPr>
                <w:rFonts w:ascii="Times New Roman"/>
                <w:sz w:val="21"/>
              </w:rPr>
              <w:t>17.96%</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Times New Roman" w:hAnsi="Times New Roman" w:cs="Times New Roman" w:eastAsia="Times New Roman" w:hint="default"/>
                <w:sz w:val="21"/>
                <w:szCs w:val="21"/>
              </w:rPr>
            </w:pPr>
            <w:r>
              <w:rPr>
                <w:rFonts w:ascii="Times New Roman"/>
                <w:sz w:val="21"/>
              </w:rPr>
              <w:t>16.59%</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61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left="12" w:right="0"/>
              <w:jc w:val="center"/>
              <w:rPr>
                <w:rFonts w:ascii="Times New Roman" w:hAnsi="Times New Roman" w:cs="Times New Roman" w:eastAsia="Times New Roman" w:hint="default"/>
                <w:sz w:val="21"/>
                <w:szCs w:val="21"/>
              </w:rPr>
            </w:pPr>
            <w:r>
              <w:rPr>
                <w:rFonts w:ascii="Times New Roman"/>
                <w:sz w:val="21"/>
              </w:rPr>
              <w:t>15.66%</w:t>
            </w:r>
          </w:p>
        </w:tc>
      </w:tr>
      <w:tr>
        <w:trPr>
          <w:trHeight w:val="334" w:hRule="exact"/>
        </w:trPr>
        <w:tc>
          <w:tcPr>
            <w:tcW w:w="2331" w:type="dxa"/>
            <w:tcBorders>
              <w:top w:val="single" w:sz="8" w:space="0" w:color="000000"/>
              <w:left w:val="single" w:sz="17" w:space="0" w:color="000000"/>
              <w:bottom w:val="single" w:sz="8" w:space="0" w:color="000000"/>
              <w:right w:val="single" w:sz="8" w:space="0" w:color="000000"/>
            </w:tcBorders>
          </w:tcPr>
          <w:p>
            <w:pPr>
              <w:pStyle w:val="TableParagraph"/>
              <w:spacing w:line="279" w:lineRule="exact"/>
              <w:ind w:right="8"/>
              <w:jc w:val="center"/>
              <w:rPr>
                <w:rFonts w:ascii="宋体" w:hAnsi="宋体" w:cs="宋体" w:eastAsia="宋体" w:hint="default"/>
                <w:sz w:val="21"/>
                <w:szCs w:val="21"/>
              </w:rPr>
            </w:pPr>
            <w:r>
              <w:rPr>
                <w:rFonts w:ascii="宋体" w:hAnsi="宋体" w:cs="宋体" w:eastAsia="宋体" w:hint="default"/>
                <w:sz w:val="21"/>
                <w:szCs w:val="21"/>
              </w:rPr>
              <w:t>其他业务率（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402"/>
              <w:jc w:val="right"/>
              <w:rPr>
                <w:rFonts w:ascii="Times New Roman" w:hAnsi="Times New Roman" w:cs="Times New Roman" w:eastAsia="Times New Roman" w:hint="default"/>
                <w:sz w:val="21"/>
                <w:szCs w:val="21"/>
              </w:rPr>
            </w:pPr>
            <w:r>
              <w:rPr>
                <w:rFonts w:ascii="Times New Roman"/>
                <w:sz w:val="21"/>
              </w:rPr>
              <w:t>1.27%</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Times New Roman"/>
                <w:sz w:val="21"/>
              </w:rPr>
              <w:t>1.55%</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79" w:lineRule="exact"/>
              <w:ind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610"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0"/>
              <w:ind w:left="12" w:right="0"/>
              <w:jc w:val="center"/>
              <w:rPr>
                <w:rFonts w:ascii="Times New Roman" w:hAnsi="Times New Roman" w:cs="Times New Roman" w:eastAsia="Times New Roman" w:hint="default"/>
                <w:sz w:val="21"/>
                <w:szCs w:val="21"/>
              </w:rPr>
            </w:pPr>
            <w:r>
              <w:rPr>
                <w:rFonts w:ascii="Times New Roman"/>
                <w:sz w:val="21"/>
              </w:rPr>
              <w:t>2.07%</w:t>
            </w:r>
          </w:p>
        </w:tc>
      </w:tr>
      <w:tr>
        <w:trPr>
          <w:trHeight w:val="348" w:hRule="exact"/>
        </w:trPr>
        <w:tc>
          <w:tcPr>
            <w:tcW w:w="2331" w:type="dxa"/>
            <w:tcBorders>
              <w:top w:val="single" w:sz="8" w:space="0" w:color="000000"/>
              <w:left w:val="single" w:sz="17" w:space="0" w:color="000000"/>
              <w:bottom w:val="single" w:sz="17" w:space="0" w:color="000000"/>
              <w:right w:val="single" w:sz="8" w:space="0" w:color="000000"/>
            </w:tcBorders>
          </w:tcPr>
          <w:p>
            <w:pPr>
              <w:pStyle w:val="TableParagraph"/>
              <w:spacing w:line="278" w:lineRule="exact"/>
              <w:ind w:right="8"/>
              <w:jc w:val="center"/>
              <w:rPr>
                <w:rFonts w:ascii="宋体" w:hAnsi="宋体" w:cs="宋体" w:eastAsia="宋体" w:hint="default"/>
                <w:sz w:val="21"/>
                <w:szCs w:val="21"/>
              </w:rPr>
            </w:pPr>
            <w:r>
              <w:rPr>
                <w:rFonts w:ascii="宋体" w:hAnsi="宋体" w:cs="宋体" w:eastAsia="宋体" w:hint="default"/>
                <w:sz w:val="21"/>
                <w:szCs w:val="21"/>
              </w:rPr>
              <w:t>综合毛利率（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350"/>
              <w:jc w:val="right"/>
              <w:rPr>
                <w:rFonts w:ascii="Times New Roman" w:hAnsi="Times New Roman" w:cs="Times New Roman" w:eastAsia="Times New Roman" w:hint="default"/>
                <w:sz w:val="21"/>
                <w:szCs w:val="21"/>
              </w:rPr>
            </w:pPr>
            <w:r>
              <w:rPr>
                <w:rFonts w:ascii="Times New Roman"/>
                <w:sz w:val="21"/>
              </w:rPr>
              <w:t>19.23%</w:t>
            </w:r>
          </w:p>
        </w:tc>
        <w:tc>
          <w:tcPr>
            <w:tcW w:w="141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0"/>
              <w:jc w:val="center"/>
              <w:rPr>
                <w:rFonts w:ascii="Times New Roman" w:hAnsi="Times New Roman" w:cs="Times New Roman" w:eastAsia="Times New Roman" w:hint="default"/>
                <w:sz w:val="21"/>
                <w:szCs w:val="21"/>
              </w:rPr>
            </w:pPr>
            <w:r>
              <w:rPr>
                <w:rFonts w:ascii="Times New Roman"/>
                <w:sz w:val="21"/>
              </w:rPr>
              <w:t>18.14%</w:t>
            </w:r>
          </w:p>
        </w:tc>
        <w:tc>
          <w:tcPr>
            <w:tcW w:w="2509" w:type="dxa"/>
            <w:tcBorders>
              <w:top w:val="single" w:sz="8" w:space="0" w:color="000000"/>
              <w:left w:val="single" w:sz="8" w:space="0" w:color="000000"/>
              <w:bottom w:val="single" w:sz="17"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610"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32"/>
              <w:ind w:left="12" w:right="0"/>
              <w:jc w:val="center"/>
              <w:rPr>
                <w:rFonts w:ascii="Times New Roman" w:hAnsi="Times New Roman" w:cs="Times New Roman" w:eastAsia="Times New Roman" w:hint="default"/>
                <w:sz w:val="21"/>
                <w:szCs w:val="21"/>
              </w:rPr>
            </w:pPr>
            <w:r>
              <w:rPr>
                <w:rFonts w:ascii="Times New Roman"/>
                <w:sz w:val="21"/>
              </w:rPr>
              <w:t>17.73%</w:t>
            </w:r>
          </w:p>
        </w:tc>
      </w:tr>
    </w:tbl>
    <w:p>
      <w:pPr>
        <w:pStyle w:val="BodyText"/>
        <w:spacing w:line="240" w:lineRule="auto" w:before="79"/>
        <w:ind w:left="720" w:right="1328"/>
        <w:jc w:val="left"/>
      </w:pPr>
      <w:r>
        <w:rPr/>
        <w:t>报告期内，公司实现主营业务毛利率同比提升 </w:t>
      </w:r>
      <w:r>
        <w:rPr>
          <w:rFonts w:ascii="Times New Roman" w:hAnsi="Times New Roman" w:cs="Times New Roman" w:eastAsia="Times New Roman" w:hint="default"/>
        </w:rPr>
        <w:t>1.37</w:t>
      </w:r>
      <w:r>
        <w:rPr>
          <w:rFonts w:ascii="Times New Roman" w:hAnsi="Times New Roman" w:cs="Times New Roman" w:eastAsia="Times New Roman" w:hint="default"/>
          <w:spacing w:val="28"/>
        </w:rPr>
        <w:t> </w:t>
      </w:r>
      <w:r>
        <w:rPr/>
        <w:t>个百分点，其他业务利润率同</w:t>
      </w:r>
    </w:p>
    <w:p>
      <w:pPr>
        <w:pStyle w:val="BodyText"/>
        <w:spacing w:line="240" w:lineRule="auto"/>
        <w:ind w:left="240" w:right="1422"/>
        <w:jc w:val="left"/>
      </w:pPr>
      <w:r>
        <w:rPr/>
        <w:t>比下降</w:t>
      </w:r>
      <w:r>
        <w:rPr>
          <w:spacing w:val="-61"/>
        </w:rPr>
        <w:t> </w:t>
      </w:r>
      <w:r>
        <w:rPr>
          <w:rFonts w:ascii="Times New Roman" w:hAnsi="Times New Roman" w:cs="Times New Roman" w:eastAsia="Times New Roman" w:hint="default"/>
        </w:rPr>
        <w:t>0.28 </w:t>
      </w:r>
      <w:r>
        <w:rPr/>
        <w:t>个百分点，综合毛利率同比增长</w:t>
      </w:r>
      <w:r>
        <w:rPr>
          <w:spacing w:val="-59"/>
        </w:rPr>
        <w:t> </w:t>
      </w:r>
      <w:r>
        <w:rPr>
          <w:rFonts w:ascii="Times New Roman" w:hAnsi="Times New Roman" w:cs="Times New Roman" w:eastAsia="Times New Roman" w:hint="default"/>
        </w:rPr>
        <w:t>1.09 </w:t>
      </w:r>
      <w:r>
        <w:rPr/>
        <w:t>个百分点，主要原因为：</w:t>
      </w:r>
    </w:p>
    <w:p>
      <w:pPr>
        <w:spacing w:line="240" w:lineRule="auto" w:before="7"/>
        <w:rPr>
          <w:rFonts w:ascii="宋体" w:hAnsi="宋体" w:cs="宋体" w:eastAsia="宋体" w:hint="default"/>
          <w:sz w:val="19"/>
          <w:szCs w:val="19"/>
        </w:rPr>
      </w:pPr>
    </w:p>
    <w:p>
      <w:pPr>
        <w:pStyle w:val="BodyText"/>
        <w:spacing w:line="240" w:lineRule="auto" w:before="0"/>
        <w:ind w:left="720" w:right="1422"/>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公司与供应商合作持续深化，并不断创新合作模式，高效整合零供资源。</w:t>
      </w:r>
    </w:p>
    <w:p>
      <w:pPr>
        <w:spacing w:line="240" w:lineRule="auto" w:before="8"/>
        <w:rPr>
          <w:rFonts w:ascii="宋体" w:hAnsi="宋体" w:cs="宋体" w:eastAsia="宋体" w:hint="default"/>
          <w:sz w:val="19"/>
          <w:szCs w:val="19"/>
        </w:rPr>
      </w:pPr>
    </w:p>
    <w:p>
      <w:pPr>
        <w:pStyle w:val="BodyText"/>
        <w:spacing w:line="352" w:lineRule="auto" w:before="0"/>
        <w:ind w:left="240" w:right="1301" w:firstLine="480"/>
        <w:jc w:val="left"/>
      </w:pPr>
      <w:r>
        <w:rPr>
          <w:rFonts w:ascii="Wingdings" w:hAnsi="Wingdings" w:cs="Wingdings" w:eastAsia="Wingdings" w:hint="default"/>
        </w:rPr>
        <w:t></w:t>
      </w:r>
      <w:r>
        <w:rPr>
          <w:rFonts w:ascii="Wingdings" w:hAnsi="Wingdings" w:cs="Wingdings" w:eastAsia="Wingdings" w:hint="default"/>
          <w:spacing w:val="-47"/>
        </w:rPr>
        <w:t></w:t>
      </w:r>
      <w:r>
        <w:rPr>
          <w:rFonts w:ascii="Times New Roman" w:hAnsi="Times New Roman" w:cs="Times New Roman" w:eastAsia="Times New Roman" w:hint="default"/>
          <w:spacing w:val="-47"/>
        </w:rPr>
      </w:r>
      <w:r>
        <w:rPr>
          <w:spacing w:val="-3"/>
        </w:rPr>
        <w:t>运营总部组建后，逐步整合店面零售、市场促销、店面运营、客户服务等职能，</w:t>
      </w:r>
      <w:r>
        <w:rPr/>
        <w:t> </w:t>
      </w:r>
      <w:r>
        <w:rPr>
          <w:spacing w:val="-3"/>
        </w:rPr>
        <w:t>取得一定成效，公司自主销售能力以及各项服务指标均得到改善；通过自有品牌、品牌</w:t>
      </w:r>
      <w:r>
        <w:rPr>
          <w:spacing w:val="-102"/>
        </w:rPr>
        <w:t> </w:t>
      </w:r>
      <w:r>
        <w:rPr>
          <w:spacing w:val="-102"/>
        </w:rPr>
      </w:r>
      <w:r>
        <w:rPr>
          <w:spacing w:val="-3"/>
        </w:rPr>
        <w:t>授权、独家代理、定制包销、产品买断等方式进一步提升自营能力，自主产品销售规模</w:t>
      </w:r>
      <w:r>
        <w:rPr>
          <w:spacing w:val="-97"/>
        </w:rPr>
        <w:t> </w:t>
      </w:r>
      <w:r>
        <w:rPr>
          <w:spacing w:val="-97"/>
        </w:rPr>
      </w:r>
      <w:r>
        <w:rPr/>
        <w:t>较快提升。</w:t>
      </w:r>
    </w:p>
    <w:p>
      <w:pPr>
        <w:pStyle w:val="BodyText"/>
        <w:spacing w:line="240" w:lineRule="auto" w:before="161"/>
        <w:ind w:left="720" w:right="3386"/>
        <w:jc w:val="left"/>
      </w:pPr>
      <w:r>
        <w:rPr/>
        <w:t>（</w:t>
      </w:r>
      <w:r>
        <w:rPr>
          <w:rFonts w:ascii="Times New Roman" w:hAnsi="Times New Roman" w:cs="Times New Roman" w:eastAsia="Times New Roman" w:hint="default"/>
        </w:rPr>
        <w:t>3</w:t>
      </w:r>
      <w:r>
        <w:rPr/>
        <w:t>）三项费用率变化情况</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269"/>
        <w:gridCol w:w="1440"/>
        <w:gridCol w:w="1440"/>
        <w:gridCol w:w="2576"/>
        <w:gridCol w:w="1565"/>
      </w:tblGrid>
      <w:tr>
        <w:trPr>
          <w:trHeight w:val="348" w:hRule="exact"/>
        </w:trPr>
        <w:tc>
          <w:tcPr>
            <w:tcW w:w="2269" w:type="dxa"/>
            <w:tcBorders>
              <w:top w:val="single" w:sz="17" w:space="0" w:color="000000"/>
              <w:left w:val="single" w:sz="17" w:space="0" w:color="000000"/>
              <w:bottom w:val="single" w:sz="8" w:space="0" w:color="000000"/>
              <w:right w:val="single" w:sz="8" w:space="0" w:color="000000"/>
            </w:tcBorders>
          </w:tcPr>
          <w:p>
            <w:pPr>
              <w:pStyle w:val="TableParagraph"/>
              <w:spacing w:line="279" w:lineRule="exact"/>
              <w:ind w:right="13"/>
              <w:jc w:val="center"/>
              <w:rPr>
                <w:rFonts w:ascii="宋体" w:hAnsi="宋体" w:cs="宋体" w:eastAsia="宋体" w:hint="default"/>
                <w:sz w:val="24"/>
                <w:szCs w:val="24"/>
              </w:rPr>
            </w:pPr>
            <w:r>
              <w:rPr>
                <w:rFonts w:ascii="宋体" w:hAnsi="宋体" w:cs="宋体" w:eastAsia="宋体" w:hint="default"/>
                <w:sz w:val="24"/>
                <w:szCs w:val="24"/>
              </w:rPr>
              <w:t>项目</w:t>
            </w:r>
          </w:p>
        </w:tc>
        <w:tc>
          <w:tcPr>
            <w:tcW w:w="1440" w:type="dxa"/>
            <w:tcBorders>
              <w:top w:val="single" w:sz="17" w:space="0" w:color="000000"/>
              <w:left w:val="single" w:sz="8" w:space="0" w:color="000000"/>
              <w:bottom w:val="single" w:sz="8" w:space="0" w:color="000000"/>
              <w:right w:val="single" w:sz="8" w:space="0" w:color="000000"/>
            </w:tcBorders>
          </w:tcPr>
          <w:p>
            <w:pPr>
              <w:pStyle w:val="TableParagraph"/>
              <w:spacing w:line="297" w:lineRule="exact"/>
              <w:ind w:right="324"/>
              <w:jc w:val="righ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p>
        </w:tc>
        <w:tc>
          <w:tcPr>
            <w:tcW w:w="1440" w:type="dxa"/>
            <w:tcBorders>
              <w:top w:val="single" w:sz="17" w:space="0" w:color="000000"/>
              <w:left w:val="single" w:sz="8" w:space="0" w:color="000000"/>
              <w:bottom w:val="single" w:sz="8" w:space="0" w:color="000000"/>
              <w:right w:val="single" w:sz="8" w:space="0" w:color="000000"/>
            </w:tcBorders>
          </w:tcPr>
          <w:p>
            <w:pPr>
              <w:pStyle w:val="TableParagraph"/>
              <w:spacing w:line="294" w:lineRule="exact"/>
              <w:ind w:right="321"/>
              <w:jc w:val="righ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p>
        </w:tc>
        <w:tc>
          <w:tcPr>
            <w:tcW w:w="2576" w:type="dxa"/>
            <w:tcBorders>
              <w:top w:val="single" w:sz="17" w:space="0" w:color="000000"/>
              <w:left w:val="single" w:sz="8" w:space="0" w:color="000000"/>
              <w:bottom w:val="single" w:sz="8" w:space="0" w:color="000000"/>
              <w:right w:val="single" w:sz="8" w:space="0" w:color="000000"/>
            </w:tcBorders>
          </w:tcPr>
          <w:p>
            <w:pPr>
              <w:pStyle w:val="TableParagraph"/>
              <w:spacing w:line="279" w:lineRule="exact"/>
              <w:ind w:right="2"/>
              <w:jc w:val="center"/>
              <w:rPr>
                <w:rFonts w:ascii="宋体" w:hAnsi="宋体" w:cs="宋体" w:eastAsia="宋体" w:hint="default"/>
                <w:sz w:val="24"/>
                <w:szCs w:val="24"/>
              </w:rPr>
            </w:pPr>
            <w:r>
              <w:rPr>
                <w:rFonts w:ascii="宋体" w:hAnsi="宋体" w:cs="宋体" w:eastAsia="宋体" w:hint="default"/>
                <w:sz w:val="24"/>
                <w:szCs w:val="24"/>
              </w:rPr>
              <w:t>增减变化</w:t>
            </w:r>
          </w:p>
        </w:tc>
        <w:tc>
          <w:tcPr>
            <w:tcW w:w="1565" w:type="dxa"/>
            <w:tcBorders>
              <w:top w:val="single" w:sz="17" w:space="0" w:color="000000"/>
              <w:left w:val="single" w:sz="8" w:space="0" w:color="000000"/>
              <w:bottom w:val="single" w:sz="8" w:space="0" w:color="000000"/>
              <w:right w:val="single" w:sz="17" w:space="0" w:color="000000"/>
            </w:tcBorders>
          </w:tcPr>
          <w:p>
            <w:pPr>
              <w:pStyle w:val="TableParagraph"/>
              <w:spacing w:line="281"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36" w:hRule="exact"/>
        </w:trPr>
        <w:tc>
          <w:tcPr>
            <w:tcW w:w="2269" w:type="dxa"/>
            <w:tcBorders>
              <w:top w:val="single" w:sz="8" w:space="0" w:color="000000"/>
              <w:left w:val="single" w:sz="17" w:space="0" w:color="000000"/>
              <w:bottom w:val="single" w:sz="8" w:space="0" w:color="000000"/>
              <w:right w:val="single" w:sz="8" w:space="0" w:color="000000"/>
            </w:tcBorders>
          </w:tcPr>
          <w:p>
            <w:pPr>
              <w:pStyle w:val="TableParagraph"/>
              <w:spacing w:line="265" w:lineRule="exact"/>
              <w:ind w:right="10"/>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381"/>
              <w:jc w:val="right"/>
              <w:rPr>
                <w:rFonts w:ascii="Times New Roman" w:hAnsi="Times New Roman" w:cs="Times New Roman" w:eastAsia="Times New Roman" w:hint="default"/>
                <w:sz w:val="21"/>
                <w:szCs w:val="21"/>
              </w:rPr>
            </w:pPr>
            <w:r>
              <w:rPr>
                <w:rFonts w:ascii="Times New Roman"/>
                <w:sz w:val="21"/>
              </w:rPr>
              <w:t>10.13%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39" w:right="0"/>
              <w:jc w:val="left"/>
              <w:rPr>
                <w:rFonts w:ascii="Times New Roman" w:hAnsi="Times New Roman" w:cs="Times New Roman" w:eastAsia="Times New Roman" w:hint="default"/>
                <w:sz w:val="21"/>
                <w:szCs w:val="21"/>
              </w:rPr>
            </w:pPr>
            <w:r>
              <w:rPr>
                <w:rFonts w:ascii="Times New Roman"/>
                <w:sz w:val="21"/>
              </w:rPr>
              <w:t>9.17%</w:t>
            </w:r>
          </w:p>
        </w:tc>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65"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left="10" w:right="0"/>
              <w:jc w:val="center"/>
              <w:rPr>
                <w:rFonts w:ascii="Times New Roman" w:hAnsi="Times New Roman" w:cs="Times New Roman" w:eastAsia="Times New Roman" w:hint="default"/>
                <w:sz w:val="21"/>
                <w:szCs w:val="21"/>
              </w:rPr>
            </w:pPr>
            <w:r>
              <w:rPr>
                <w:rFonts w:ascii="Times New Roman"/>
                <w:sz w:val="21"/>
              </w:rPr>
              <w:t>9.10%</w:t>
            </w:r>
          </w:p>
        </w:tc>
      </w:tr>
      <w:tr>
        <w:trPr>
          <w:trHeight w:val="336" w:hRule="exact"/>
        </w:trPr>
        <w:tc>
          <w:tcPr>
            <w:tcW w:w="2269"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right="10"/>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39" w:right="0"/>
              <w:jc w:val="left"/>
              <w:rPr>
                <w:rFonts w:ascii="Times New Roman" w:hAnsi="Times New Roman" w:cs="Times New Roman" w:eastAsia="Times New Roman" w:hint="default"/>
                <w:sz w:val="21"/>
                <w:szCs w:val="21"/>
              </w:rPr>
            </w:pPr>
            <w:r>
              <w:rPr>
                <w:rFonts w:ascii="Times New Roman"/>
                <w:sz w:val="21"/>
              </w:rPr>
              <w:t>2.26%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39" w:right="0"/>
              <w:jc w:val="left"/>
              <w:rPr>
                <w:rFonts w:ascii="Times New Roman" w:hAnsi="Times New Roman" w:cs="Times New Roman" w:eastAsia="Times New Roman" w:hint="default"/>
                <w:sz w:val="21"/>
                <w:szCs w:val="21"/>
              </w:rPr>
            </w:pPr>
            <w:r>
              <w:rPr>
                <w:rFonts w:ascii="Times New Roman"/>
                <w:sz w:val="21"/>
              </w:rPr>
              <w:t>1.68%</w:t>
            </w:r>
          </w:p>
        </w:tc>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65"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32"/>
              <w:ind w:left="10" w:right="0"/>
              <w:jc w:val="center"/>
              <w:rPr>
                <w:rFonts w:ascii="Times New Roman" w:hAnsi="Times New Roman" w:cs="Times New Roman" w:eastAsia="Times New Roman" w:hint="default"/>
                <w:sz w:val="21"/>
                <w:szCs w:val="21"/>
              </w:rPr>
            </w:pPr>
            <w:r>
              <w:rPr>
                <w:rFonts w:ascii="Times New Roman"/>
                <w:sz w:val="21"/>
              </w:rPr>
              <w:t>1.60%</w:t>
            </w:r>
          </w:p>
        </w:tc>
      </w:tr>
      <w:tr>
        <w:trPr>
          <w:trHeight w:val="334" w:hRule="exact"/>
        </w:trPr>
        <w:tc>
          <w:tcPr>
            <w:tcW w:w="2269" w:type="dxa"/>
            <w:tcBorders>
              <w:top w:val="single" w:sz="8" w:space="0" w:color="000000"/>
              <w:left w:val="single" w:sz="17" w:space="0" w:color="000000"/>
              <w:bottom w:val="single" w:sz="8" w:space="0" w:color="000000"/>
              <w:right w:val="single" w:sz="8" w:space="0" w:color="000000"/>
            </w:tcBorders>
          </w:tcPr>
          <w:p>
            <w:pPr>
              <w:pStyle w:val="TableParagraph"/>
              <w:spacing w:line="262" w:lineRule="exact"/>
              <w:ind w:right="10"/>
              <w:jc w:val="center"/>
              <w:rPr>
                <w:rFonts w:ascii="宋体" w:hAnsi="宋体" w:cs="宋体" w:eastAsia="宋体" w:hint="default"/>
                <w:sz w:val="21"/>
                <w:szCs w:val="21"/>
              </w:rPr>
            </w:pPr>
            <w:r>
              <w:rPr>
                <w:rFonts w:ascii="宋体" w:hAnsi="宋体" w:cs="宋体" w:eastAsia="宋体" w:hint="default"/>
                <w:sz w:val="21"/>
                <w:szCs w:val="21"/>
              </w:rPr>
              <w:t>财务费用率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402"/>
              <w:jc w:val="right"/>
              <w:rPr>
                <w:rFonts w:ascii="Times New Roman" w:hAnsi="Times New Roman" w:cs="Times New Roman" w:eastAsia="Times New Roman" w:hint="default"/>
                <w:sz w:val="21"/>
                <w:szCs w:val="21"/>
              </w:rPr>
            </w:pPr>
            <w:r>
              <w:rPr>
                <w:rFonts w:ascii="Times New Roman"/>
                <w:spacing w:val="-1"/>
                <w:sz w:val="21"/>
              </w:rPr>
              <w:t>-0.44%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left="403" w:right="0"/>
              <w:jc w:val="left"/>
              <w:rPr>
                <w:rFonts w:ascii="Times New Roman" w:hAnsi="Times New Roman" w:cs="Times New Roman" w:eastAsia="Times New Roman" w:hint="default"/>
                <w:sz w:val="21"/>
                <w:szCs w:val="21"/>
              </w:rPr>
            </w:pPr>
            <w:r>
              <w:rPr>
                <w:rFonts w:ascii="Times New Roman"/>
                <w:sz w:val="21"/>
              </w:rPr>
              <w:t>-0.49%</w:t>
            </w:r>
          </w:p>
        </w:tc>
        <w:tc>
          <w:tcPr>
            <w:tcW w:w="257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65"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9"/>
              <w:ind w:left="10" w:right="0"/>
              <w:jc w:val="center"/>
              <w:rPr>
                <w:rFonts w:ascii="Times New Roman" w:hAnsi="Times New Roman" w:cs="Times New Roman" w:eastAsia="Times New Roman" w:hint="default"/>
                <w:sz w:val="21"/>
                <w:szCs w:val="21"/>
              </w:rPr>
            </w:pPr>
            <w:r>
              <w:rPr>
                <w:rFonts w:ascii="Times New Roman"/>
                <w:sz w:val="21"/>
              </w:rPr>
              <w:t>-0.30%</w:t>
            </w:r>
          </w:p>
        </w:tc>
      </w:tr>
      <w:tr>
        <w:trPr>
          <w:trHeight w:val="351" w:hRule="exact"/>
        </w:trPr>
        <w:tc>
          <w:tcPr>
            <w:tcW w:w="2269" w:type="dxa"/>
            <w:tcBorders>
              <w:top w:val="single" w:sz="8" w:space="0" w:color="000000"/>
              <w:left w:val="single" w:sz="17" w:space="0" w:color="000000"/>
              <w:bottom w:val="single" w:sz="17" w:space="0" w:color="000000"/>
              <w:right w:val="single" w:sz="8" w:space="0" w:color="000000"/>
            </w:tcBorders>
          </w:tcPr>
          <w:p>
            <w:pPr>
              <w:pStyle w:val="TableParagraph"/>
              <w:spacing w:line="263" w:lineRule="exact"/>
              <w:ind w:right="10"/>
              <w:jc w:val="center"/>
              <w:rPr>
                <w:rFonts w:ascii="宋体" w:hAnsi="宋体" w:cs="宋体" w:eastAsia="宋体" w:hint="default"/>
                <w:sz w:val="21"/>
                <w:szCs w:val="21"/>
              </w:rPr>
            </w:pPr>
            <w:r>
              <w:rPr>
                <w:rFonts w:ascii="宋体" w:hAnsi="宋体" w:cs="宋体" w:eastAsia="宋体" w:hint="default"/>
                <w:sz w:val="21"/>
                <w:szCs w:val="21"/>
              </w:rPr>
              <w:t>三项费用率</w:t>
            </w:r>
          </w:p>
        </w:tc>
        <w:tc>
          <w:tcPr>
            <w:tcW w:w="14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386"/>
              <w:jc w:val="right"/>
              <w:rPr>
                <w:rFonts w:ascii="Times New Roman" w:hAnsi="Times New Roman" w:cs="Times New Roman" w:eastAsia="Times New Roman" w:hint="default"/>
                <w:sz w:val="21"/>
                <w:szCs w:val="21"/>
              </w:rPr>
            </w:pPr>
            <w:r>
              <w:rPr>
                <w:rFonts w:ascii="Times New Roman"/>
                <w:spacing w:val="-2"/>
                <w:sz w:val="21"/>
              </w:rPr>
              <w:t>11.95%</w:t>
            </w:r>
          </w:p>
        </w:tc>
        <w:tc>
          <w:tcPr>
            <w:tcW w:w="14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381"/>
              <w:jc w:val="right"/>
              <w:rPr>
                <w:rFonts w:ascii="Times New Roman" w:hAnsi="Times New Roman" w:cs="Times New Roman" w:eastAsia="Times New Roman" w:hint="default"/>
                <w:sz w:val="21"/>
                <w:szCs w:val="21"/>
              </w:rPr>
            </w:pPr>
            <w:r>
              <w:rPr>
                <w:rFonts w:ascii="Times New Roman"/>
                <w:sz w:val="21"/>
              </w:rPr>
              <w:t>10.36%</w:t>
            </w:r>
          </w:p>
        </w:tc>
        <w:tc>
          <w:tcPr>
            <w:tcW w:w="2576" w:type="dxa"/>
            <w:tcBorders>
              <w:top w:val="single" w:sz="8" w:space="0" w:color="000000"/>
              <w:left w:val="single" w:sz="8" w:space="0" w:color="000000"/>
              <w:bottom w:val="single" w:sz="17" w:space="0" w:color="000000"/>
              <w:right w:val="single" w:sz="8" w:space="0" w:color="000000"/>
            </w:tcBorders>
          </w:tcPr>
          <w:p>
            <w:pPr>
              <w:pStyle w:val="TableParagraph"/>
              <w:spacing w:line="279"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65"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32"/>
              <w:ind w:left="10" w:right="0"/>
              <w:jc w:val="center"/>
              <w:rPr>
                <w:rFonts w:ascii="Times New Roman" w:hAnsi="Times New Roman" w:cs="Times New Roman" w:eastAsia="Times New Roman" w:hint="default"/>
                <w:sz w:val="21"/>
                <w:szCs w:val="21"/>
              </w:rPr>
            </w:pPr>
            <w:r>
              <w:rPr>
                <w:rFonts w:ascii="Times New Roman"/>
                <w:sz w:val="21"/>
              </w:rPr>
              <w:t>10.40%</w:t>
            </w:r>
          </w:p>
        </w:tc>
      </w:tr>
    </w:tbl>
    <w:p>
      <w:pPr>
        <w:pStyle w:val="BodyText"/>
        <w:spacing w:line="291" w:lineRule="exact" w:before="0"/>
        <w:ind w:left="780" w:right="0"/>
        <w:jc w:val="left"/>
      </w:pPr>
      <w:r>
        <w:rPr>
          <w:rFonts w:ascii="Wingdings" w:hAnsi="Wingdings" w:cs="Wingdings" w:eastAsia="Wingdings" w:hint="default"/>
        </w:rPr>
        <w:t></w:t>
      </w:r>
      <w:r>
        <w:rPr>
          <w:rFonts w:ascii="Wingdings" w:hAnsi="Wingdings" w:cs="Wingdings" w:eastAsia="Wingdings" w:hint="default"/>
          <w:spacing w:val="-110"/>
        </w:rPr>
        <w:t></w:t>
      </w:r>
      <w:r>
        <w:rPr>
          <w:rFonts w:ascii="Times New Roman" w:hAnsi="Times New Roman" w:cs="Times New Roman" w:eastAsia="Times New Roman" w:hint="default"/>
          <w:spacing w:val="-110"/>
        </w:rPr>
      </w:r>
      <w:r>
        <w:rPr>
          <w:spacing w:val="-3"/>
        </w:rPr>
        <w:t>报告期内，公司连锁网络规模进一步扩大，受物价上涨影响，新开店成本上升；</w:t>
      </w:r>
    </w:p>
    <w:p>
      <w:pPr>
        <w:pStyle w:val="BodyText"/>
        <w:spacing w:line="357" w:lineRule="auto" w:before="137"/>
        <w:ind w:left="240" w:right="1435"/>
        <w:jc w:val="both"/>
      </w:pPr>
      <w:r>
        <w:rPr>
          <w:spacing w:val="-3"/>
        </w:rPr>
        <w:t>同时公司还实施一系列薪酬调整举措提升人均薪资水平，改善团队待遇，并提前储备较</w:t>
      </w:r>
      <w:r>
        <w:rPr>
          <w:spacing w:val="-99"/>
        </w:rPr>
        <w:t> </w:t>
      </w:r>
      <w:r>
        <w:rPr>
          <w:spacing w:val="-99"/>
        </w:rPr>
      </w:r>
      <w:r>
        <w:rPr>
          <w:spacing w:val="-3"/>
        </w:rPr>
        <w:t>多人员，由此带来人员费用增长较快；此外随着资产规模扩大，相关资产折旧及摊销有</w:t>
      </w:r>
      <w:r>
        <w:rPr>
          <w:spacing w:val="-101"/>
        </w:rPr>
        <w:t> </w:t>
      </w:r>
      <w:r>
        <w:rPr>
          <w:spacing w:val="-101"/>
        </w:rPr>
      </w:r>
      <w:r>
        <w:rPr>
          <w:spacing w:val="-3"/>
        </w:rPr>
        <w:t>所增加。另一方面，一级市场及部分发达的二级市场增长放缓，边际效应有所下降，此</w:t>
      </w:r>
      <w:r>
        <w:rPr>
          <w:spacing w:val="-98"/>
        </w:rPr>
        <w:t> </w:t>
      </w:r>
      <w:r>
        <w:rPr>
          <w:spacing w:val="-98"/>
        </w:rPr>
      </w:r>
      <w:r>
        <w:rPr/>
        <w:t>外二、三级市场尚处于投入期，也一定程度影响了公司的费率水平。</w:t>
      </w:r>
    </w:p>
    <w:p>
      <w:pPr>
        <w:pStyle w:val="BodyText"/>
        <w:spacing w:line="240" w:lineRule="auto" w:before="36"/>
        <w:ind w:left="720" w:right="1422"/>
        <w:jc w:val="left"/>
      </w:pPr>
      <w:r>
        <w:rPr/>
        <w:t>综上，报告期内，公司管理费用率、销售费用率同比上升了</w:t>
      </w:r>
      <w:r>
        <w:rPr>
          <w:spacing w:val="-60"/>
        </w:rPr>
        <w:t> </w:t>
      </w:r>
      <w:r>
        <w:rPr>
          <w:rFonts w:ascii="Times New Roman" w:hAnsi="Times New Roman" w:cs="Times New Roman" w:eastAsia="Times New Roman" w:hint="default"/>
        </w:rPr>
        <w:t>1.54 </w:t>
      </w:r>
      <w:r>
        <w:rPr/>
        <w:t>个百分点。</w:t>
      </w:r>
    </w:p>
    <w:p>
      <w:pPr>
        <w:pStyle w:val="BodyText"/>
        <w:spacing w:line="348" w:lineRule="auto" w:before="136"/>
        <w:ind w:left="240" w:right="1437" w:firstLine="540"/>
        <w:jc w:val="both"/>
      </w:pPr>
      <w:r>
        <w:rPr>
          <w:rFonts w:ascii="Wingdings" w:hAnsi="Wingdings" w:cs="Wingdings" w:eastAsia="Wingdings" w:hint="default"/>
        </w:rPr>
        <w:t></w:t>
      </w:r>
      <w:r>
        <w:rPr>
          <w:rFonts w:ascii="Wingdings" w:hAnsi="Wingdings" w:cs="Wingdings" w:eastAsia="Wingdings" w:hint="default"/>
          <w:spacing w:val="-98"/>
        </w:rPr>
        <w:t></w:t>
      </w:r>
      <w:r>
        <w:rPr>
          <w:rFonts w:ascii="Times New Roman" w:hAnsi="Times New Roman" w:cs="Times New Roman" w:eastAsia="Times New Roman" w:hint="default"/>
          <w:spacing w:val="-98"/>
        </w:rPr>
      </w:r>
      <w:r>
        <w:rPr/>
        <w:t>报告期内，公司继续通过合理制定资金计划，提高资金使用效率，并进一步加 </w:t>
      </w:r>
      <w:r>
        <w:rPr>
          <w:spacing w:val="-3"/>
        </w:rPr>
        <w:t>强银企合作，同时较多采用银行承兑汇票的方式支付供应商货款，相应的银行货币资金</w:t>
      </w:r>
      <w:r>
        <w:rPr>
          <w:spacing w:val="-98"/>
        </w:rPr>
        <w:t> </w:t>
      </w:r>
      <w:r>
        <w:rPr>
          <w:spacing w:val="-98"/>
        </w:rPr>
      </w:r>
      <w:r>
        <w:rPr/>
        <w:t>规模增大，带来资金利息收入有所增加。财务费用率与上年同期基本持平。</w:t>
      </w:r>
    </w:p>
    <w:p>
      <w:pPr>
        <w:pStyle w:val="BodyText"/>
        <w:spacing w:line="240" w:lineRule="auto" w:before="80"/>
        <w:ind w:left="240" w:right="0"/>
        <w:jc w:val="both"/>
        <w:rPr>
          <w:rFonts w:ascii="Times New Roman" w:hAnsi="Times New Roman" w:cs="Times New Roman" w:eastAsia="Times New Roman" w:hint="default"/>
        </w:rPr>
      </w:pPr>
      <w:r>
        <w:rPr>
          <w:rFonts w:ascii="Times New Roman" w:hAnsi="Times New Roman" w:cs="Times New Roman" w:eastAsia="Times New Roman" w:hint="default"/>
          <w:w w:val="77"/>
        </w:rPr>
        <w:t></w:t>
      </w:r>
      <w:r>
        <w:rPr>
          <w:rFonts w:ascii="Times New Roman" w:hAnsi="Times New Roman" w:cs="Times New Roman" w:eastAsia="Times New Roman" w:hint="default"/>
        </w:rPr>
      </w:r>
    </w:p>
    <w:p>
      <w:pPr>
        <w:spacing w:after="0" w:line="240" w:lineRule="auto"/>
        <w:jc w:val="both"/>
        <w:rPr>
          <w:rFonts w:ascii="Times New Roman" w:hAnsi="Times New Roman" w:cs="Times New Roman" w:eastAsia="Times New Roman" w:hint="default"/>
        </w:rPr>
        <w:sectPr>
          <w:pgSz w:w="11910" w:h="16840"/>
          <w:pgMar w:header="748" w:footer="706" w:top="980" w:bottom="900" w:left="120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60312" type="#_x0000_t75" stroked="false">
            <v:imagedata r:id="rId21" o:title=""/>
          </v:shape>
        </w:pict>
      </w:r>
    </w:p>
    <w:p>
      <w:pPr>
        <w:pStyle w:val="BodyText"/>
        <w:spacing w:line="314" w:lineRule="auto" w:before="181"/>
        <w:ind w:left="720" w:right="1316"/>
        <w:jc w:val="left"/>
      </w:pPr>
      <w:r>
        <w:rPr/>
        <w:t>（</w:t>
      </w:r>
      <w:r>
        <w:rPr>
          <w:rFonts w:ascii="Times New Roman" w:hAnsi="Times New Roman" w:cs="Times New Roman" w:eastAsia="Times New Roman" w:hint="default"/>
        </w:rPr>
        <w:t>4</w:t>
      </w:r>
      <w:r>
        <w:rPr/>
        <w:t>）归属于上市公司股东的净利润变化情况 </w:t>
      </w:r>
      <w:r>
        <w:rPr>
          <w:spacing w:val="-6"/>
        </w:rPr>
        <w:t>鉴于上述（</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3</w:t>
      </w:r>
      <w:r>
        <w:rPr>
          <w:spacing w:val="-6"/>
        </w:rPr>
        <w:t>）项，报告期内，公司综合经营质量继续保持持续稳定的增长，</w:t>
      </w:r>
    </w:p>
    <w:p>
      <w:pPr>
        <w:pStyle w:val="BodyText"/>
        <w:spacing w:line="314" w:lineRule="auto" w:before="22"/>
        <w:ind w:left="720" w:right="4849" w:hanging="480"/>
        <w:jc w:val="left"/>
      </w:pPr>
      <w:r>
        <w:rPr/>
        <w:t>实现归属于上市公司股东的净利润同比增长</w:t>
      </w:r>
      <w:r>
        <w:rPr>
          <w:spacing w:val="-61"/>
        </w:rPr>
        <w:t> </w:t>
      </w:r>
      <w:r>
        <w:rPr>
          <w:rFonts w:ascii="Times New Roman" w:hAnsi="Times New Roman" w:cs="Times New Roman" w:eastAsia="Times New Roman" w:hint="default"/>
        </w:rPr>
        <w:t>20.16%</w:t>
      </w:r>
      <w:r>
        <w:rPr/>
        <w:t>。 </w:t>
      </w:r>
      <w:r>
        <w:rPr>
          <w:rFonts w:ascii="Times New Roman" w:hAnsi="Times New Roman" w:cs="Times New Roman" w:eastAsia="Times New Roman" w:hint="default"/>
        </w:rPr>
        <w:t>2</w:t>
      </w:r>
      <w:r>
        <w:rPr/>
        <w:t>、主营业务情况分析</w:t>
      </w:r>
    </w:p>
    <w:p>
      <w:pPr>
        <w:pStyle w:val="BodyText"/>
        <w:spacing w:line="314" w:lineRule="auto" w:before="22"/>
        <w:ind w:left="240" w:right="1422" w:firstLine="480"/>
        <w:jc w:val="left"/>
      </w:pPr>
      <w:r>
        <w:rPr/>
        <w:t>（</w:t>
      </w:r>
      <w:r>
        <w:rPr>
          <w:rFonts w:ascii="Times New Roman" w:hAnsi="Times New Roman" w:cs="Times New Roman" w:eastAsia="Times New Roman" w:hint="default"/>
        </w:rPr>
        <w:t>1</w:t>
      </w:r>
      <w:r>
        <w:rPr/>
        <w:t>）报告期内公司主营业务范围为：家用电器及消费类电子产品的销售和服务， 未发生变更。</w:t>
      </w:r>
    </w:p>
    <w:p>
      <w:pPr>
        <w:pStyle w:val="BodyText"/>
        <w:tabs>
          <w:tab w:pos="7681" w:val="left" w:leader="none"/>
        </w:tabs>
        <w:spacing w:line="240" w:lineRule="auto" w:before="48"/>
        <w:ind w:left="720" w:right="1422"/>
        <w:jc w:val="left"/>
        <w:rPr>
          <w:sz w:val="21"/>
          <w:szCs w:val="21"/>
        </w:rPr>
      </w:pPr>
      <w:r>
        <w:rPr>
          <w:spacing w:val="-1"/>
        </w:rPr>
        <w:t>（</w:t>
      </w:r>
      <w:r>
        <w:rPr>
          <w:rFonts w:ascii="Times New Roman" w:hAnsi="Times New Roman" w:cs="Times New Roman" w:eastAsia="Times New Roman" w:hint="default"/>
          <w:spacing w:val="-1"/>
        </w:rPr>
        <w:t>2</w:t>
      </w:r>
      <w:r>
        <w:rPr>
          <w:spacing w:val="-1"/>
        </w:rPr>
        <w:t>）报告期内公司主营业务收入、主营业务利润的构成情况</w:t>
        <w:tab/>
      </w:r>
      <w:r>
        <w:rPr>
          <w:spacing w:val="-1"/>
          <w:sz w:val="21"/>
          <w:szCs w:val="21"/>
        </w:rPr>
        <w:t>（单位：千元）</w:t>
      </w:r>
    </w:p>
    <w:p>
      <w:pPr>
        <w:pStyle w:val="BodyText"/>
        <w:spacing w:line="240" w:lineRule="auto" w:before="105"/>
        <w:ind w:left="720" w:right="3386"/>
        <w:jc w:val="left"/>
      </w:pPr>
      <w:r>
        <w:rPr>
          <w:rFonts w:ascii="Times New Roman" w:hAnsi="Times New Roman" w:cs="Times New Roman" w:eastAsia="Times New Roman" w:hint="default"/>
        </w:rPr>
        <w:t>A</w:t>
      </w:r>
      <w:r>
        <w:rPr/>
        <w:t>、主营业务分行业、产品情况表：</w:t>
      </w:r>
    </w:p>
    <w:p>
      <w:pPr>
        <w:spacing w:line="240" w:lineRule="auto" w:before="1"/>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610"/>
        <w:gridCol w:w="1289"/>
        <w:gridCol w:w="1301"/>
        <w:gridCol w:w="927"/>
        <w:gridCol w:w="1118"/>
        <w:gridCol w:w="1112"/>
        <w:gridCol w:w="1889"/>
      </w:tblGrid>
      <w:tr>
        <w:trPr>
          <w:trHeight w:val="994" w:hRule="exact"/>
        </w:trPr>
        <w:tc>
          <w:tcPr>
            <w:tcW w:w="1610"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8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424" w:right="212" w:hanging="212"/>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30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429" w:right="216" w:hanging="209"/>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927"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122"/>
              <w:ind w:left="98" w:right="-12" w:firstLine="40"/>
              <w:jc w:val="left"/>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w w:val="100"/>
                <w:sz w:val="21"/>
                <w:szCs w:val="21"/>
              </w:rPr>
              <w:t> </w:t>
            </w:r>
            <w:r>
              <w:rPr>
                <w:rFonts w:ascii="宋体" w:hAnsi="宋体" w:cs="宋体" w:eastAsia="宋体" w:hint="default"/>
                <w:sz w:val="21"/>
                <w:szCs w:val="21"/>
              </w:rPr>
              <w:t>务毛利</w:t>
            </w:r>
            <w:r>
              <w:rPr>
                <w:rFonts w:ascii="宋体" w:hAnsi="宋体" w:cs="宋体" w:eastAsia="宋体" w:hint="default"/>
                <w:spacing w:val="-102"/>
                <w:sz w:val="21"/>
                <w:szCs w:val="21"/>
              </w:rPr>
              <w:t> </w:t>
            </w:r>
            <w:r>
              <w:rPr>
                <w:rFonts w:ascii="宋体" w:hAnsi="宋体" w:cs="宋体" w:eastAsia="宋体" w:hint="default"/>
                <w:spacing w:val="-7"/>
                <w:sz w:val="21"/>
                <w:szCs w:val="21"/>
              </w:rPr>
              <w:t>率（％）</w:t>
            </w:r>
          </w:p>
        </w:tc>
        <w:tc>
          <w:tcPr>
            <w:tcW w:w="1118"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2"/>
              <w:ind w:left="127" w:right="127"/>
              <w:jc w:val="both"/>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收入比上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112" w:type="dxa"/>
            <w:tcBorders>
              <w:top w:val="single" w:sz="17" w:space="0" w:color="000000"/>
              <w:left w:val="single" w:sz="8" w:space="0" w:color="000000"/>
              <w:bottom w:val="single" w:sz="8" w:space="0" w:color="000000"/>
              <w:right w:val="single" w:sz="8" w:space="0" w:color="000000"/>
            </w:tcBorders>
          </w:tcPr>
          <w:p>
            <w:pPr>
              <w:pStyle w:val="TableParagraph"/>
              <w:spacing w:line="240" w:lineRule="exact" w:before="2"/>
              <w:ind w:left="127" w:right="120"/>
              <w:jc w:val="both"/>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成本比上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889"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199" w:right="182"/>
              <w:jc w:val="left"/>
              <w:rPr>
                <w:rFonts w:ascii="宋体" w:hAnsi="宋体" w:cs="宋体" w:eastAsia="宋体" w:hint="default"/>
                <w:sz w:val="21"/>
                <w:szCs w:val="21"/>
              </w:rPr>
            </w:pPr>
            <w:r>
              <w:rPr>
                <w:rFonts w:ascii="宋体" w:hAnsi="宋体" w:cs="宋体" w:eastAsia="宋体" w:hint="default"/>
                <w:sz w:val="21"/>
                <w:szCs w:val="21"/>
              </w:rPr>
              <w:t>主营业务毛利率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比上年同期增减</w:t>
            </w:r>
          </w:p>
        </w:tc>
      </w:tr>
      <w:tr>
        <w:trPr>
          <w:trHeight w:val="307" w:hRule="exact"/>
        </w:trPr>
        <w:tc>
          <w:tcPr>
            <w:tcW w:w="1610" w:type="dxa"/>
            <w:tcBorders>
              <w:top w:val="single" w:sz="8" w:space="0" w:color="000000"/>
              <w:left w:val="single" w:sz="17" w:space="0" w:color="000000"/>
              <w:bottom w:val="single" w:sz="17" w:space="0" w:color="000000"/>
              <w:right w:val="single" w:sz="8"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零售业（注）</w:t>
            </w:r>
          </w:p>
        </w:tc>
        <w:tc>
          <w:tcPr>
            <w:tcW w:w="128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
              <w:ind w:left="160" w:right="0"/>
              <w:jc w:val="left"/>
              <w:rPr>
                <w:rFonts w:ascii="Times New Roman" w:hAnsi="Times New Roman" w:cs="Times New Roman" w:eastAsia="Times New Roman" w:hint="default"/>
                <w:sz w:val="21"/>
                <w:szCs w:val="21"/>
              </w:rPr>
            </w:pPr>
            <w:r>
              <w:rPr>
                <w:rFonts w:ascii="Times New Roman"/>
                <w:sz w:val="21"/>
              </w:rPr>
              <w:t>92,465,377</w:t>
            </w:r>
          </w:p>
        </w:tc>
        <w:tc>
          <w:tcPr>
            <w:tcW w:w="130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
              <w:ind w:left="168" w:right="0"/>
              <w:jc w:val="left"/>
              <w:rPr>
                <w:rFonts w:ascii="Times New Roman" w:hAnsi="Times New Roman" w:cs="Times New Roman" w:eastAsia="Times New Roman" w:hint="default"/>
                <w:sz w:val="21"/>
                <w:szCs w:val="21"/>
              </w:rPr>
            </w:pPr>
            <w:r>
              <w:rPr>
                <w:rFonts w:ascii="Times New Roman"/>
                <w:sz w:val="21"/>
              </w:rPr>
              <w:t>75,855,609</w:t>
            </w:r>
          </w:p>
        </w:tc>
        <w:tc>
          <w:tcPr>
            <w:tcW w:w="92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17.96%</w:t>
            </w:r>
          </w:p>
        </w:tc>
        <w:tc>
          <w:tcPr>
            <w:tcW w:w="111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
              <w:ind w:left="223" w:right="0"/>
              <w:jc w:val="left"/>
              <w:rPr>
                <w:rFonts w:ascii="Times New Roman" w:hAnsi="Times New Roman" w:cs="Times New Roman" w:eastAsia="Times New Roman" w:hint="default"/>
                <w:sz w:val="21"/>
                <w:szCs w:val="21"/>
              </w:rPr>
            </w:pPr>
            <w:r>
              <w:rPr>
                <w:rFonts w:ascii="Times New Roman"/>
                <w:sz w:val="21"/>
              </w:rPr>
              <w:t>24.57%</w:t>
            </w:r>
          </w:p>
        </w:tc>
        <w:tc>
          <w:tcPr>
            <w:tcW w:w="111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0"/>
              <w:ind w:left="223" w:right="0"/>
              <w:jc w:val="left"/>
              <w:rPr>
                <w:rFonts w:ascii="Times New Roman" w:hAnsi="Times New Roman" w:cs="Times New Roman" w:eastAsia="Times New Roman" w:hint="default"/>
                <w:sz w:val="21"/>
                <w:szCs w:val="21"/>
              </w:rPr>
            </w:pPr>
            <w:r>
              <w:rPr>
                <w:rFonts w:ascii="Times New Roman"/>
                <w:sz w:val="21"/>
              </w:rPr>
              <w:t>22.51%</w:t>
            </w:r>
          </w:p>
        </w:tc>
        <w:tc>
          <w:tcPr>
            <w:tcW w:w="1889" w:type="dxa"/>
            <w:tcBorders>
              <w:top w:val="single" w:sz="8" w:space="0" w:color="000000"/>
              <w:left w:val="single" w:sz="8" w:space="0" w:color="000000"/>
              <w:bottom w:val="single" w:sz="17" w:space="0" w:color="000000"/>
              <w:right w:val="single" w:sz="17" w:space="0" w:color="000000"/>
            </w:tcBorders>
          </w:tcPr>
          <w:p>
            <w:pPr>
              <w:pStyle w:val="TableParagraph"/>
              <w:spacing w:line="257" w:lineRule="exact"/>
              <w:ind w:left="119" w:right="0"/>
              <w:jc w:val="left"/>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1.37</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bl>
    <w:p>
      <w:pPr>
        <w:spacing w:line="257" w:lineRule="exact" w:before="0"/>
        <w:ind w:left="780" w:right="3386" w:firstLine="0"/>
        <w:jc w:val="left"/>
        <w:rPr>
          <w:rFonts w:ascii="宋体" w:hAnsi="宋体" w:cs="宋体" w:eastAsia="宋体" w:hint="default"/>
          <w:sz w:val="21"/>
          <w:szCs w:val="21"/>
        </w:rPr>
      </w:pPr>
      <w:r>
        <w:rPr>
          <w:rFonts w:ascii="宋体" w:hAnsi="宋体" w:cs="宋体" w:eastAsia="宋体" w:hint="default"/>
          <w:sz w:val="21"/>
          <w:szCs w:val="21"/>
        </w:rPr>
        <w:t>注：报告期内公司向关联方销售商品实现主营业务收入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4,233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千元。</w:t>
      </w:r>
    </w:p>
    <w:tbl>
      <w:tblPr>
        <w:tblW w:w="0" w:type="auto"/>
        <w:jc w:val="left"/>
        <w:tblInd w:w="118" w:type="dxa"/>
        <w:tblLayout w:type="fixed"/>
        <w:tblCellMar>
          <w:top w:w="0" w:type="dxa"/>
          <w:left w:w="0" w:type="dxa"/>
          <w:bottom w:w="0" w:type="dxa"/>
          <w:right w:w="0" w:type="dxa"/>
        </w:tblCellMar>
        <w:tblLook w:val="01E0"/>
      </w:tblPr>
      <w:tblGrid>
        <w:gridCol w:w="1560"/>
        <w:gridCol w:w="1268"/>
        <w:gridCol w:w="1267"/>
        <w:gridCol w:w="1054"/>
        <w:gridCol w:w="1080"/>
        <w:gridCol w:w="1081"/>
        <w:gridCol w:w="1937"/>
      </w:tblGrid>
      <w:tr>
        <w:trPr>
          <w:trHeight w:val="1114" w:hRule="exact"/>
        </w:trPr>
        <w:tc>
          <w:tcPr>
            <w:tcW w:w="156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2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17" w:right="152" w:hanging="156"/>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17" w:right="151" w:hanging="156"/>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7"/>
              <w:ind w:left="203" w:right="204"/>
              <w:jc w:val="center"/>
              <w:rPr>
                <w:rFonts w:ascii="宋体" w:hAnsi="宋体" w:cs="宋体" w:eastAsia="宋体" w:hint="default"/>
                <w:sz w:val="21"/>
                <w:szCs w:val="21"/>
              </w:rPr>
            </w:pPr>
            <w:r>
              <w:rPr>
                <w:rFonts w:ascii="宋体" w:hAnsi="宋体" w:cs="宋体" w:eastAsia="宋体" w:hint="default"/>
                <w:sz w:val="21"/>
                <w:szCs w:val="21"/>
              </w:rPr>
              <w:t>主营业</w:t>
            </w:r>
            <w:r>
              <w:rPr>
                <w:rFonts w:ascii="宋体" w:hAnsi="宋体" w:cs="宋体" w:eastAsia="宋体" w:hint="default"/>
                <w:w w:val="100"/>
                <w:sz w:val="21"/>
                <w:szCs w:val="21"/>
              </w:rPr>
              <w:t> </w:t>
            </w:r>
            <w:r>
              <w:rPr>
                <w:rFonts w:ascii="宋体" w:hAnsi="宋体" w:cs="宋体" w:eastAsia="宋体" w:hint="default"/>
                <w:sz w:val="21"/>
                <w:szCs w:val="21"/>
              </w:rPr>
              <w:t>务毛利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115"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37" w:lineRule="auto" w:before="2"/>
              <w:ind w:left="103" w:right="17" w:firstLine="12"/>
              <w:jc w:val="both"/>
              <w:rPr>
                <w:rFonts w:ascii="宋体" w:hAnsi="宋体" w:cs="宋体" w:eastAsia="宋体" w:hint="default"/>
                <w:sz w:val="21"/>
                <w:szCs w:val="21"/>
              </w:rPr>
            </w:pPr>
            <w:r>
              <w:rPr>
                <w:rFonts w:ascii="宋体" w:hAnsi="宋体" w:cs="宋体" w:eastAsia="宋体" w:hint="default"/>
                <w:sz w:val="21"/>
                <w:szCs w:val="21"/>
              </w:rPr>
              <w:t>收入比上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pacing w:val="1"/>
                <w:sz w:val="21"/>
                <w:szCs w:val="21"/>
              </w:rPr>
              <w:t> </w:t>
            </w:r>
            <w:r>
              <w:rPr>
                <w:rFonts w:ascii="宋体" w:hAnsi="宋体" w:cs="宋体" w:eastAsia="宋体" w:hint="default"/>
                <w:sz w:val="21"/>
                <w:szCs w:val="21"/>
              </w:rPr>
              <w:t>（％）</w:t>
            </w: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115"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37" w:lineRule="auto" w:before="2"/>
              <w:ind w:left="112" w:right="111" w:firstLine="2"/>
              <w:jc w:val="both"/>
              <w:rPr>
                <w:rFonts w:ascii="宋体" w:hAnsi="宋体" w:cs="宋体" w:eastAsia="宋体" w:hint="default"/>
                <w:sz w:val="21"/>
                <w:szCs w:val="21"/>
              </w:rPr>
            </w:pPr>
            <w:r>
              <w:rPr>
                <w:rFonts w:ascii="宋体" w:hAnsi="宋体" w:cs="宋体" w:eastAsia="宋体" w:hint="default"/>
                <w:sz w:val="21"/>
                <w:szCs w:val="21"/>
              </w:rPr>
              <w:t>成本比上</w:t>
            </w:r>
            <w:r>
              <w:rPr>
                <w:rFonts w:ascii="宋体" w:hAnsi="宋体" w:cs="宋体" w:eastAsia="宋体" w:hint="default"/>
                <w:w w:val="100"/>
                <w:sz w:val="21"/>
                <w:szCs w:val="21"/>
              </w:rPr>
              <w:t> </w:t>
            </w: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93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331" w:right="110" w:hanging="209"/>
              <w:jc w:val="left"/>
              <w:rPr>
                <w:rFonts w:ascii="宋体" w:hAnsi="宋体" w:cs="宋体" w:eastAsia="宋体" w:hint="default"/>
                <w:sz w:val="21"/>
                <w:szCs w:val="21"/>
              </w:rPr>
            </w:pPr>
            <w:r>
              <w:rPr>
                <w:rFonts w:ascii="宋体" w:hAnsi="宋体" w:cs="宋体" w:eastAsia="宋体" w:hint="default"/>
                <w:sz w:val="21"/>
                <w:szCs w:val="21"/>
              </w:rPr>
              <w:t>主营业务毛利率比</w:t>
            </w:r>
            <w:r>
              <w:rPr>
                <w:rFonts w:ascii="宋体" w:hAnsi="宋体" w:cs="宋体" w:eastAsia="宋体" w:hint="default"/>
                <w:w w:val="100"/>
                <w:sz w:val="21"/>
                <w:szCs w:val="21"/>
              </w:rPr>
              <w:t> </w:t>
            </w:r>
            <w:r>
              <w:rPr>
                <w:rFonts w:ascii="宋体" w:hAnsi="宋体" w:cs="宋体" w:eastAsia="宋体" w:hint="default"/>
                <w:sz w:val="21"/>
                <w:szCs w:val="21"/>
              </w:rPr>
              <w:t>上年同期增减</w:t>
            </w:r>
          </w:p>
        </w:tc>
      </w:tr>
      <w:tr>
        <w:trPr>
          <w:trHeight w:val="55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19"/>
                <w:sz w:val="21"/>
                <w:szCs w:val="21"/>
              </w:rPr>
              <w:t>彩电、音像、碟</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23,696,928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18,776,020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4"/>
              <w:jc w:val="right"/>
              <w:rPr>
                <w:rFonts w:ascii="Times New Roman" w:hAnsi="Times New Roman" w:cs="Times New Roman" w:eastAsia="Times New Roman" w:hint="default"/>
                <w:sz w:val="21"/>
                <w:szCs w:val="21"/>
              </w:rPr>
            </w:pPr>
            <w:r>
              <w:rPr>
                <w:rFonts w:ascii="Times New Roman"/>
                <w:sz w:val="21"/>
              </w:rPr>
              <w:t>20.77%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1" w:right="0"/>
              <w:jc w:val="left"/>
              <w:rPr>
                <w:rFonts w:ascii="Times New Roman" w:hAnsi="Times New Roman" w:cs="Times New Roman" w:eastAsia="Times New Roman" w:hint="default"/>
                <w:sz w:val="21"/>
                <w:szCs w:val="21"/>
              </w:rPr>
            </w:pPr>
            <w:r>
              <w:rPr>
                <w:rFonts w:ascii="Times New Roman"/>
                <w:sz w:val="21"/>
              </w:rPr>
              <w:t>20.21%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11" w:right="0"/>
              <w:jc w:val="left"/>
              <w:rPr>
                <w:rFonts w:ascii="Times New Roman" w:hAnsi="Times New Roman" w:cs="Times New Roman" w:eastAsia="Times New Roman" w:hint="default"/>
                <w:sz w:val="21"/>
                <w:szCs w:val="21"/>
              </w:rPr>
            </w:pPr>
            <w:r>
              <w:rPr>
                <w:rFonts w:ascii="Times New Roman"/>
                <w:sz w:val="21"/>
              </w:rPr>
              <w:t>17.71%</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上升 </w:t>
            </w:r>
            <w:r>
              <w:rPr>
                <w:rFonts w:ascii="Times New Roman" w:hAnsi="Times New Roman" w:cs="Times New Roman" w:eastAsia="Times New Roman" w:hint="default"/>
                <w:spacing w:val="-6"/>
                <w:sz w:val="21"/>
                <w:szCs w:val="21"/>
              </w:rPr>
              <w:t>1.68</w:t>
            </w:r>
            <w:r>
              <w:rPr>
                <w:rFonts w:ascii="Times New Roman" w:hAnsi="Times New Roman" w:cs="Times New Roman" w:eastAsia="Times New Roman" w:hint="default"/>
                <w:spacing w:val="31"/>
                <w:sz w:val="21"/>
                <w:szCs w:val="21"/>
              </w:rPr>
              <w:t> </w:t>
            </w:r>
            <w:r>
              <w:rPr>
                <w:rFonts w:ascii="宋体" w:hAnsi="宋体" w:cs="宋体" w:eastAsia="宋体" w:hint="default"/>
                <w:spacing w:val="-10"/>
                <w:sz w:val="21"/>
                <w:szCs w:val="21"/>
              </w:rPr>
              <w:t>个百分</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29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64"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数码及</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产品</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17,148,892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15,643,520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6"/>
              <w:jc w:val="right"/>
              <w:rPr>
                <w:rFonts w:ascii="Times New Roman" w:hAnsi="Times New Roman" w:cs="Times New Roman" w:eastAsia="Times New Roman" w:hint="default"/>
                <w:sz w:val="21"/>
                <w:szCs w:val="21"/>
              </w:rPr>
            </w:pPr>
            <w:r>
              <w:rPr>
                <w:rFonts w:ascii="Times New Roman"/>
                <w:sz w:val="21"/>
              </w:rPr>
              <w:t>8.78%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Times New Roman" w:hAnsi="Times New Roman" w:cs="Times New Roman" w:eastAsia="Times New Roman" w:hint="default"/>
                <w:sz w:val="21"/>
                <w:szCs w:val="21"/>
              </w:rPr>
            </w:pPr>
            <w:r>
              <w:rPr>
                <w:rFonts w:ascii="Times New Roman"/>
                <w:sz w:val="21"/>
              </w:rPr>
              <w:t>38.70%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Times New Roman" w:hAnsi="Times New Roman" w:cs="Times New Roman" w:eastAsia="Times New Roman" w:hint="default"/>
                <w:sz w:val="21"/>
                <w:szCs w:val="21"/>
              </w:rPr>
            </w:pPr>
            <w:r>
              <w:rPr>
                <w:rFonts w:ascii="Times New Roman"/>
                <w:sz w:val="21"/>
              </w:rPr>
              <w:t>36.50%</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1.47</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29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冰箱、洗衣机</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15,687,100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12,135,406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4"/>
              <w:jc w:val="right"/>
              <w:rPr>
                <w:rFonts w:ascii="Times New Roman" w:hAnsi="Times New Roman" w:cs="Times New Roman" w:eastAsia="Times New Roman" w:hint="default"/>
                <w:sz w:val="21"/>
                <w:szCs w:val="21"/>
              </w:rPr>
            </w:pPr>
            <w:r>
              <w:rPr>
                <w:rFonts w:ascii="Times New Roman"/>
                <w:sz w:val="21"/>
              </w:rPr>
              <w:t>22.64%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21.25%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18.96%</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1"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1.49</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29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通讯产品</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12,373,602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10,965,513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8"/>
              <w:jc w:val="right"/>
              <w:rPr>
                <w:rFonts w:ascii="Times New Roman" w:hAnsi="Times New Roman" w:cs="Times New Roman" w:eastAsia="Times New Roman" w:hint="default"/>
                <w:sz w:val="21"/>
                <w:szCs w:val="21"/>
              </w:rPr>
            </w:pPr>
            <w:r>
              <w:rPr>
                <w:rFonts w:ascii="Times New Roman"/>
                <w:spacing w:val="-2"/>
                <w:sz w:val="21"/>
              </w:rPr>
              <w:t>11.38%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Times New Roman" w:hAnsi="Times New Roman" w:cs="Times New Roman" w:eastAsia="Times New Roman" w:hint="default"/>
                <w:sz w:val="21"/>
                <w:szCs w:val="21"/>
              </w:rPr>
            </w:pPr>
            <w:r>
              <w:rPr>
                <w:rFonts w:ascii="Times New Roman"/>
                <w:sz w:val="21"/>
              </w:rPr>
              <w:t>39.05%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1" w:right="0"/>
              <w:jc w:val="left"/>
              <w:rPr>
                <w:rFonts w:ascii="Times New Roman" w:hAnsi="Times New Roman" w:cs="Times New Roman" w:eastAsia="Times New Roman" w:hint="default"/>
                <w:sz w:val="21"/>
                <w:szCs w:val="21"/>
              </w:rPr>
            </w:pPr>
            <w:r>
              <w:rPr>
                <w:rFonts w:ascii="Times New Roman"/>
                <w:sz w:val="21"/>
              </w:rPr>
              <w:t>36.95%</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1.36</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29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空调器产品</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11,272,584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8,936,158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4"/>
              <w:jc w:val="right"/>
              <w:rPr>
                <w:rFonts w:ascii="Times New Roman" w:hAnsi="Times New Roman" w:cs="Times New Roman" w:eastAsia="Times New Roman" w:hint="default"/>
                <w:sz w:val="21"/>
                <w:szCs w:val="21"/>
              </w:rPr>
            </w:pPr>
            <w:r>
              <w:rPr>
                <w:rFonts w:ascii="Times New Roman"/>
                <w:sz w:val="21"/>
              </w:rPr>
              <w:t>20.73%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16.23%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12.66%</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1"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2.52</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557"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58"/>
                <w:sz w:val="21"/>
                <w:szCs w:val="21"/>
              </w:rPr>
              <w:t>小家电产品</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（注）</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2"/>
                <w:sz w:val="21"/>
              </w:rPr>
              <w:t>11,066,883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8,533,839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4"/>
              <w:jc w:val="right"/>
              <w:rPr>
                <w:rFonts w:ascii="Times New Roman" w:hAnsi="Times New Roman" w:cs="Times New Roman" w:eastAsia="Times New Roman" w:hint="default"/>
                <w:sz w:val="21"/>
                <w:szCs w:val="21"/>
              </w:rPr>
            </w:pPr>
            <w:r>
              <w:rPr>
                <w:rFonts w:ascii="Times New Roman"/>
                <w:sz w:val="21"/>
              </w:rPr>
              <w:t>22.89%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1" w:right="0"/>
              <w:jc w:val="left"/>
              <w:rPr>
                <w:rFonts w:ascii="Times New Roman" w:hAnsi="Times New Roman" w:cs="Times New Roman" w:eastAsia="Times New Roman" w:hint="default"/>
                <w:sz w:val="21"/>
                <w:szCs w:val="21"/>
              </w:rPr>
            </w:pPr>
            <w:r>
              <w:rPr>
                <w:rFonts w:ascii="Times New Roman"/>
                <w:sz w:val="21"/>
              </w:rPr>
              <w:t>16.15%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1" w:right="0"/>
              <w:jc w:val="left"/>
              <w:rPr>
                <w:rFonts w:ascii="Times New Roman" w:hAnsi="Times New Roman" w:cs="Times New Roman" w:eastAsia="Times New Roman" w:hint="default"/>
                <w:sz w:val="21"/>
                <w:szCs w:val="21"/>
              </w:rPr>
            </w:pPr>
            <w:r>
              <w:rPr>
                <w:rFonts w:ascii="Times New Roman"/>
                <w:sz w:val="21"/>
              </w:rPr>
              <w:t>13.08%</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5"/>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2.09</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295"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安装维修业务</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2"/>
                <w:sz w:val="21"/>
              </w:rPr>
              <w:t>909,611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600,399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4"/>
              <w:jc w:val="right"/>
              <w:rPr>
                <w:rFonts w:ascii="Times New Roman" w:hAnsi="Times New Roman" w:cs="Times New Roman" w:eastAsia="Times New Roman" w:hint="default"/>
                <w:sz w:val="21"/>
                <w:szCs w:val="21"/>
              </w:rPr>
            </w:pPr>
            <w:r>
              <w:rPr>
                <w:rFonts w:ascii="Times New Roman"/>
                <w:sz w:val="21"/>
              </w:rPr>
              <w:t>33.99%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3" w:right="0"/>
              <w:jc w:val="left"/>
              <w:rPr>
                <w:rFonts w:ascii="Times New Roman" w:hAnsi="Times New Roman" w:cs="Times New Roman" w:eastAsia="Times New Roman" w:hint="default"/>
                <w:sz w:val="21"/>
                <w:szCs w:val="21"/>
              </w:rPr>
            </w:pPr>
            <w:r>
              <w:rPr>
                <w:rFonts w:ascii="Times New Roman"/>
                <w:sz w:val="21"/>
              </w:rPr>
              <w:t>6.44%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3" w:right="0"/>
              <w:jc w:val="left"/>
              <w:rPr>
                <w:rFonts w:ascii="Times New Roman" w:hAnsi="Times New Roman" w:cs="Times New Roman" w:eastAsia="Times New Roman" w:hint="default"/>
                <w:sz w:val="21"/>
                <w:szCs w:val="21"/>
              </w:rPr>
            </w:pPr>
            <w:r>
              <w:rPr>
                <w:rFonts w:ascii="Times New Roman"/>
                <w:sz w:val="21"/>
              </w:rPr>
              <w:t>2.38%</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4"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2.61</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r>
        <w:trPr>
          <w:trHeight w:val="293" w:hRule="exact"/>
        </w:trPr>
        <w:tc>
          <w:tcPr>
            <w:tcW w:w="1560"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pacing w:val="-10"/>
                <w:sz w:val="21"/>
                <w:szCs w:val="21"/>
              </w:rPr>
              <w:t>其他产品</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309,777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264,754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4"/>
              <w:jc w:val="right"/>
              <w:rPr>
                <w:rFonts w:ascii="Times New Roman" w:hAnsi="Times New Roman" w:cs="Times New Roman" w:eastAsia="Times New Roman" w:hint="default"/>
                <w:sz w:val="21"/>
                <w:szCs w:val="21"/>
              </w:rPr>
            </w:pPr>
            <w:r>
              <w:rPr>
                <w:rFonts w:ascii="Times New Roman"/>
                <w:sz w:val="21"/>
              </w:rPr>
              <w:t>14.53%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33.60%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14.46%</w:t>
            </w:r>
          </w:p>
        </w:tc>
        <w:tc>
          <w:tcPr>
            <w:tcW w:w="1937" w:type="dxa"/>
            <w:tcBorders>
              <w:top w:val="single" w:sz="4" w:space="0" w:color="000000"/>
              <w:left w:val="single" w:sz="4" w:space="0" w:color="000000"/>
              <w:bottom w:val="single" w:sz="4" w:space="0" w:color="000000"/>
              <w:right w:val="single" w:sz="12" w:space="0" w:color="000000"/>
            </w:tcBorders>
          </w:tcPr>
          <w:p>
            <w:pPr>
              <w:pStyle w:val="TableParagraph"/>
              <w:spacing w:line="261" w:lineRule="exact"/>
              <w:ind w:left="21" w:right="0"/>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8"/>
                <w:sz w:val="21"/>
                <w:szCs w:val="21"/>
              </w:rPr>
              <w:t> </w:t>
            </w:r>
            <w:r>
              <w:rPr>
                <w:rFonts w:ascii="Times New Roman" w:hAnsi="Times New Roman" w:cs="Times New Roman" w:eastAsia="Times New Roman" w:hint="default"/>
                <w:spacing w:val="-6"/>
                <w:sz w:val="21"/>
                <w:szCs w:val="21"/>
              </w:rPr>
              <w:t>14.28</w:t>
            </w:r>
            <w:r>
              <w:rPr>
                <w:rFonts w:ascii="Times New Roman" w:hAnsi="Times New Roman" w:cs="Times New Roman" w:eastAsia="Times New Roman" w:hint="default"/>
                <w:spacing w:val="-7"/>
                <w:sz w:val="21"/>
                <w:szCs w:val="21"/>
              </w:rPr>
              <w:t> </w:t>
            </w:r>
            <w:r>
              <w:rPr>
                <w:rFonts w:ascii="宋体" w:hAnsi="宋体" w:cs="宋体" w:eastAsia="宋体" w:hint="default"/>
                <w:spacing w:val="-11"/>
                <w:sz w:val="21"/>
                <w:szCs w:val="21"/>
              </w:rPr>
              <w:t>个百分点</w:t>
            </w:r>
          </w:p>
        </w:tc>
      </w:tr>
      <w:tr>
        <w:trPr>
          <w:trHeight w:val="305" w:hRule="exact"/>
        </w:trPr>
        <w:tc>
          <w:tcPr>
            <w:tcW w:w="1560"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12"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92,465,377</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75,855,609</w:t>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194"/>
              <w:jc w:val="right"/>
              <w:rPr>
                <w:rFonts w:ascii="Times New Roman" w:hAnsi="Times New Roman" w:cs="Times New Roman" w:eastAsia="Times New Roman" w:hint="default"/>
                <w:sz w:val="21"/>
                <w:szCs w:val="21"/>
              </w:rPr>
            </w:pPr>
            <w:r>
              <w:rPr>
                <w:rFonts w:ascii="Times New Roman"/>
                <w:sz w:val="21"/>
              </w:rPr>
              <w:t>17.96%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24.57%</w:t>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211" w:right="0"/>
              <w:jc w:val="left"/>
              <w:rPr>
                <w:rFonts w:ascii="Times New Roman" w:hAnsi="Times New Roman" w:cs="Times New Roman" w:eastAsia="Times New Roman" w:hint="default"/>
                <w:sz w:val="21"/>
                <w:szCs w:val="21"/>
              </w:rPr>
            </w:pPr>
            <w:r>
              <w:rPr>
                <w:rFonts w:ascii="Times New Roman"/>
                <w:sz w:val="21"/>
              </w:rPr>
              <w:t>22.51%</w:t>
            </w:r>
          </w:p>
        </w:tc>
        <w:tc>
          <w:tcPr>
            <w:tcW w:w="1937" w:type="dxa"/>
            <w:tcBorders>
              <w:top w:val="single" w:sz="4" w:space="0" w:color="000000"/>
              <w:left w:val="single" w:sz="4" w:space="0" w:color="000000"/>
              <w:bottom w:val="single" w:sz="12" w:space="0" w:color="000000"/>
              <w:right w:val="single" w:sz="12" w:space="0" w:color="000000"/>
            </w:tcBorders>
          </w:tcPr>
          <w:p>
            <w:pPr>
              <w:pStyle w:val="TableParagraph"/>
              <w:spacing w:line="264" w:lineRule="exact"/>
              <w:ind w:right="67"/>
              <w:jc w:val="center"/>
              <w:rPr>
                <w:rFonts w:ascii="宋体" w:hAnsi="宋体" w:cs="宋体" w:eastAsia="宋体" w:hint="default"/>
                <w:sz w:val="21"/>
                <w:szCs w:val="21"/>
              </w:rPr>
            </w:pPr>
            <w:r>
              <w:rPr>
                <w:rFonts w:ascii="宋体" w:hAnsi="宋体" w:cs="宋体" w:eastAsia="宋体" w:hint="default"/>
                <w:spacing w:val="-8"/>
                <w:sz w:val="21"/>
                <w:szCs w:val="21"/>
              </w:rPr>
              <w:t>上升</w:t>
            </w:r>
            <w:r>
              <w:rPr>
                <w:rFonts w:ascii="宋体" w:hAnsi="宋体" w:cs="宋体" w:eastAsia="宋体" w:hint="default"/>
                <w:spacing w:val="-63"/>
                <w:sz w:val="21"/>
                <w:szCs w:val="21"/>
              </w:rPr>
              <w:t> </w:t>
            </w:r>
            <w:r>
              <w:rPr>
                <w:rFonts w:ascii="Times New Roman" w:hAnsi="Times New Roman" w:cs="Times New Roman" w:eastAsia="Times New Roman" w:hint="default"/>
                <w:spacing w:val="-6"/>
                <w:sz w:val="21"/>
                <w:szCs w:val="21"/>
              </w:rPr>
              <w:t>1.37</w:t>
            </w:r>
            <w:r>
              <w:rPr>
                <w:rFonts w:ascii="Times New Roman" w:hAnsi="Times New Roman" w:cs="Times New Roman" w:eastAsia="Times New Roman" w:hint="default"/>
                <w:spacing w:val="-3"/>
                <w:sz w:val="21"/>
                <w:szCs w:val="21"/>
              </w:rPr>
              <w:t> </w:t>
            </w:r>
            <w:r>
              <w:rPr>
                <w:rFonts w:ascii="宋体" w:hAnsi="宋体" w:cs="宋体" w:eastAsia="宋体" w:hint="default"/>
                <w:spacing w:val="-11"/>
                <w:sz w:val="21"/>
                <w:szCs w:val="21"/>
              </w:rPr>
              <w:t>个百分点</w:t>
            </w:r>
          </w:p>
        </w:tc>
      </w:tr>
    </w:tbl>
    <w:p>
      <w:pPr>
        <w:spacing w:line="256" w:lineRule="exact" w:before="0"/>
        <w:ind w:left="660" w:right="3386" w:firstLine="0"/>
        <w:jc w:val="left"/>
        <w:rPr>
          <w:rFonts w:ascii="宋体" w:hAnsi="宋体" w:cs="宋体" w:eastAsia="宋体" w:hint="default"/>
          <w:sz w:val="21"/>
          <w:szCs w:val="21"/>
        </w:rPr>
      </w:pPr>
      <w:r>
        <w:rPr>
          <w:rFonts w:ascii="宋体" w:hAnsi="宋体" w:cs="宋体" w:eastAsia="宋体" w:hint="default"/>
          <w:sz w:val="21"/>
          <w:szCs w:val="21"/>
        </w:rPr>
        <w:t>注：小家电产品包括厨卫、生活电器以及百货类产品。</w:t>
      </w:r>
    </w:p>
    <w:p>
      <w:pPr>
        <w:pStyle w:val="BodyText"/>
        <w:spacing w:line="240" w:lineRule="auto" w:before="129"/>
        <w:ind w:left="720" w:right="3386"/>
        <w:jc w:val="left"/>
      </w:pPr>
      <w:r>
        <w:rPr>
          <w:rFonts w:ascii="Times New Roman" w:hAnsi="Times New Roman" w:cs="Times New Roman" w:eastAsia="Times New Roman" w:hint="default"/>
        </w:rPr>
        <w:t>B</w:t>
      </w:r>
      <w:r>
        <w:rPr/>
        <w:t>、主营业务分地区情况表：</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349"/>
        <w:gridCol w:w="2700"/>
        <w:gridCol w:w="3197"/>
      </w:tblGrid>
      <w:tr>
        <w:trPr>
          <w:trHeight w:val="499" w:hRule="exact"/>
        </w:trPr>
        <w:tc>
          <w:tcPr>
            <w:tcW w:w="334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9"/>
              <w:ind w:right="5"/>
              <w:jc w:val="center"/>
              <w:rPr>
                <w:rFonts w:ascii="宋体" w:hAnsi="宋体" w:cs="宋体" w:eastAsia="宋体" w:hint="default"/>
                <w:sz w:val="21"/>
                <w:szCs w:val="21"/>
              </w:rPr>
            </w:pPr>
            <w:r>
              <w:rPr>
                <w:rFonts w:ascii="宋体" w:hAnsi="宋体" w:cs="宋体" w:eastAsia="宋体" w:hint="default"/>
                <w:sz w:val="21"/>
                <w:szCs w:val="21"/>
              </w:rPr>
              <w:t>地区</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1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9"/>
              <w:ind w:left="103" w:right="-15"/>
              <w:jc w:val="center"/>
              <w:rPr>
                <w:rFonts w:ascii="宋体" w:hAnsi="宋体" w:cs="宋体" w:eastAsia="宋体" w:hint="default"/>
                <w:sz w:val="21"/>
                <w:szCs w:val="21"/>
              </w:rPr>
            </w:pPr>
            <w:r>
              <w:rPr>
                <w:rFonts w:ascii="宋体" w:hAnsi="宋体" w:cs="宋体" w:eastAsia="宋体" w:hint="default"/>
                <w:spacing w:val="-6"/>
                <w:sz w:val="21"/>
                <w:szCs w:val="21"/>
              </w:rPr>
              <w:t>主营业务收入比上年同期增（％）</w:t>
            </w:r>
          </w:p>
        </w:tc>
      </w:tr>
      <w:tr>
        <w:trPr>
          <w:trHeight w:val="319"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华东一区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22,647,570</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29.84%</w:t>
            </w:r>
          </w:p>
        </w:tc>
      </w:tr>
      <w:tr>
        <w:trPr>
          <w:trHeight w:val="317"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right="8"/>
              <w:jc w:val="center"/>
              <w:rPr>
                <w:rFonts w:ascii="宋体" w:hAnsi="宋体" w:cs="宋体" w:eastAsia="宋体" w:hint="default"/>
                <w:sz w:val="21"/>
                <w:szCs w:val="21"/>
              </w:rPr>
            </w:pPr>
            <w:r>
              <w:rPr>
                <w:rFonts w:ascii="宋体" w:hAnsi="宋体" w:cs="宋体" w:eastAsia="宋体" w:hint="default"/>
                <w:sz w:val="21"/>
                <w:szCs w:val="21"/>
              </w:rPr>
              <w:t>华东二区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Times New Roman" w:hAnsi="Times New Roman" w:cs="Times New Roman" w:eastAsia="Times New Roman" w:hint="default"/>
                <w:sz w:val="21"/>
                <w:szCs w:val="21"/>
              </w:rPr>
            </w:pPr>
            <w:r>
              <w:rPr>
                <w:rFonts w:ascii="Times New Roman"/>
                <w:sz w:val="21"/>
              </w:rPr>
              <w:t>15,115,193</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0" w:right="0"/>
              <w:jc w:val="center"/>
              <w:rPr>
                <w:rFonts w:ascii="Times New Roman" w:hAnsi="Times New Roman" w:cs="Times New Roman" w:eastAsia="Times New Roman" w:hint="default"/>
                <w:sz w:val="21"/>
                <w:szCs w:val="21"/>
              </w:rPr>
            </w:pPr>
            <w:r>
              <w:rPr>
                <w:rFonts w:ascii="Times New Roman"/>
                <w:sz w:val="21"/>
              </w:rPr>
              <w:t>11.29%</w:t>
            </w:r>
          </w:p>
        </w:tc>
      </w:tr>
      <w:tr>
        <w:trPr>
          <w:trHeight w:val="319"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14,362,746</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22.68%</w:t>
            </w:r>
          </w:p>
        </w:tc>
      </w:tr>
      <w:tr>
        <w:trPr>
          <w:trHeight w:val="317"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right="8"/>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13,635,283</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20.14%</w:t>
            </w:r>
          </w:p>
        </w:tc>
      </w:tr>
      <w:tr>
        <w:trPr>
          <w:trHeight w:val="319"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9,905,433</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31.84%</w:t>
            </w:r>
          </w:p>
        </w:tc>
      </w:tr>
      <w:tr>
        <w:trPr>
          <w:trHeight w:val="317"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right="1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5,294,576</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24.71%</w:t>
            </w:r>
          </w:p>
        </w:tc>
      </w:tr>
      <w:tr>
        <w:trPr>
          <w:trHeight w:val="319"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5,197,520</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20.91%</w:t>
            </w:r>
          </w:p>
        </w:tc>
      </w:tr>
      <w:tr>
        <w:trPr>
          <w:trHeight w:val="317"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right="8"/>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4,325,590</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33.01%</w:t>
            </w:r>
          </w:p>
        </w:tc>
      </w:tr>
      <w:tr>
        <w:trPr>
          <w:trHeight w:val="319"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香港地区（注）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1,653,427</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97.54%</w:t>
            </w:r>
          </w:p>
        </w:tc>
      </w:tr>
      <w:tr>
        <w:trPr>
          <w:trHeight w:val="317" w:hRule="exact"/>
        </w:trPr>
        <w:tc>
          <w:tcPr>
            <w:tcW w:w="3349" w:type="dxa"/>
            <w:tcBorders>
              <w:top w:val="single" w:sz="4" w:space="0" w:color="000000"/>
              <w:left w:val="single" w:sz="12" w:space="0" w:color="000000"/>
              <w:bottom w:val="single" w:sz="4" w:space="0" w:color="000000"/>
              <w:right w:val="single" w:sz="4" w:space="0" w:color="000000"/>
            </w:tcBorders>
          </w:tcPr>
          <w:p>
            <w:pPr>
              <w:pStyle w:val="TableParagraph"/>
              <w:spacing w:line="258" w:lineRule="exact"/>
              <w:ind w:right="5"/>
              <w:jc w:val="center"/>
              <w:rPr>
                <w:rFonts w:ascii="宋体" w:hAnsi="宋体" w:cs="宋体" w:eastAsia="宋体" w:hint="default"/>
                <w:sz w:val="21"/>
                <w:szCs w:val="21"/>
              </w:rPr>
            </w:pPr>
            <w:r>
              <w:rPr>
                <w:rFonts w:ascii="宋体" w:hAnsi="宋体" w:cs="宋体" w:eastAsia="宋体" w:hint="default"/>
                <w:sz w:val="21"/>
                <w:szCs w:val="21"/>
              </w:rPr>
              <w:t>日本地区（注）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328,039</w:t>
            </w:r>
          </w:p>
        </w:tc>
        <w:tc>
          <w:tcPr>
            <w:tcW w:w="31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left="8"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334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92,465,377</w:t>
            </w:r>
          </w:p>
        </w:tc>
        <w:tc>
          <w:tcPr>
            <w:tcW w:w="31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left="13" w:right="0"/>
              <w:jc w:val="center"/>
              <w:rPr>
                <w:rFonts w:ascii="Times New Roman" w:hAnsi="Times New Roman" w:cs="Times New Roman" w:eastAsia="Times New Roman" w:hint="default"/>
                <w:sz w:val="21"/>
                <w:szCs w:val="21"/>
              </w:rPr>
            </w:pPr>
            <w:r>
              <w:rPr>
                <w:rFonts w:ascii="Times New Roman"/>
                <w:sz w:val="21"/>
              </w:rPr>
              <w:t>24.57%</w:t>
            </w:r>
          </w:p>
        </w:tc>
      </w:tr>
    </w:tbl>
    <w:p>
      <w:pPr>
        <w:spacing w:after="0" w:line="240" w:lineRule="auto"/>
        <w:jc w:val="center"/>
        <w:rPr>
          <w:rFonts w:ascii="Times New Roman" w:hAnsi="Times New Roman" w:cs="Times New Roman" w:eastAsia="Times New Roman" w:hint="default"/>
          <w:sz w:val="21"/>
          <w:szCs w:val="21"/>
        </w:rPr>
        <w:sectPr>
          <w:pgSz w:w="11910" w:h="16840"/>
          <w:pgMar w:header="748" w:footer="706" w:top="980" w:bottom="900" w:left="1200" w:right="0"/>
        </w:sectPr>
      </w:pPr>
    </w:p>
    <w:p>
      <w:pPr>
        <w:spacing w:line="240" w:lineRule="auto" w:before="2"/>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288" type="#_x0000_t75" stroked="false">
            <v:imagedata r:id="rId21" o:title=""/>
          </v:shape>
        </w:pict>
      </w:r>
    </w:p>
    <w:p>
      <w:pPr>
        <w:spacing w:before="36"/>
        <w:ind w:left="660" w:right="1328"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注</w:t>
      </w:r>
      <w:r>
        <w:rPr>
          <w:rFonts w:ascii="宋体" w:hAnsi="宋体" w:cs="宋体" w:eastAsia="宋体" w:hint="default"/>
          <w:spacing w:val="-106"/>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期</w:t>
      </w:r>
      <w:r>
        <w:rPr>
          <w:rFonts w:ascii="宋体" w:hAnsi="宋体" w:cs="宋体" w:eastAsia="宋体" w:hint="default"/>
          <w:w w:val="100"/>
          <w:sz w:val="21"/>
          <w:szCs w:val="21"/>
        </w:rPr>
        <w:t>内</w:t>
      </w:r>
      <w:r>
        <w:rPr>
          <w:rFonts w:ascii="宋体" w:hAnsi="宋体" w:cs="宋体" w:eastAsia="宋体" w:hint="default"/>
          <w:spacing w:val="-3"/>
          <w:w w:val="100"/>
          <w:sz w:val="21"/>
          <w:szCs w:val="21"/>
        </w:rPr>
        <w:t>，</w:t>
      </w:r>
      <w:r>
        <w:rPr>
          <w:rFonts w:ascii="宋体" w:hAnsi="宋体" w:cs="宋体" w:eastAsia="宋体" w:hint="default"/>
          <w:w w:val="100"/>
          <w:sz w:val="21"/>
          <w:szCs w:val="21"/>
        </w:rPr>
        <w:t>香</w:t>
      </w:r>
      <w:r>
        <w:rPr>
          <w:rFonts w:ascii="宋体" w:hAnsi="宋体" w:cs="宋体" w:eastAsia="宋体" w:hint="default"/>
          <w:spacing w:val="-3"/>
          <w:w w:val="100"/>
          <w:sz w:val="21"/>
          <w:szCs w:val="21"/>
        </w:rPr>
        <w:t>港</w:t>
      </w:r>
      <w:r>
        <w:rPr>
          <w:rFonts w:ascii="宋体" w:hAnsi="宋体" w:cs="宋体" w:eastAsia="宋体" w:hint="default"/>
          <w:w w:val="100"/>
          <w:sz w:val="21"/>
          <w:szCs w:val="21"/>
        </w:rPr>
        <w:t>地区</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4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月平均</w:t>
      </w:r>
      <w:r>
        <w:rPr>
          <w:rFonts w:ascii="宋体" w:hAnsi="宋体" w:cs="宋体" w:eastAsia="宋体" w:hint="default"/>
          <w:spacing w:val="-3"/>
          <w:w w:val="100"/>
          <w:sz w:val="21"/>
          <w:szCs w:val="21"/>
        </w:rPr>
        <w:t>汇</w:t>
      </w:r>
      <w:r>
        <w:rPr>
          <w:rFonts w:ascii="宋体" w:hAnsi="宋体" w:cs="宋体" w:eastAsia="宋体" w:hint="default"/>
          <w:spacing w:val="-1"/>
          <w:w w:val="100"/>
          <w:sz w:val="21"/>
          <w:szCs w:val="21"/>
        </w:rPr>
        <w:t>率</w:t>
      </w:r>
      <w:r>
        <w:rPr>
          <w:rFonts w:ascii="宋体" w:hAnsi="宋体" w:cs="宋体" w:eastAsia="宋体" w:hint="default"/>
          <w:spacing w:val="-3"/>
          <w:w w:val="100"/>
          <w:sz w:val="21"/>
          <w:szCs w:val="21"/>
        </w:rPr>
        <w:t>港</w:t>
      </w:r>
      <w:r>
        <w:rPr>
          <w:rFonts w:ascii="宋体" w:hAnsi="宋体" w:cs="宋体" w:eastAsia="宋体" w:hint="default"/>
          <w:w w:val="100"/>
          <w:sz w:val="21"/>
          <w:szCs w:val="21"/>
        </w:rPr>
        <w:t>元</w:t>
      </w:r>
      <w:r>
        <w:rPr>
          <w:rFonts w:ascii="宋体" w:hAnsi="宋体" w:cs="宋体" w:eastAsia="宋体" w:hint="default"/>
          <w:spacing w:val="-3"/>
          <w:w w:val="100"/>
          <w:sz w:val="21"/>
          <w:szCs w:val="21"/>
        </w:rPr>
        <w:t>兑</w:t>
      </w:r>
      <w:r>
        <w:rPr>
          <w:rFonts w:ascii="宋体" w:hAnsi="宋体" w:cs="宋体" w:eastAsia="宋体" w:hint="default"/>
          <w:w w:val="100"/>
          <w:sz w:val="21"/>
          <w:szCs w:val="21"/>
        </w:rPr>
        <w:t>人民币</w:t>
      </w:r>
      <w:r>
        <w:rPr>
          <w:rFonts w:ascii="宋体" w:hAnsi="宋体" w:cs="宋体" w:eastAsia="宋体" w:hint="default"/>
          <w:spacing w:val="-45"/>
          <w:sz w:val="21"/>
          <w:szCs w:val="21"/>
        </w:rPr>
        <w:t> </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7</w:t>
      </w:r>
    </w:p>
    <w:p>
      <w:pPr>
        <w:spacing w:before="119"/>
        <w:ind w:left="240" w:right="3386" w:firstLine="0"/>
        <w:jc w:val="left"/>
        <w:rPr>
          <w:rFonts w:ascii="宋体" w:hAnsi="宋体" w:cs="宋体" w:eastAsia="宋体" w:hint="default"/>
          <w:sz w:val="21"/>
          <w:szCs w:val="21"/>
        </w:rPr>
      </w:pPr>
      <w:r>
        <w:rPr>
          <w:rFonts w:ascii="宋体" w:hAnsi="宋体" w:cs="宋体" w:eastAsia="宋体" w:hint="default"/>
          <w:sz w:val="21"/>
          <w:szCs w:val="21"/>
        </w:rPr>
        <w:t>进行计算；另上年同期销售收入为</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个月数据；</w:t>
      </w:r>
    </w:p>
    <w:p>
      <w:pPr>
        <w:spacing w:line="240" w:lineRule="auto" w:before="2"/>
        <w:rPr>
          <w:rFonts w:ascii="宋体" w:hAnsi="宋体" w:cs="宋体" w:eastAsia="宋体" w:hint="default"/>
          <w:sz w:val="18"/>
          <w:szCs w:val="18"/>
        </w:rPr>
      </w:pPr>
    </w:p>
    <w:p>
      <w:pPr>
        <w:spacing w:line="338" w:lineRule="auto" w:before="0"/>
        <w:ind w:left="240" w:right="14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）公司于自</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月将日本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LAOX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株式会社纳入合并报表范畴，</w:t>
      </w:r>
      <w:r>
        <w:rPr>
          <w:rFonts w:ascii="Times New Roman" w:hAnsi="Times New Roman" w:cs="Times New Roman" w:eastAsia="Times New Roman" w:hint="default"/>
          <w:sz w:val="21"/>
          <w:szCs w:val="21"/>
        </w:rPr>
        <w:t>LAOX</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9-12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份销售收入按照</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月平均汇率日元兑人民币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0.08206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进行计算。</w:t>
      </w:r>
    </w:p>
    <w:p>
      <w:pPr>
        <w:pStyle w:val="BodyText"/>
        <w:spacing w:line="240" w:lineRule="auto"/>
        <w:ind w:left="766" w:right="1422"/>
        <w:jc w:val="left"/>
      </w:pPr>
      <w:r>
        <w:rPr>
          <w:rFonts w:ascii="Times New Roman" w:hAnsi="Times New Roman" w:cs="Times New Roman" w:eastAsia="Times New Roman" w:hint="default"/>
        </w:rPr>
        <w:t>C</w:t>
      </w:r>
      <w:r>
        <w:rPr/>
        <w:t>、占公司主营业务收入或主营业务利润</w:t>
      </w:r>
      <w:r>
        <w:rPr>
          <w:spacing w:val="-60"/>
        </w:rPr>
        <w:t> </w:t>
      </w:r>
      <w:r>
        <w:rPr>
          <w:rFonts w:ascii="Times New Roman" w:hAnsi="Times New Roman" w:cs="Times New Roman" w:eastAsia="Times New Roman" w:hint="default"/>
        </w:rPr>
        <w:t>10%</w:t>
      </w:r>
      <w:r>
        <w:rPr/>
        <w:t>以上的主要产品情况：</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831"/>
        <w:gridCol w:w="1477"/>
        <w:gridCol w:w="1740"/>
        <w:gridCol w:w="1397"/>
        <w:gridCol w:w="1400"/>
        <w:gridCol w:w="1402"/>
      </w:tblGrid>
      <w:tr>
        <w:trPr>
          <w:trHeight w:val="360" w:hRule="exact"/>
        </w:trPr>
        <w:tc>
          <w:tcPr>
            <w:tcW w:w="18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14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14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占收入比率</w:t>
            </w:r>
          </w:p>
        </w:tc>
        <w:tc>
          <w:tcPr>
            <w:tcW w:w="140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2" w:right="0"/>
              <w:jc w:val="center"/>
              <w:rPr>
                <w:rFonts w:ascii="宋体" w:hAnsi="宋体" w:cs="宋体" w:eastAsia="宋体" w:hint="default"/>
                <w:sz w:val="21"/>
                <w:szCs w:val="21"/>
              </w:rPr>
            </w:pPr>
            <w:r>
              <w:rPr>
                <w:rFonts w:ascii="宋体" w:hAnsi="宋体" w:cs="宋体" w:eastAsia="宋体" w:hint="default"/>
                <w:sz w:val="21"/>
                <w:szCs w:val="21"/>
              </w:rPr>
              <w:t>占利润比率</w:t>
            </w:r>
          </w:p>
        </w:tc>
      </w:tr>
      <w:tr>
        <w:trPr>
          <w:trHeight w:val="370" w:hRule="exact"/>
        </w:trPr>
        <w:tc>
          <w:tcPr>
            <w:tcW w:w="18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pacing w:val="-9"/>
                <w:sz w:val="21"/>
                <w:szCs w:val="21"/>
              </w:rPr>
              <w:t>彩电、音像、碟机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23,696,928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18,776,020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4,920,908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25.63%</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2" w:right="0"/>
              <w:jc w:val="center"/>
              <w:rPr>
                <w:rFonts w:ascii="Times New Roman" w:hAnsi="Times New Roman" w:cs="Times New Roman" w:eastAsia="Times New Roman" w:hint="default"/>
                <w:sz w:val="21"/>
                <w:szCs w:val="21"/>
              </w:rPr>
            </w:pPr>
            <w:r>
              <w:rPr>
                <w:rFonts w:ascii="Times New Roman"/>
                <w:sz w:val="21"/>
              </w:rPr>
              <w:t>29.63%</w:t>
            </w:r>
          </w:p>
        </w:tc>
      </w:tr>
      <w:tr>
        <w:trPr>
          <w:trHeight w:val="370" w:hRule="exact"/>
        </w:trPr>
        <w:tc>
          <w:tcPr>
            <w:tcW w:w="18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数码及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17,148,892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15,643,520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Times New Roman" w:hAnsi="Times New Roman" w:cs="Times New Roman" w:eastAsia="Times New Roman" w:hint="default"/>
                <w:sz w:val="21"/>
                <w:szCs w:val="21"/>
              </w:rPr>
            </w:pPr>
            <w:r>
              <w:rPr>
                <w:rFonts w:ascii="Times New Roman"/>
                <w:sz w:val="21"/>
              </w:rPr>
              <w:t>1,505,372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1"/>
                <w:szCs w:val="21"/>
              </w:rPr>
            </w:pPr>
            <w:r>
              <w:rPr>
                <w:rFonts w:ascii="Times New Roman"/>
                <w:sz w:val="21"/>
              </w:rPr>
              <w:t>18.55%</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2" w:right="0"/>
              <w:jc w:val="center"/>
              <w:rPr>
                <w:rFonts w:ascii="Times New Roman" w:hAnsi="Times New Roman" w:cs="Times New Roman" w:eastAsia="Times New Roman" w:hint="default"/>
                <w:sz w:val="21"/>
                <w:szCs w:val="21"/>
              </w:rPr>
            </w:pPr>
            <w:r>
              <w:rPr>
                <w:rFonts w:ascii="Times New Roman"/>
                <w:sz w:val="21"/>
              </w:rPr>
              <w:t>9.06%</w:t>
            </w:r>
          </w:p>
        </w:tc>
      </w:tr>
      <w:tr>
        <w:trPr>
          <w:trHeight w:val="367" w:hRule="exact"/>
        </w:trPr>
        <w:tc>
          <w:tcPr>
            <w:tcW w:w="18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冰箱、洗衣机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15,687,100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12,135,406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3,551,694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16.97%</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12" w:right="0"/>
              <w:jc w:val="center"/>
              <w:rPr>
                <w:rFonts w:ascii="Times New Roman" w:hAnsi="Times New Roman" w:cs="Times New Roman" w:eastAsia="Times New Roman" w:hint="default"/>
                <w:sz w:val="21"/>
                <w:szCs w:val="21"/>
              </w:rPr>
            </w:pPr>
            <w:r>
              <w:rPr>
                <w:rFonts w:ascii="Times New Roman"/>
                <w:sz w:val="21"/>
              </w:rPr>
              <w:t>21.38%</w:t>
            </w:r>
          </w:p>
        </w:tc>
      </w:tr>
      <w:tr>
        <w:trPr>
          <w:trHeight w:val="370" w:hRule="exact"/>
        </w:trPr>
        <w:tc>
          <w:tcPr>
            <w:tcW w:w="18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left="9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12,373,602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10,965,513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1,408,089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13.38%</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2" w:right="0"/>
              <w:jc w:val="center"/>
              <w:rPr>
                <w:rFonts w:ascii="Times New Roman" w:hAnsi="Times New Roman" w:cs="Times New Roman" w:eastAsia="Times New Roman" w:hint="default"/>
                <w:sz w:val="21"/>
                <w:szCs w:val="21"/>
              </w:rPr>
            </w:pPr>
            <w:r>
              <w:rPr>
                <w:rFonts w:ascii="Times New Roman"/>
                <w:sz w:val="21"/>
              </w:rPr>
              <w:t>8.48%</w:t>
            </w:r>
          </w:p>
        </w:tc>
      </w:tr>
      <w:tr>
        <w:trPr>
          <w:trHeight w:val="370" w:hRule="exact"/>
        </w:trPr>
        <w:tc>
          <w:tcPr>
            <w:tcW w:w="18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空调器产品</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11,272,584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8,936,158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2,336,426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12.19%</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2" w:right="0"/>
              <w:jc w:val="center"/>
              <w:rPr>
                <w:rFonts w:ascii="Times New Roman" w:hAnsi="Times New Roman" w:cs="Times New Roman" w:eastAsia="Times New Roman" w:hint="default"/>
                <w:sz w:val="21"/>
                <w:szCs w:val="21"/>
              </w:rPr>
            </w:pPr>
            <w:r>
              <w:rPr>
                <w:rFonts w:ascii="Times New Roman"/>
                <w:sz w:val="21"/>
              </w:rPr>
              <w:t>14.07%</w:t>
            </w:r>
          </w:p>
        </w:tc>
      </w:tr>
      <w:tr>
        <w:trPr>
          <w:trHeight w:val="379" w:hRule="exact"/>
        </w:trPr>
        <w:tc>
          <w:tcPr>
            <w:tcW w:w="18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小家电产品</w:t>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11,066,883</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8,533,839</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2,533,044</w:t>
            </w:r>
          </w:p>
        </w:tc>
        <w:tc>
          <w:tcPr>
            <w:tcW w:w="14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21"/>
                <w:szCs w:val="21"/>
              </w:rPr>
            </w:pPr>
            <w:r>
              <w:rPr>
                <w:rFonts w:ascii="Times New Roman"/>
                <w:sz w:val="21"/>
              </w:rPr>
              <w:t>11.97%</w:t>
            </w:r>
          </w:p>
        </w:tc>
        <w:tc>
          <w:tcPr>
            <w:tcW w:w="14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2" w:right="0"/>
              <w:jc w:val="center"/>
              <w:rPr>
                <w:rFonts w:ascii="Times New Roman" w:hAnsi="Times New Roman" w:cs="Times New Roman" w:eastAsia="Times New Roman" w:hint="default"/>
                <w:sz w:val="21"/>
                <w:szCs w:val="21"/>
              </w:rPr>
            </w:pPr>
            <w:r>
              <w:rPr>
                <w:rFonts w:ascii="Times New Roman"/>
                <w:sz w:val="21"/>
              </w:rPr>
              <w:t>15.25%</w:t>
            </w:r>
          </w:p>
        </w:tc>
      </w:tr>
    </w:tbl>
    <w:p>
      <w:pPr>
        <w:pStyle w:val="BodyText"/>
        <w:spacing w:line="240" w:lineRule="auto" w:before="79"/>
        <w:ind w:left="720" w:right="3386"/>
        <w:jc w:val="left"/>
      </w:pPr>
      <w:r>
        <w:rPr/>
        <w:t>（</w:t>
      </w:r>
      <w:r>
        <w:rPr>
          <w:rFonts w:ascii="Times New Roman" w:hAnsi="Times New Roman" w:cs="Times New Roman" w:eastAsia="Times New Roman" w:hint="default"/>
        </w:rPr>
        <w:t>3</w:t>
      </w:r>
      <w:r>
        <w:rPr/>
        <w:t>）报告期内主营业务或结构及盈利能力变化的说明</w:t>
      </w:r>
    </w:p>
    <w:p>
      <w:pPr>
        <w:pStyle w:val="BodyText"/>
        <w:spacing w:line="240" w:lineRule="auto"/>
        <w:ind w:left="720" w:right="3386"/>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产品销售及毛利变动整体情况</w:t>
      </w:r>
    </w:p>
    <w:p>
      <w:pPr>
        <w:pStyle w:val="BodyText"/>
        <w:spacing w:line="345" w:lineRule="auto" w:before="137"/>
        <w:ind w:left="240" w:right="1433" w:firstLine="480"/>
        <w:jc w:val="both"/>
      </w:pPr>
      <w:r>
        <w:rPr/>
        <w:t>报告期内，公司深入推进定制、包销、</w:t>
      </w:r>
      <w:r>
        <w:rPr>
          <w:rFonts w:ascii="Times New Roman" w:hAnsi="Times New Roman" w:cs="Times New Roman" w:eastAsia="Times New Roman" w:hint="default"/>
        </w:rPr>
        <w:t>OEM</w:t>
      </w:r>
      <w:r>
        <w:rPr>
          <w:rFonts w:ascii="Times New Roman" w:hAnsi="Times New Roman" w:cs="Times New Roman" w:eastAsia="Times New Roman" w:hint="default"/>
          <w:spacing w:val="34"/>
        </w:rPr>
        <w:t> </w:t>
      </w:r>
      <w:r>
        <w:rPr/>
        <w:t>等采购手段，品类毛利率稳步提升； 借助消费电子热潮，公司继续推进产品多元化策略，通讯、电脑、数码等</w:t>
      </w:r>
      <w:r>
        <w:rPr>
          <w:spacing w:val="-65"/>
        </w:rPr>
        <w:t> </w:t>
      </w:r>
      <w:r>
        <w:rPr>
          <w:rFonts w:ascii="Times New Roman" w:hAnsi="Times New Roman" w:cs="Times New Roman" w:eastAsia="Times New Roman" w:hint="default"/>
        </w:rPr>
        <w:t>3C</w:t>
      </w:r>
      <w:r>
        <w:rPr>
          <w:rFonts w:ascii="Times New Roman" w:hAnsi="Times New Roman" w:cs="Times New Roman" w:eastAsia="Times New Roman" w:hint="default"/>
          <w:spacing w:val="-6"/>
        </w:rPr>
        <w:t> </w:t>
      </w:r>
      <w:r>
        <w:rPr/>
        <w:t>产品销售 </w:t>
      </w:r>
      <w:r>
        <w:rPr>
          <w:spacing w:val="-3"/>
        </w:rPr>
        <w:t>实现快速增长，随着公司对消费类电子行业、产品的把握能力逐步加强，产品运作不断</w:t>
      </w:r>
      <w:r>
        <w:rPr>
          <w:spacing w:val="-102"/>
        </w:rPr>
        <w:t> </w:t>
      </w:r>
      <w:r>
        <w:rPr>
          <w:spacing w:val="-102"/>
        </w:rPr>
      </w:r>
      <w:r>
        <w:rPr/>
        <w:t>成熟，品类毛利率提升较快。</w:t>
      </w:r>
    </w:p>
    <w:p>
      <w:pPr>
        <w:pStyle w:val="BodyText"/>
        <w:spacing w:line="240" w:lineRule="auto" w:before="48"/>
        <w:ind w:left="720" w:right="3386"/>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分品类产品销售及毛利率变动情况</w:t>
      </w:r>
    </w:p>
    <w:p>
      <w:pPr>
        <w:pStyle w:val="BodyText"/>
        <w:tabs>
          <w:tab w:pos="1140" w:val="left" w:leader="none"/>
        </w:tabs>
        <w:spacing w:line="338" w:lineRule="auto" w:before="137"/>
        <w:ind w:left="720" w:right="144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数码及</w:t>
      </w:r>
      <w:r>
        <w:rPr>
          <w:spacing w:val="-58"/>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产品 </w:t>
      </w:r>
      <w:r>
        <w:rPr>
          <w:spacing w:val="-10"/>
        </w:rPr>
        <w:t>一方面伴随新技术应用，平板电脑、一体机等新产品不断推出；另一方面，随着“家</w:t>
      </w:r>
    </w:p>
    <w:p>
      <w:pPr>
        <w:pStyle w:val="BodyText"/>
        <w:spacing w:line="352" w:lineRule="auto" w:before="55"/>
        <w:ind w:left="240" w:right="1437"/>
        <w:jc w:val="both"/>
      </w:pPr>
      <w:r>
        <w:rPr>
          <w:spacing w:val="-3"/>
        </w:rPr>
        <w:t>电下乡”、“以旧换新”政策继续实施，电脑产品向普及度不高的三、四级市场持续渗</w:t>
      </w:r>
      <w:r>
        <w:rPr>
          <w:spacing w:val="-101"/>
        </w:rPr>
        <w:t> </w:t>
      </w:r>
      <w:r>
        <w:rPr>
          <w:spacing w:val="-101"/>
        </w:rPr>
      </w:r>
      <w:r>
        <w:rPr>
          <w:spacing w:val="-3"/>
        </w:rPr>
        <w:t>透，此外在线销售渠道认可度也不断提高，电脑市场仍然保持了快速增长的态势。公司</w:t>
      </w:r>
      <w:r>
        <w:rPr>
          <w:spacing w:val="-100"/>
        </w:rPr>
        <w:t> </w:t>
      </w:r>
      <w:r>
        <w:rPr>
          <w:spacing w:val="-100"/>
        </w:rPr>
      </w:r>
      <w:r>
        <w:rPr>
          <w:spacing w:val="-3"/>
        </w:rPr>
        <w:t>不断完善的销售网络，能够有效的对不同消费群体进行覆盖，同时凭借规范运作、专业</w:t>
      </w:r>
      <w:r>
        <w:rPr>
          <w:spacing w:val="-101"/>
        </w:rPr>
        <w:t> </w:t>
      </w:r>
      <w:r>
        <w:rPr>
          <w:spacing w:val="-101"/>
        </w:rPr>
      </w:r>
      <w:r>
        <w:rPr/>
        <w:t>化服务，渠道认可度进一步提高，电脑销售保持较快增长，同比增速达</w:t>
      </w:r>
      <w:r>
        <w:rPr>
          <w:spacing w:val="6"/>
        </w:rPr>
        <w:t> </w:t>
      </w:r>
      <w:r>
        <w:rPr>
          <w:rFonts w:ascii="Times New Roman" w:hAnsi="Times New Roman" w:cs="Times New Roman" w:eastAsia="Times New Roman" w:hint="default"/>
        </w:rPr>
        <w:t>55.65%</w:t>
      </w:r>
      <w:r>
        <w:rPr/>
        <w:t>。公司 </w:t>
      </w:r>
      <w:r>
        <w:rPr>
          <w:spacing w:val="-3"/>
        </w:rPr>
        <w:t>还进一步优化与供应商的直供合作，注重产品差异化，供应商支持力度进一步加强，产</w:t>
      </w:r>
      <w:r>
        <w:rPr>
          <w:spacing w:val="-103"/>
        </w:rPr>
        <w:t> </w:t>
      </w:r>
      <w:r>
        <w:rPr>
          <w:spacing w:val="-103"/>
        </w:rPr>
      </w:r>
      <w:r>
        <w:rPr/>
        <w:t>品毛利率水平提升。</w:t>
      </w:r>
    </w:p>
    <w:p>
      <w:pPr>
        <w:pStyle w:val="BodyText"/>
        <w:spacing w:line="240" w:lineRule="auto" w:before="41"/>
        <w:ind w:left="720" w:right="1422"/>
        <w:jc w:val="left"/>
      </w:pPr>
      <w:r>
        <w:rPr>
          <w:spacing w:val="3"/>
        </w:rPr>
        <w:t>数码产品消费升级，带动中高端数码产品销售走高，公司顺势推出“影像视界”</w:t>
      </w:r>
      <w:r>
        <w:rPr/>
      </w:r>
    </w:p>
    <w:p>
      <w:pPr>
        <w:pStyle w:val="BodyText"/>
        <w:spacing w:line="338" w:lineRule="auto" w:before="154"/>
        <w:ind w:left="240" w:right="1437"/>
        <w:jc w:val="both"/>
      </w:pPr>
      <w:r>
        <w:rPr/>
        <w:t>（</w:t>
      </w:r>
      <w:r>
        <w:rPr>
          <w:rFonts w:ascii="Times New Roman" w:hAnsi="Times New Roman" w:cs="Times New Roman" w:eastAsia="Times New Roman" w:hint="default"/>
        </w:rPr>
        <w:t>Image</w:t>
      </w:r>
      <w:r>
        <w:rPr>
          <w:rFonts w:ascii="Times New Roman" w:hAnsi="Times New Roman" w:cs="Times New Roman" w:eastAsia="Times New Roman" w:hint="default"/>
          <w:spacing w:val="46"/>
        </w:rPr>
        <w:t> </w:t>
      </w:r>
      <w:r>
        <w:rPr>
          <w:rFonts w:ascii="Times New Roman" w:hAnsi="Times New Roman" w:cs="Times New Roman" w:eastAsia="Times New Roman" w:hint="default"/>
        </w:rPr>
        <w:t>Vision</w:t>
      </w:r>
      <w:r>
        <w:rPr/>
        <w:t>）数码旗舰体验中心，增强顾客消费体验，促进产品销售。同时，公司 加强数码产品的单品运作，实施首销、包销模式，品类毛利水平得到改善提升。</w:t>
      </w:r>
    </w:p>
    <w:p>
      <w:pPr>
        <w:pStyle w:val="BodyText"/>
        <w:tabs>
          <w:tab w:pos="1140" w:val="left" w:leader="none"/>
        </w:tabs>
        <w:spacing w:line="338" w:lineRule="auto" w:before="55"/>
        <w:ind w:left="840" w:right="1440"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通讯产品 随着消费者对智能手机认知度的提高，国内智能手机普及化趋势延续，通讯产品</w:t>
      </w:r>
    </w:p>
    <w:p>
      <w:pPr>
        <w:spacing w:after="0" w:line="338" w:lineRule="auto"/>
        <w:jc w:val="left"/>
        <w:sectPr>
          <w:pgSz w:w="11910" w:h="16840"/>
          <w:pgMar w:header="748" w:footer="706" w:top="980" w:bottom="900" w:left="1200" w:right="0"/>
        </w:sectPr>
      </w:pPr>
    </w:p>
    <w:p>
      <w:pPr>
        <w:spacing w:line="240" w:lineRule="auto" w:before="6"/>
        <w:rPr>
          <w:rFonts w:ascii="宋体" w:hAnsi="宋体" w:cs="宋体" w:eastAsia="宋体" w:hint="default"/>
          <w:sz w:val="29"/>
          <w:szCs w:val="29"/>
        </w:rPr>
      </w:pPr>
    </w:p>
    <w:p>
      <w:pPr>
        <w:pStyle w:val="BodyText"/>
        <w:spacing w:line="333" w:lineRule="auto" w:before="26"/>
        <w:ind w:left="240" w:right="1435"/>
        <w:jc w:val="both"/>
      </w:pPr>
      <w:r>
        <w:rPr>
          <w:spacing w:val="-3"/>
        </w:rPr>
        <w:t>升级换代频率加快；同时，公司不断深化与三大运营商的战略合作，整合供应商、运营</w:t>
      </w:r>
      <w:r>
        <w:rPr>
          <w:spacing w:val="-97"/>
        </w:rPr>
        <w:t> </w:t>
      </w:r>
      <w:r>
        <w:rPr>
          <w:spacing w:val="-97"/>
        </w:rPr>
      </w:r>
      <w:r>
        <w:rPr>
          <w:spacing w:val="-3"/>
        </w:rPr>
        <w:t>商、零售商三方资源，推进独家首销、深度包销等，加强销售人员专业培训，通讯产品</w:t>
      </w:r>
      <w:r>
        <w:rPr>
          <w:spacing w:val="-103"/>
        </w:rPr>
        <w:t> </w:t>
      </w:r>
      <w:r>
        <w:rPr>
          <w:spacing w:val="-103"/>
        </w:rPr>
      </w:r>
      <w:r>
        <w:rPr>
          <w:spacing w:val="-3"/>
        </w:rPr>
        <w:t>的终端销售能力持续提升。报告期内，通讯产品的销售维持快速增长、毛利水平稳步提</w:t>
      </w:r>
      <w:r>
        <w:rPr>
          <w:spacing w:val="-100"/>
        </w:rPr>
        <w:t> </w:t>
      </w:r>
      <w:r>
        <w:rPr>
          <w:spacing w:val="-100"/>
        </w:rPr>
      </w:r>
      <w:r>
        <w:rPr/>
        <w:t>升。</w:t>
      </w:r>
    </w:p>
    <w:p>
      <w:pPr>
        <w:pStyle w:val="BodyText"/>
        <w:tabs>
          <w:tab w:pos="1140" w:val="left" w:leader="none"/>
        </w:tabs>
        <w:spacing w:line="316" w:lineRule="auto" w:before="29"/>
        <w:ind w:left="720" w:right="1439"/>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彩电、冰洗产品 </w:t>
      </w:r>
      <w:r>
        <w:rPr>
          <w:spacing w:val="-3"/>
        </w:rPr>
        <w:t>报告期内，受宏观经济调控影响，市场需求有所放缓，品类增长主要受技术升级驱</w:t>
      </w:r>
    </w:p>
    <w:p>
      <w:pPr>
        <w:pStyle w:val="BodyText"/>
        <w:spacing w:line="324" w:lineRule="auto" w:before="46"/>
        <w:ind w:left="240" w:right="1433"/>
        <w:jc w:val="both"/>
      </w:pPr>
      <w:r>
        <w:rPr/>
        <w:t>动。</w:t>
      </w:r>
      <w:r>
        <w:rPr>
          <w:rFonts w:ascii="Times New Roman" w:hAnsi="Times New Roman" w:cs="Times New Roman" w:eastAsia="Times New Roman" w:hint="default"/>
        </w:rPr>
        <w:t>LED</w:t>
      </w:r>
      <w:r>
        <w:rPr>
          <w:rFonts w:ascii="Times New Roman" w:hAnsi="Times New Roman" w:cs="Times New Roman" w:eastAsia="Times New Roman" w:hint="default"/>
          <w:spacing w:val="37"/>
        </w:rPr>
        <w:t> </w:t>
      </w:r>
      <w:r>
        <w:rPr/>
        <w:t>电视产品占比进一步提升，彩电制造商更加重视对网络资源和应用程序的开</w:t>
      </w:r>
      <w:r>
        <w:rPr>
          <w:spacing w:val="-118"/>
        </w:rPr>
        <w:t> </w:t>
      </w:r>
      <w:r>
        <w:rPr>
          <w:spacing w:val="-118"/>
        </w:rPr>
      </w:r>
      <w:r>
        <w:rPr/>
        <w:t>发投入，使得</w:t>
      </w:r>
      <w:r>
        <w:rPr>
          <w:spacing w:val="-73"/>
        </w:rPr>
        <w:t> </w:t>
      </w:r>
      <w:r>
        <w:rPr>
          <w:rFonts w:ascii="Times New Roman" w:hAnsi="Times New Roman" w:cs="Times New Roman" w:eastAsia="Times New Roman" w:hint="default"/>
        </w:rPr>
        <w:t>3D</w:t>
      </w:r>
      <w:r>
        <w:rPr>
          <w:rFonts w:ascii="Times New Roman" w:hAnsi="Times New Roman" w:cs="Times New Roman" w:eastAsia="Times New Roman" w:hint="default"/>
          <w:spacing w:val="-13"/>
        </w:rPr>
        <w:t> </w:t>
      </w:r>
      <w:r>
        <w:rPr/>
        <w:t>电视、智能网络电视得到较快普及；滚筒洗衣机、大容量洗衣机逐步 </w:t>
      </w:r>
      <w:r>
        <w:rPr>
          <w:spacing w:val="-3"/>
        </w:rPr>
        <w:t>成为市场主流，性价比较高的低端洗衣机在三、四级市场也受到消费者普遍欢迎。毛利</w:t>
      </w:r>
      <w:r>
        <w:rPr>
          <w:spacing w:val="-100"/>
        </w:rPr>
        <w:t> </w:t>
      </w:r>
      <w:r>
        <w:rPr>
          <w:spacing w:val="-100"/>
        </w:rPr>
      </w:r>
      <w:r>
        <w:rPr>
          <w:spacing w:val="-3"/>
        </w:rPr>
        <w:t>率方面，公司实施差异化策略，提高定制包销、自主产品销售占比，毛利率水平稳步提</w:t>
      </w:r>
      <w:r>
        <w:rPr>
          <w:spacing w:val="-96"/>
        </w:rPr>
        <w:t> </w:t>
      </w:r>
      <w:r>
        <w:rPr>
          <w:spacing w:val="-96"/>
        </w:rPr>
      </w:r>
      <w:r>
        <w:rPr/>
        <w:t>升。</w:t>
      </w:r>
    </w:p>
    <w:p>
      <w:pPr>
        <w:pStyle w:val="BodyText"/>
        <w:tabs>
          <w:tab w:pos="1140" w:val="left" w:leader="none"/>
        </w:tabs>
        <w:spacing w:line="316" w:lineRule="auto" w:before="38"/>
        <w:ind w:left="840" w:right="1437" w:hanging="12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空调产品 </w:t>
      </w:r>
      <w:r>
        <w:rPr>
          <w:spacing w:val="-6"/>
        </w:rPr>
        <w:t>受上半年“能效补贴”政策退出，“以旧换新”政策激励效应减弱以及凉夏带来的</w:t>
      </w:r>
    </w:p>
    <w:p>
      <w:pPr>
        <w:pStyle w:val="BodyText"/>
        <w:spacing w:line="333" w:lineRule="auto" w:before="46"/>
        <w:ind w:left="240" w:right="1433"/>
        <w:jc w:val="both"/>
      </w:pPr>
      <w:r>
        <w:rPr>
          <w:spacing w:val="-3"/>
        </w:rPr>
        <w:t>“旺季不旺”等因素的影响，报告期内，空调产品的市场需求减缓。但公司抓住市场机</w:t>
      </w:r>
      <w:r>
        <w:rPr>
          <w:spacing w:val="-98"/>
        </w:rPr>
        <w:t> </w:t>
      </w:r>
      <w:r>
        <w:rPr>
          <w:spacing w:val="-98"/>
        </w:rPr>
      </w:r>
      <w:r>
        <w:rPr>
          <w:spacing w:val="-3"/>
        </w:rPr>
        <w:t>遇，大力推广高能效变频空调产品，并积极推进三、四级市场连锁网络拓展，借助“家</w:t>
      </w:r>
      <w:r>
        <w:rPr>
          <w:spacing w:val="-106"/>
        </w:rPr>
        <w:t> </w:t>
      </w:r>
      <w:r>
        <w:rPr>
          <w:spacing w:val="-106"/>
        </w:rPr>
      </w:r>
      <w:r>
        <w:rPr>
          <w:spacing w:val="-3"/>
        </w:rPr>
        <w:t>电下乡”政策有效扩大市场增量。报告期内，空调产品销售保持稳定增长，毛利率水平</w:t>
      </w:r>
      <w:r>
        <w:rPr>
          <w:spacing w:val="-96"/>
        </w:rPr>
        <w:t> </w:t>
      </w:r>
      <w:r>
        <w:rPr>
          <w:spacing w:val="-96"/>
        </w:rPr>
      </w:r>
      <w:r>
        <w:rPr/>
        <w:t>也持续稳定。</w:t>
      </w:r>
    </w:p>
    <w:p>
      <w:pPr>
        <w:pStyle w:val="BodyText"/>
        <w:tabs>
          <w:tab w:pos="1140" w:val="left" w:leader="none"/>
        </w:tabs>
        <w:spacing w:line="338" w:lineRule="auto" w:before="29"/>
        <w:ind w:left="720" w:right="143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生活电器、厨卫产品 </w:t>
      </w:r>
      <w:r>
        <w:rPr>
          <w:spacing w:val="-3"/>
        </w:rPr>
        <w:t>报告期内，国家加大了房地产市场调控，厨卫产品销售受到一定影响，公司积极应</w:t>
      </w:r>
    </w:p>
    <w:p>
      <w:pPr>
        <w:pStyle w:val="BodyText"/>
        <w:spacing w:line="357" w:lineRule="auto" w:before="55"/>
        <w:ind w:left="720" w:right="1328" w:hanging="480"/>
        <w:jc w:val="left"/>
      </w:pPr>
      <w:r>
        <w:rPr/>
        <w:t>对，加大了高毛利产品销售推广； 生活电器方面，随着居民消费生活品质的提升，对生活电器的功能换代需求增加，</w:t>
      </w:r>
    </w:p>
    <w:p>
      <w:pPr>
        <w:pStyle w:val="BodyText"/>
        <w:spacing w:line="357" w:lineRule="auto" w:before="36"/>
        <w:ind w:left="240" w:right="1437"/>
        <w:jc w:val="both"/>
      </w:pPr>
      <w:r>
        <w:rPr>
          <w:spacing w:val="-3"/>
        </w:rPr>
        <w:t>另外对健康类电器产品的需求增长也较快。公司进一步丰富生活电器产品品类，优化销</w:t>
      </w:r>
      <w:r>
        <w:rPr>
          <w:spacing w:val="-97"/>
        </w:rPr>
        <w:t> </w:t>
      </w:r>
      <w:r>
        <w:rPr>
          <w:spacing w:val="-97"/>
        </w:rPr>
      </w:r>
      <w:r>
        <w:rPr>
          <w:spacing w:val="-3"/>
        </w:rPr>
        <w:t>售结构，拓展销售渠道，加大定制、包销产品的采购，销售保持稳定增长，毛利水平持</w:t>
      </w:r>
      <w:r>
        <w:rPr>
          <w:spacing w:val="-103"/>
        </w:rPr>
        <w:t> </w:t>
      </w:r>
      <w:r>
        <w:rPr>
          <w:spacing w:val="-103"/>
        </w:rPr>
      </w:r>
      <w:r>
        <w:rPr/>
        <w:t>续提高。</w:t>
      </w:r>
    </w:p>
    <w:p>
      <w:pPr>
        <w:tabs>
          <w:tab w:pos="7321" w:val="left" w:leader="none"/>
        </w:tabs>
        <w:spacing w:before="36"/>
        <w:ind w:left="720" w:right="142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、销售费用和管理费用情况分析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414"/>
        <w:gridCol w:w="1527"/>
        <w:gridCol w:w="1488"/>
        <w:gridCol w:w="1620"/>
        <w:gridCol w:w="1477"/>
        <w:gridCol w:w="1721"/>
      </w:tblGrid>
      <w:tr>
        <w:trPr>
          <w:trHeight w:val="348" w:hRule="exact"/>
        </w:trPr>
        <w:tc>
          <w:tcPr>
            <w:tcW w:w="1414" w:type="dxa"/>
            <w:vMerge w:val="restart"/>
            <w:tcBorders>
              <w:top w:val="single" w:sz="12" w:space="0" w:color="000000"/>
              <w:left w:val="single" w:sz="12" w:space="0" w:color="000000"/>
              <w:right w:val="single" w:sz="4" w:space="0" w:color="000000"/>
            </w:tcBorders>
          </w:tcPr>
          <w:p>
            <w:pPr>
              <w:pStyle w:val="TableParagraph"/>
              <w:tabs>
                <w:tab w:pos="902" w:val="left" w:leader="none"/>
              </w:tabs>
              <w:spacing w:line="240" w:lineRule="auto" w:before="141"/>
              <w:ind w:left="2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5" w:lineRule="exact"/>
              <w:ind w:left="8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309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5" w:lineRule="exact"/>
              <w:ind w:left="8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721" w:type="dxa"/>
            <w:vMerge w:val="restart"/>
            <w:tcBorders>
              <w:top w:val="single" w:sz="12" w:space="0" w:color="000000"/>
              <w:left w:val="single" w:sz="4" w:space="0" w:color="000000"/>
              <w:right w:val="single" w:sz="12" w:space="0" w:color="000000"/>
            </w:tcBorders>
          </w:tcPr>
          <w:p>
            <w:pPr>
              <w:pStyle w:val="TableParagraph"/>
              <w:spacing w:line="240" w:lineRule="auto" w:before="4"/>
              <w:ind w:left="434" w:right="422"/>
              <w:jc w:val="left"/>
              <w:rPr>
                <w:rFonts w:ascii="宋体" w:hAnsi="宋体" w:cs="宋体" w:eastAsia="宋体" w:hint="default"/>
                <w:sz w:val="21"/>
                <w:szCs w:val="21"/>
              </w:rPr>
            </w:pPr>
            <w:r>
              <w:rPr>
                <w:rFonts w:ascii="宋体" w:hAnsi="宋体" w:cs="宋体" w:eastAsia="宋体" w:hint="default"/>
                <w:sz w:val="21"/>
                <w:szCs w:val="21"/>
              </w:rPr>
              <w:t>费用占比</w:t>
            </w:r>
            <w:r>
              <w:rPr>
                <w:rFonts w:ascii="宋体" w:hAnsi="宋体" w:cs="宋体" w:eastAsia="宋体" w:hint="default"/>
                <w:w w:val="100"/>
                <w:sz w:val="21"/>
                <w:szCs w:val="21"/>
              </w:rPr>
              <w:t> </w:t>
            </w:r>
            <w:r>
              <w:rPr>
                <w:rFonts w:ascii="宋体" w:hAnsi="宋体" w:cs="宋体" w:eastAsia="宋体" w:hint="default"/>
                <w:sz w:val="21"/>
                <w:szCs w:val="21"/>
              </w:rPr>
              <w:t>变动情况</w:t>
            </w:r>
          </w:p>
        </w:tc>
      </w:tr>
      <w:tr>
        <w:trPr>
          <w:trHeight w:val="295" w:hRule="exact"/>
        </w:trPr>
        <w:tc>
          <w:tcPr>
            <w:tcW w:w="1414" w:type="dxa"/>
            <w:vMerge/>
            <w:tcBorders>
              <w:left w:val="single" w:sz="12"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占主营收入比</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占主营收入比</w:t>
            </w:r>
          </w:p>
        </w:tc>
        <w:tc>
          <w:tcPr>
            <w:tcW w:w="1721" w:type="dxa"/>
            <w:vMerge/>
            <w:tcBorders>
              <w:left w:val="single" w:sz="4" w:space="0" w:color="000000"/>
              <w:bottom w:val="single" w:sz="4" w:space="0" w:color="000000"/>
              <w:right w:val="single" w:sz="12" w:space="0" w:color="000000"/>
            </w:tcBorders>
          </w:tcPr>
          <w:p>
            <w:pP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Arial" w:hAnsi="Arial" w:cs="Arial" w:eastAsia="Arial" w:hint="default"/>
                <w:sz w:val="20"/>
                <w:szCs w:val="20"/>
              </w:rPr>
            </w:pPr>
            <w:r>
              <w:rPr>
                <w:rFonts w:ascii="Arial"/>
                <w:w w:val="95"/>
                <w:sz w:val="20"/>
              </w:rPr>
              <w:t>3,615,831</w:t>
            </w:r>
            <w:r>
              <w:rPr>
                <w:rFonts w:ascii="Arial"/>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Arial" w:hAnsi="Arial" w:cs="Arial" w:eastAsia="Arial" w:hint="default"/>
                <w:sz w:val="20"/>
                <w:szCs w:val="20"/>
              </w:rPr>
            </w:pPr>
            <w:r>
              <w:rPr>
                <w:rFonts w:ascii="Arial"/>
                <w:spacing w:val="-1"/>
                <w:w w:val="95"/>
                <w:sz w:val="20"/>
              </w:rPr>
              <w:t>3.91%</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w:hAnsi="Arial" w:cs="Arial" w:eastAsia="Arial" w:hint="default"/>
                <w:sz w:val="20"/>
                <w:szCs w:val="20"/>
              </w:rPr>
            </w:pPr>
            <w:r>
              <w:rPr>
                <w:rFonts w:ascii="Arial"/>
                <w:w w:val="95"/>
                <w:sz w:val="20"/>
              </w:rPr>
              <w:t>2,610,233</w:t>
            </w:r>
            <w:r>
              <w:rPr>
                <w:rFonts w:ascii="Arial"/>
                <w:sz w:val="20"/>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Arial" w:hAnsi="Arial" w:cs="Arial" w:eastAsia="Arial" w:hint="default"/>
                <w:sz w:val="20"/>
                <w:szCs w:val="20"/>
              </w:rPr>
            </w:pPr>
            <w:r>
              <w:rPr>
                <w:rFonts w:ascii="Arial"/>
                <w:spacing w:val="-1"/>
                <w:w w:val="95"/>
                <w:sz w:val="20"/>
              </w:rPr>
              <w:t>3.52%</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3" w:right="0"/>
              <w:jc w:val="center"/>
              <w:rPr>
                <w:rFonts w:ascii="Arial" w:hAnsi="Arial" w:cs="Arial" w:eastAsia="Arial" w:hint="default"/>
                <w:sz w:val="20"/>
                <w:szCs w:val="20"/>
              </w:rPr>
            </w:pPr>
            <w:r>
              <w:rPr>
                <w:rFonts w:ascii="Arial"/>
                <w:sz w:val="20"/>
              </w:rPr>
              <w:t>0.39%</w:t>
            </w:r>
          </w:p>
        </w:tc>
      </w:tr>
      <w:tr>
        <w:trPr>
          <w:trHeight w:val="293"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93" w:right="0"/>
              <w:jc w:val="left"/>
              <w:rPr>
                <w:rFonts w:ascii="宋体" w:hAnsi="宋体" w:cs="宋体" w:eastAsia="宋体" w:hint="default"/>
                <w:sz w:val="21"/>
                <w:szCs w:val="21"/>
              </w:rPr>
            </w:pPr>
            <w:r>
              <w:rPr>
                <w:rFonts w:ascii="宋体" w:hAnsi="宋体" w:cs="宋体" w:eastAsia="宋体" w:hint="default"/>
                <w:sz w:val="21"/>
                <w:szCs w:val="21"/>
              </w:rPr>
              <w:t>人员费用</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Arial" w:hAnsi="Arial" w:cs="Arial" w:eastAsia="Arial" w:hint="default"/>
                <w:sz w:val="20"/>
                <w:szCs w:val="20"/>
              </w:rPr>
            </w:pPr>
            <w:r>
              <w:rPr>
                <w:rFonts w:ascii="Arial"/>
                <w:w w:val="95"/>
                <w:sz w:val="20"/>
              </w:rPr>
              <w:t>3,585,182</w:t>
            </w:r>
            <w:r>
              <w:rPr>
                <w:rFonts w:ascii="Arial"/>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Arial" w:hAnsi="Arial" w:cs="Arial" w:eastAsia="Arial" w:hint="default"/>
                <w:sz w:val="20"/>
                <w:szCs w:val="20"/>
              </w:rPr>
            </w:pPr>
            <w:r>
              <w:rPr>
                <w:rFonts w:ascii="Arial"/>
                <w:spacing w:val="-1"/>
                <w:w w:val="95"/>
                <w:sz w:val="20"/>
              </w:rPr>
              <w:t>3.88%</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Arial" w:hAnsi="Arial" w:cs="Arial" w:eastAsia="Arial" w:hint="default"/>
                <w:sz w:val="20"/>
                <w:szCs w:val="20"/>
              </w:rPr>
            </w:pPr>
            <w:r>
              <w:rPr>
                <w:rFonts w:ascii="Arial"/>
                <w:w w:val="95"/>
                <w:sz w:val="20"/>
              </w:rPr>
              <w:t>2,213,233</w:t>
            </w:r>
            <w:r>
              <w:rPr>
                <w:rFonts w:ascii="Arial"/>
                <w:sz w:val="20"/>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5"/>
              <w:jc w:val="right"/>
              <w:rPr>
                <w:rFonts w:ascii="Arial" w:hAnsi="Arial" w:cs="Arial" w:eastAsia="Arial" w:hint="default"/>
                <w:sz w:val="20"/>
                <w:szCs w:val="20"/>
              </w:rPr>
            </w:pPr>
            <w:r>
              <w:rPr>
                <w:rFonts w:ascii="Arial"/>
                <w:spacing w:val="-1"/>
                <w:w w:val="95"/>
                <w:sz w:val="20"/>
              </w:rPr>
              <w:t>2.98%</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3"/>
              <w:ind w:left="3" w:right="0"/>
              <w:jc w:val="center"/>
              <w:rPr>
                <w:rFonts w:ascii="Arial" w:hAnsi="Arial" w:cs="Arial" w:eastAsia="Arial" w:hint="default"/>
                <w:sz w:val="20"/>
                <w:szCs w:val="20"/>
              </w:rPr>
            </w:pPr>
            <w:r>
              <w:rPr>
                <w:rFonts w:ascii="Arial"/>
                <w:sz w:val="20"/>
              </w:rPr>
              <w:t>0.90%</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w w:val="95"/>
                <w:sz w:val="20"/>
              </w:rPr>
              <w:t>1,397,609</w:t>
            </w:r>
            <w:r>
              <w:rPr>
                <w:rFonts w:ascii="Arial"/>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w w:val="95"/>
                <w:sz w:val="20"/>
              </w:rPr>
              <w:t>1.51%</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954,812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Arial" w:hAnsi="Arial" w:cs="Arial" w:eastAsia="Arial" w:hint="default"/>
                <w:sz w:val="20"/>
                <w:szCs w:val="20"/>
              </w:rPr>
            </w:pPr>
            <w:r>
              <w:rPr>
                <w:rFonts w:ascii="Arial"/>
                <w:spacing w:val="-1"/>
                <w:w w:val="95"/>
                <w:sz w:val="20"/>
              </w:rPr>
              <w:t>1.29%</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3" w:right="0"/>
              <w:jc w:val="center"/>
              <w:rPr>
                <w:rFonts w:ascii="Arial" w:hAnsi="Arial" w:cs="Arial" w:eastAsia="Arial" w:hint="default"/>
                <w:sz w:val="20"/>
                <w:szCs w:val="20"/>
              </w:rPr>
            </w:pPr>
            <w:r>
              <w:rPr>
                <w:rFonts w:ascii="Arial"/>
                <w:sz w:val="20"/>
              </w:rPr>
              <w:t>0.22%</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广告促销费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w w:val="95"/>
                <w:sz w:val="20"/>
              </w:rPr>
              <w:t>1,191,805</w:t>
            </w:r>
            <w:r>
              <w:rPr>
                <w:rFonts w:ascii="Arial"/>
                <w:sz w:val="20"/>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w w:val="95"/>
                <w:sz w:val="20"/>
              </w:rPr>
              <w:t>1.29%</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w w:val="95"/>
                <w:sz w:val="20"/>
              </w:rPr>
              <w:t>1,146,622</w:t>
            </w:r>
            <w:r>
              <w:rPr>
                <w:rFonts w:ascii="Arial"/>
                <w:sz w:val="20"/>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Arial" w:hAnsi="Arial" w:cs="Arial" w:eastAsia="Arial" w:hint="default"/>
                <w:sz w:val="20"/>
                <w:szCs w:val="20"/>
              </w:rPr>
            </w:pPr>
            <w:r>
              <w:rPr>
                <w:rFonts w:ascii="Arial"/>
                <w:spacing w:val="-1"/>
                <w:w w:val="95"/>
                <w:sz w:val="20"/>
              </w:rPr>
              <w:t>1.54%</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3" w:right="0"/>
              <w:jc w:val="center"/>
              <w:rPr>
                <w:rFonts w:ascii="Arial" w:hAnsi="Arial" w:cs="Arial" w:eastAsia="Arial" w:hint="default"/>
                <w:sz w:val="20"/>
                <w:szCs w:val="20"/>
              </w:rPr>
            </w:pPr>
            <w:r>
              <w:rPr>
                <w:rFonts w:ascii="Arial"/>
                <w:sz w:val="20"/>
              </w:rPr>
              <w:t>-0.25%</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Arial" w:hAnsi="Arial" w:cs="Arial" w:eastAsia="Arial" w:hint="default"/>
                <w:sz w:val="20"/>
                <w:szCs w:val="20"/>
              </w:rPr>
            </w:pPr>
            <w:r>
              <w:rPr>
                <w:rFonts w:ascii="Arial"/>
                <w:spacing w:val="-1"/>
                <w:sz w:val="20"/>
              </w:rPr>
              <w:t>634,929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w w:val="95"/>
                <w:sz w:val="20"/>
              </w:rPr>
              <w:t>0.69%</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463,832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Arial" w:hAnsi="Arial" w:cs="Arial" w:eastAsia="Arial" w:hint="default"/>
                <w:sz w:val="20"/>
                <w:szCs w:val="20"/>
              </w:rPr>
            </w:pPr>
            <w:r>
              <w:rPr>
                <w:rFonts w:ascii="Arial"/>
                <w:spacing w:val="-1"/>
                <w:w w:val="95"/>
                <w:sz w:val="20"/>
              </w:rPr>
              <w:t>0.62%</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3" w:right="0"/>
              <w:jc w:val="center"/>
              <w:rPr>
                <w:rFonts w:ascii="Arial" w:hAnsi="Arial" w:cs="Arial" w:eastAsia="Arial" w:hint="default"/>
                <w:sz w:val="20"/>
                <w:szCs w:val="20"/>
              </w:rPr>
            </w:pPr>
            <w:r>
              <w:rPr>
                <w:rFonts w:ascii="Arial"/>
                <w:sz w:val="20"/>
              </w:rPr>
              <w:t>0.07%</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sz w:val="20"/>
              </w:rPr>
              <w:t>556,831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w w:val="95"/>
                <w:sz w:val="20"/>
              </w:rPr>
              <w:t>0.60%</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388,804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Arial" w:hAnsi="Arial" w:cs="Arial" w:eastAsia="Arial" w:hint="default"/>
                <w:sz w:val="20"/>
                <w:szCs w:val="20"/>
              </w:rPr>
            </w:pPr>
            <w:r>
              <w:rPr>
                <w:rFonts w:ascii="Arial"/>
                <w:spacing w:val="-1"/>
                <w:w w:val="95"/>
                <w:sz w:val="20"/>
              </w:rPr>
              <w:t>0.52%</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3" w:right="0"/>
              <w:jc w:val="center"/>
              <w:rPr>
                <w:rFonts w:ascii="Arial" w:hAnsi="Arial" w:cs="Arial" w:eastAsia="Arial" w:hint="default"/>
                <w:sz w:val="20"/>
                <w:szCs w:val="20"/>
              </w:rPr>
            </w:pPr>
            <w:r>
              <w:rPr>
                <w:rFonts w:ascii="Arial"/>
                <w:sz w:val="20"/>
              </w:rPr>
              <w:t>0.08%</w:t>
            </w:r>
          </w:p>
        </w:tc>
      </w:tr>
      <w:tr>
        <w:trPr>
          <w:trHeight w:val="295" w:hRule="exact"/>
        </w:trPr>
        <w:tc>
          <w:tcPr>
            <w:tcW w:w="1414"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装潢费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sz w:val="20"/>
              </w:rPr>
              <w:t>473,796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spacing w:val="-1"/>
                <w:w w:val="95"/>
                <w:sz w:val="20"/>
              </w:rPr>
              <w:t>0.51%</w:t>
            </w:r>
            <w:r>
              <w:rPr>
                <w:rFonts w:ascii="Arial"/>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281,884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Arial" w:hAnsi="Arial" w:cs="Arial" w:eastAsia="Arial" w:hint="default"/>
                <w:sz w:val="20"/>
                <w:szCs w:val="20"/>
              </w:rPr>
            </w:pPr>
            <w:r>
              <w:rPr>
                <w:rFonts w:ascii="Arial"/>
                <w:spacing w:val="-1"/>
                <w:w w:val="95"/>
                <w:sz w:val="20"/>
              </w:rPr>
              <w:t>0.38%</w:t>
            </w:r>
            <w:r>
              <w:rPr>
                <w:rFonts w:ascii="Arial"/>
                <w:sz w:val="20"/>
              </w:rPr>
            </w:r>
          </w:p>
        </w:tc>
        <w:tc>
          <w:tcPr>
            <w:tcW w:w="172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3" w:right="0"/>
              <w:jc w:val="center"/>
              <w:rPr>
                <w:rFonts w:ascii="Arial" w:hAnsi="Arial" w:cs="Arial" w:eastAsia="Arial" w:hint="default"/>
                <w:sz w:val="20"/>
                <w:szCs w:val="20"/>
              </w:rPr>
            </w:pPr>
            <w:r>
              <w:rPr>
                <w:rFonts w:ascii="Arial"/>
                <w:sz w:val="20"/>
              </w:rPr>
              <w:t>0.13%</w:t>
            </w:r>
          </w:p>
        </w:tc>
      </w:tr>
      <w:tr>
        <w:trPr>
          <w:trHeight w:val="305" w:hRule="exact"/>
        </w:trPr>
        <w:tc>
          <w:tcPr>
            <w:tcW w:w="1414" w:type="dxa"/>
            <w:tcBorders>
              <w:top w:val="single" w:sz="4" w:space="0" w:color="000000"/>
              <w:left w:val="single" w:sz="12" w:space="0" w:color="000000"/>
              <w:bottom w:val="single" w:sz="12" w:space="0" w:color="000000"/>
              <w:right w:val="single" w:sz="4" w:space="0" w:color="000000"/>
            </w:tcBorders>
          </w:tcPr>
          <w:p>
            <w:pPr>
              <w:pStyle w:val="TableParagraph"/>
              <w:spacing w:line="248" w:lineRule="exact"/>
              <w:ind w:left="9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Arial" w:hAnsi="Arial" w:cs="Arial" w:eastAsia="Arial" w:hint="default"/>
                <w:sz w:val="20"/>
                <w:szCs w:val="20"/>
              </w:rPr>
            </w:pPr>
            <w:r>
              <w:rPr>
                <w:rFonts w:ascii="Arial"/>
                <w:spacing w:val="-2"/>
                <w:sz w:val="20"/>
              </w:rPr>
              <w:t>11,455,983</w:t>
            </w:r>
          </w:p>
        </w:tc>
        <w:tc>
          <w:tcPr>
            <w:tcW w:w="14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w w:val="95"/>
                <w:sz w:val="20"/>
              </w:rPr>
              <w:t>12.39%</w:t>
            </w:r>
            <w:r>
              <w:rPr>
                <w:rFonts w:ascii="Arial"/>
                <w:sz w:val="20"/>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w w:val="95"/>
                <w:sz w:val="20"/>
              </w:rPr>
              <w:t>8,059,420</w:t>
            </w:r>
            <w:r>
              <w:rPr>
                <w:rFonts w:ascii="Arial"/>
                <w:sz w:val="20"/>
              </w:rPr>
            </w:r>
          </w:p>
        </w:tc>
        <w:tc>
          <w:tcPr>
            <w:tcW w:w="14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10.85%</w:t>
            </w:r>
          </w:p>
        </w:tc>
        <w:tc>
          <w:tcPr>
            <w:tcW w:w="172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left="4" w:right="0"/>
              <w:jc w:val="center"/>
              <w:rPr>
                <w:rFonts w:ascii="Arial" w:hAnsi="Arial" w:cs="Arial" w:eastAsia="Arial" w:hint="default"/>
                <w:sz w:val="20"/>
                <w:szCs w:val="20"/>
              </w:rPr>
            </w:pPr>
            <w:r>
              <w:rPr>
                <w:rFonts w:ascii="Arial"/>
                <w:sz w:val="20"/>
              </w:rPr>
              <w:t>1.54%</w:t>
            </w:r>
          </w:p>
        </w:tc>
      </w:tr>
    </w:tbl>
    <w:p>
      <w:pPr>
        <w:spacing w:after="0" w:line="240" w:lineRule="auto"/>
        <w:jc w:val="center"/>
        <w:rPr>
          <w:rFonts w:ascii="Arial" w:hAnsi="Arial" w:cs="Arial" w:eastAsia="Arial" w:hint="default"/>
          <w:sz w:val="20"/>
          <w:szCs w:val="20"/>
        </w:rPr>
        <w:sectPr>
          <w:footerReference w:type="default" r:id="rId41"/>
          <w:pgSz w:w="11910" w:h="16840"/>
          <w:pgMar w:footer="857" w:header="748" w:top="980" w:bottom="1040" w:left="1200" w:right="0"/>
          <w:pgNumType w:start="46"/>
        </w:sectPr>
      </w:pPr>
    </w:p>
    <w:p>
      <w:pPr>
        <w:spacing w:line="240" w:lineRule="auto" w:before="6"/>
        <w:rPr>
          <w:rFonts w:ascii="宋体" w:hAnsi="宋体" w:cs="宋体" w:eastAsia="宋体" w:hint="default"/>
          <w:sz w:val="29"/>
          <w:szCs w:val="29"/>
        </w:rPr>
      </w:pPr>
    </w:p>
    <w:p>
      <w:pPr>
        <w:pStyle w:val="BodyText"/>
        <w:spacing w:line="338" w:lineRule="auto" w:before="26"/>
        <w:ind w:right="1418" w:firstLine="480"/>
        <w:jc w:val="left"/>
      </w:pPr>
      <w:r>
        <w:rPr/>
        <w:t>报告期内，公司管理费用率和销售费用率较去年同期合计上升 </w:t>
      </w:r>
      <w:r>
        <w:rPr>
          <w:rFonts w:ascii="Times New Roman" w:hAnsi="Times New Roman" w:cs="Times New Roman" w:eastAsia="Times New Roman" w:hint="default"/>
        </w:rPr>
        <w:t>1.54</w:t>
      </w:r>
      <w:r>
        <w:rPr>
          <w:rFonts w:ascii="Times New Roman" w:hAnsi="Times New Roman" w:cs="Times New Roman" w:eastAsia="Times New Roman" w:hint="default"/>
          <w:spacing w:val="30"/>
        </w:rPr>
        <w:t> </w:t>
      </w:r>
      <w:r>
        <w:rPr/>
        <w:t>个百分点。主 要费率变动分析如下：</w:t>
      </w:r>
    </w:p>
    <w:p>
      <w:pPr>
        <w:pStyle w:val="BodyText"/>
        <w:spacing w:line="338" w:lineRule="auto" w:before="55"/>
        <w:ind w:left="620" w:right="1436"/>
        <w:jc w:val="left"/>
      </w:pPr>
      <w:r>
        <w:rPr/>
        <w:t>（</w:t>
      </w:r>
      <w:r>
        <w:rPr>
          <w:rFonts w:ascii="Times New Roman" w:hAnsi="Times New Roman" w:cs="Times New Roman" w:eastAsia="Times New Roman" w:hint="default"/>
        </w:rPr>
        <w:t>1</w:t>
      </w:r>
      <w:r>
        <w:rPr/>
        <w:t>）人员费用率变动的主要原因： </w:t>
      </w:r>
      <w:r>
        <w:rPr>
          <w:spacing w:val="-3"/>
        </w:rPr>
        <w:t>报告期内，公司一方面优化激励机制，大幅提升员工薪酬福利水平，相应的薪酬支</w:t>
      </w:r>
    </w:p>
    <w:p>
      <w:pPr>
        <w:pStyle w:val="BodyText"/>
        <w:spacing w:line="352" w:lineRule="auto" w:before="55"/>
        <w:ind w:right="1314"/>
        <w:jc w:val="left"/>
      </w:pPr>
      <w:r>
        <w:rPr>
          <w:spacing w:val="-6"/>
        </w:rPr>
        <w:t>出金额大幅增长，另一方面为保障公司未来业务发展需要，公司加强人员招聘储备工作，</w:t>
      </w:r>
      <w:r>
        <w:rPr>
          <w:spacing w:val="-98"/>
        </w:rPr>
        <w:t> </w:t>
      </w:r>
      <w:r>
        <w:rPr>
          <w:spacing w:val="-98"/>
        </w:rPr>
      </w:r>
      <w:r>
        <w:rPr/>
        <w:t>引进大量新进人员，也带来薪酬支出绝对额的增加，使得人员费率同比上升 </w:t>
      </w:r>
      <w:r>
        <w:rPr>
          <w:rFonts w:ascii="Times New Roman" w:hAnsi="Times New Roman" w:cs="Times New Roman" w:eastAsia="Times New Roman" w:hint="default"/>
        </w:rPr>
        <w:t>0.90</w:t>
      </w:r>
      <w:r>
        <w:rPr>
          <w:rFonts w:ascii="Times New Roman" w:hAnsi="Times New Roman" w:cs="Times New Roman" w:eastAsia="Times New Roman" w:hint="default"/>
          <w:spacing w:val="32"/>
        </w:rPr>
        <w:t> </w:t>
      </w:r>
      <w:r>
        <w:rPr/>
        <w:t>个百 </w:t>
      </w:r>
      <w:r>
        <w:rPr>
          <w:spacing w:val="-3"/>
        </w:rPr>
        <w:t>分点。上述举措是为公司未来发展的提前投入和必要储备，且自四季度开始，公司已着</w:t>
      </w:r>
      <w:r>
        <w:rPr>
          <w:spacing w:val="-101"/>
        </w:rPr>
        <w:t> </w:t>
      </w:r>
      <w:r>
        <w:rPr>
          <w:spacing w:val="-101"/>
        </w:rPr>
      </w:r>
      <w:r>
        <w:rPr>
          <w:spacing w:val="-3"/>
        </w:rPr>
        <w:t>手对组织架构、业务流程进行精简、优化，加强人员评估提高单位人效，分流储备人员</w:t>
      </w:r>
      <w:r>
        <w:rPr>
          <w:spacing w:val="-97"/>
        </w:rPr>
        <w:t> </w:t>
      </w:r>
      <w:r>
        <w:rPr>
          <w:spacing w:val="-97"/>
        </w:rPr>
      </w:r>
      <w:r>
        <w:rPr/>
        <w:t>以减少新进员工，人员费用也得到一定的控制。</w:t>
      </w:r>
    </w:p>
    <w:p>
      <w:pPr>
        <w:pStyle w:val="BodyText"/>
        <w:spacing w:line="338" w:lineRule="auto" w:before="41"/>
        <w:ind w:left="620" w:right="1436"/>
        <w:jc w:val="left"/>
      </w:pPr>
      <w:r>
        <w:rPr/>
        <w:t>（</w:t>
      </w:r>
      <w:r>
        <w:rPr>
          <w:rFonts w:ascii="Times New Roman" w:hAnsi="Times New Roman" w:cs="Times New Roman" w:eastAsia="Times New Roman" w:hint="default"/>
        </w:rPr>
        <w:t>2</w:t>
      </w:r>
      <w:r>
        <w:rPr/>
        <w:t>）租赁费用率变动的主要原因： </w:t>
      </w:r>
      <w:r>
        <w:rPr>
          <w:spacing w:val="-3"/>
        </w:rPr>
        <w:t>报告期内，公司一方面加快连锁布局，受物价上涨因素影响，新开店面租金成本有</w:t>
      </w:r>
    </w:p>
    <w:p>
      <w:pPr>
        <w:pStyle w:val="BodyText"/>
        <w:spacing w:line="357" w:lineRule="auto" w:before="55"/>
        <w:ind w:right="1314"/>
        <w:jc w:val="left"/>
      </w:pPr>
      <w:r>
        <w:rPr>
          <w:spacing w:val="-3"/>
        </w:rPr>
        <w:t>所上升，另外自去年下半年以来新开店较多，但新开店效益尚未有效体现，由此带来租</w:t>
      </w:r>
      <w:r>
        <w:rPr>
          <w:spacing w:val="-102"/>
        </w:rPr>
        <w:t> </w:t>
      </w:r>
      <w:r>
        <w:rPr>
          <w:spacing w:val="-102"/>
        </w:rPr>
      </w:r>
      <w:r>
        <w:rPr/>
        <w:t>金费率水平同比提高</w:t>
      </w:r>
      <w:r>
        <w:rPr>
          <w:spacing w:val="-60"/>
        </w:rPr>
        <w:t> </w:t>
      </w:r>
      <w:r>
        <w:rPr>
          <w:rFonts w:ascii="Times New Roman" w:hAnsi="Times New Roman" w:cs="Times New Roman" w:eastAsia="Times New Roman" w:hint="default"/>
        </w:rPr>
        <w:t>0.39 </w:t>
      </w:r>
      <w:r>
        <w:rPr/>
        <w:t>个百分点。</w:t>
      </w:r>
    </w:p>
    <w:p>
      <w:pPr>
        <w:pStyle w:val="BodyText"/>
        <w:spacing w:line="357" w:lineRule="auto" w:before="5"/>
        <w:ind w:right="1328" w:firstLine="480"/>
        <w:jc w:val="left"/>
      </w:pPr>
      <w:r>
        <w:rPr>
          <w:spacing w:val="-3"/>
        </w:rPr>
        <w:t>公司近两年加快连锁布局，虽然短期内带来了租赁费用的提升，但是公司通过提前</w:t>
      </w:r>
      <w:r>
        <w:rPr/>
        <w:t> </w:t>
      </w:r>
      <w:r>
        <w:rPr>
          <w:spacing w:val="-3"/>
        </w:rPr>
        <w:t>锁定地理位置较为优越的店面资源，能够有效应对优质商业资源的稀缺，以及随之而来</w:t>
      </w:r>
      <w:r>
        <w:rPr>
          <w:spacing w:val="-98"/>
        </w:rPr>
        <w:t> </w:t>
      </w:r>
      <w:r>
        <w:rPr>
          <w:spacing w:val="-98"/>
        </w:rPr>
      </w:r>
      <w:r>
        <w:rPr/>
        <w:t>的较大幅度的租金价格上涨问题。随着新开店的逐步成熟，租赁费用率将会有所改善。 </w:t>
      </w:r>
      <w:r>
        <w:rPr>
          <w:spacing w:val="3"/>
        </w:rPr>
        <w:t>同时公司还针对部分效益较好的店面进行购置，有效的降低到期后续租成本上升的风</w:t>
      </w:r>
      <w:r>
        <w:rPr>
          <w:spacing w:val="-105"/>
        </w:rPr>
        <w:t> </w:t>
      </w:r>
      <w:r>
        <w:rPr>
          <w:spacing w:val="-105"/>
        </w:rPr>
      </w:r>
      <w:r>
        <w:rPr/>
        <w:t>险，有助于租赁费用的控制。</w:t>
      </w:r>
    </w:p>
    <w:p>
      <w:pPr>
        <w:pStyle w:val="BodyText"/>
        <w:spacing w:line="338" w:lineRule="auto" w:before="36"/>
        <w:ind w:left="620" w:right="1314"/>
        <w:jc w:val="left"/>
      </w:pPr>
      <w:r>
        <w:rPr/>
        <w:t>（</w:t>
      </w:r>
      <w:r>
        <w:rPr>
          <w:rFonts w:ascii="Times New Roman" w:hAnsi="Times New Roman" w:cs="Times New Roman" w:eastAsia="Times New Roman" w:hint="default"/>
        </w:rPr>
        <w:t>3</w:t>
      </w:r>
      <w:r>
        <w:rPr/>
        <w:t>）广告促销费变动的主要原因： </w:t>
      </w:r>
      <w:r>
        <w:rPr>
          <w:spacing w:val="-3"/>
        </w:rPr>
        <w:t>报告期内，公司优化组合促销方式，加强针对性营销，促销费用有所控制；随着同</w:t>
      </w:r>
    </w:p>
    <w:p>
      <w:pPr>
        <w:pStyle w:val="BodyText"/>
        <w:spacing w:line="357" w:lineRule="auto" w:before="56"/>
        <w:ind w:right="1317"/>
        <w:jc w:val="both"/>
      </w:pPr>
      <w:r>
        <w:rPr/>
        <w:t>城店面数的增加，广告投放的规模效益逐步体现，投入产出比有所提升。而去年同期， </w:t>
      </w:r>
      <w:r>
        <w:rPr>
          <w:spacing w:val="-6"/>
        </w:rPr>
        <w:t>围绕公司创立二十周年，实施了一系列的品牌宣传计划，在企业形象有较大提升的同时，</w:t>
      </w:r>
      <w:r>
        <w:rPr>
          <w:spacing w:val="-98"/>
        </w:rPr>
        <w:t> </w:t>
      </w:r>
      <w:r>
        <w:rPr>
          <w:spacing w:val="-98"/>
        </w:rPr>
      </w:r>
      <w:r>
        <w:rPr/>
        <w:t>广告促销费用支出较多。综上，公司广告促销费率较去年同期有所下降。</w:t>
      </w:r>
    </w:p>
    <w:p>
      <w:pPr>
        <w:pStyle w:val="BodyText"/>
        <w:spacing w:line="240" w:lineRule="auto" w:before="36"/>
        <w:ind w:left="620" w:right="1314"/>
        <w:jc w:val="left"/>
      </w:pPr>
      <w:r>
        <w:rPr/>
        <w:t>（</w:t>
      </w:r>
      <w:r>
        <w:rPr>
          <w:rFonts w:ascii="Times New Roman" w:hAnsi="Times New Roman" w:cs="Times New Roman" w:eastAsia="Times New Roman" w:hint="default"/>
        </w:rPr>
        <w:t>4</w:t>
      </w:r>
      <w:r>
        <w:rPr/>
        <w:t>）其他费率变动的主要原因：</w:t>
      </w:r>
    </w:p>
    <w:p>
      <w:pPr>
        <w:pStyle w:val="BodyText"/>
        <w:spacing w:line="348" w:lineRule="auto"/>
        <w:ind w:right="1438" w:firstLine="480"/>
        <w:jc w:val="both"/>
      </w:pPr>
      <w:r>
        <w:rPr/>
        <w:t>公司其他费用率水平同比提高 </w:t>
      </w:r>
      <w:r>
        <w:rPr>
          <w:rFonts w:ascii="Times New Roman" w:hAnsi="Times New Roman" w:cs="Times New Roman" w:eastAsia="Times New Roman" w:hint="default"/>
        </w:rPr>
        <w:t>0.22</w:t>
      </w:r>
      <w:r>
        <w:rPr>
          <w:rFonts w:ascii="Times New Roman" w:hAnsi="Times New Roman" w:cs="Times New Roman" w:eastAsia="Times New Roman" w:hint="default"/>
          <w:spacing w:val="28"/>
        </w:rPr>
        <w:t> </w:t>
      </w:r>
      <w:r>
        <w:rPr/>
        <w:t>个百分点，主要原因是：为增强公司连锁平台 </w:t>
      </w:r>
      <w:r>
        <w:rPr>
          <w:spacing w:val="-3"/>
        </w:rPr>
        <w:t>的稳定性，贯彻落实“租、建、购、并”的综合开发模式，自有物业比例提高，以及进</w:t>
      </w:r>
      <w:r>
        <w:rPr>
          <w:spacing w:val="-98"/>
        </w:rPr>
        <w:t> </w:t>
      </w:r>
      <w:r>
        <w:rPr>
          <w:spacing w:val="-98"/>
        </w:rPr>
      </w:r>
      <w:r>
        <w:rPr/>
        <w:t>一步推进物流、信息平台建设，报告期内资产折旧有所增加。</w:t>
      </w:r>
    </w:p>
    <w:p>
      <w:pPr>
        <w:spacing w:after="0" w:line="348" w:lineRule="auto"/>
        <w:jc w:val="both"/>
        <w:sectPr>
          <w:pgSz w:w="11910" w:h="16840"/>
          <w:pgMar w:header="748" w:footer="857" w:top="980" w:bottom="112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720" w:right="3386"/>
        <w:jc w:val="left"/>
      </w:pPr>
      <w:r>
        <w:rPr>
          <w:rFonts w:ascii="Times New Roman" w:hAnsi="Times New Roman" w:cs="Times New Roman" w:eastAsia="Times New Roman" w:hint="default"/>
        </w:rPr>
        <w:t>4</w:t>
      </w:r>
      <w:r>
        <w:rPr/>
        <w:t>、财务状况及相关指标变动情况及原因分析</w:t>
      </w:r>
    </w:p>
    <w:p>
      <w:pPr>
        <w:tabs>
          <w:tab w:pos="7321" w:val="left" w:leader="none"/>
        </w:tabs>
        <w:spacing w:before="104"/>
        <w:ind w:left="720"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）资产构成情况及变动原因分析</w:t>
        <w:tab/>
      </w:r>
      <w:r>
        <w:rPr>
          <w:rFonts w:ascii="宋体" w:hAnsi="宋体" w:cs="宋体" w:eastAsia="宋体" w:hint="default"/>
          <w:spacing w:val="-1"/>
          <w:sz w:val="21"/>
          <w:szCs w:val="21"/>
        </w:rPr>
        <w:t>（单位：千元）</w:t>
      </w:r>
    </w:p>
    <w:p>
      <w:pPr>
        <w:spacing w:line="240" w:lineRule="auto" w:before="1"/>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908"/>
        <w:gridCol w:w="1405"/>
        <w:gridCol w:w="1476"/>
        <w:gridCol w:w="1330"/>
        <w:gridCol w:w="1407"/>
        <w:gridCol w:w="1721"/>
      </w:tblGrid>
      <w:tr>
        <w:trPr>
          <w:trHeight w:val="574" w:hRule="exact"/>
        </w:trPr>
        <w:tc>
          <w:tcPr>
            <w:tcW w:w="1908"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288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3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增减情况</w:t>
            </w:r>
          </w:p>
        </w:tc>
        <w:tc>
          <w:tcPr>
            <w:tcW w:w="1721" w:type="dxa"/>
            <w:tcBorders>
              <w:top w:val="single" w:sz="17" w:space="0" w:color="000000"/>
              <w:left w:val="single" w:sz="4" w:space="0" w:color="000000"/>
              <w:bottom w:val="single" w:sz="4" w:space="0" w:color="000000"/>
              <w:right w:val="single" w:sz="17" w:space="0" w:color="000000"/>
            </w:tcBorders>
          </w:tcPr>
          <w:p>
            <w:pPr>
              <w:pStyle w:val="TableParagraph"/>
              <w:spacing w:line="249" w:lineRule="exact"/>
              <w:ind w:left="1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p>
          <w:p>
            <w:pPr>
              <w:pStyle w:val="TableParagraph"/>
              <w:spacing w:line="265"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57" w:hRule="exact"/>
        </w:trPr>
        <w:tc>
          <w:tcPr>
            <w:tcW w:w="1908" w:type="dxa"/>
            <w:tcBorders>
              <w:top w:val="single" w:sz="4" w:space="0" w:color="000000"/>
              <w:left w:val="single" w:sz="17"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17" w:space="0" w:color="000000"/>
            </w:tcBorders>
          </w:tcPr>
          <w:p>
            <w:pP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22,740,084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19,351,838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3,388,246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17.51%</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21,960,978</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1,841,778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2"/>
                <w:sz w:val="21"/>
              </w:rPr>
              <w:t>1,104,611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737,167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66.74%</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347,024</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3,643,209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2,741,405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901,804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32.90%</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1"/>
                <w:sz w:val="21"/>
              </w:rPr>
              <w:t>947,924</w:t>
            </w:r>
          </w:p>
        </w:tc>
      </w:tr>
      <w:tr>
        <w:trPr>
          <w:trHeight w:val="312"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382,375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975,737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-593,362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-60.81%</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2"/>
                <w:sz w:val="21"/>
              </w:rPr>
              <w:t>110,975</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3" w:lineRule="exact"/>
              <w:ind w:left="8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13,426,741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pacing w:val="-1"/>
                <w:sz w:val="21"/>
              </w:rPr>
              <w:t>9,474,449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spacing w:val="-1"/>
                <w:sz w:val="21"/>
              </w:rPr>
              <w:t>3,952,292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z w:val="21"/>
              </w:rPr>
              <w:t>41.72%</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3"/>
              <w:ind w:right="81"/>
              <w:jc w:val="right"/>
              <w:rPr>
                <w:rFonts w:ascii="Times New Roman" w:hAnsi="Times New Roman" w:cs="Times New Roman" w:eastAsia="Times New Roman" w:hint="default"/>
                <w:sz w:val="21"/>
                <w:szCs w:val="21"/>
              </w:rPr>
            </w:pPr>
            <w:r>
              <w:rPr>
                <w:rFonts w:ascii="Times New Roman"/>
                <w:spacing w:val="-1"/>
                <w:sz w:val="21"/>
              </w:rPr>
              <w:t>6,326,995</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1,309,062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793,656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515,406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64.94%</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455,740</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43,425,335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34,475,586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8,949,749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25.96%</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30,196,264</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1,764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1,764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100"/>
                <w:sz w:val="21"/>
              </w:rPr>
              <w:t>-</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476,564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130,768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345,796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264.43%</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1"/>
                <w:szCs w:val="21"/>
              </w:rPr>
            </w:pPr>
            <w:r>
              <w:rPr>
                <w:rFonts w:ascii="Times New Roman"/>
                <w:sz w:val="21"/>
              </w:rPr>
              <w:t>88,450</w:t>
            </w:r>
          </w:p>
        </w:tc>
      </w:tr>
      <w:tr>
        <w:trPr>
          <w:trHeight w:val="312"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554,793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792,896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-238,103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-30.03%</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1"/>
                <w:sz w:val="21"/>
              </w:rPr>
              <w:t>597,374</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3" w:lineRule="exact"/>
              <w:ind w:left="8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684,420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387,134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297,286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76.79%</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339,958</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7,347,467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3,914,317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3,433,150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87.71%</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2,895,971</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1,251,501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2,061,752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-810,251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-39.30%</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408,528</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2,002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2,002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w w:val="100"/>
                <w:sz w:val="21"/>
              </w:rPr>
              <w:t>-</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6" w:lineRule="exact"/>
              <w:ind w:left="8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4,368,264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1"/>
                <w:szCs w:val="21"/>
              </w:rPr>
            </w:pPr>
            <w:r>
              <w:rPr>
                <w:rFonts w:ascii="Times New Roman"/>
                <w:spacing w:val="-1"/>
                <w:sz w:val="21"/>
              </w:rPr>
              <w:t>1,309,337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3,058,927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z w:val="21"/>
              </w:rPr>
              <w:t>233.62%</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5"/>
              <w:ind w:right="81"/>
              <w:jc w:val="right"/>
              <w:rPr>
                <w:rFonts w:ascii="Times New Roman" w:hAnsi="Times New Roman" w:cs="Times New Roman" w:eastAsia="Times New Roman" w:hint="default"/>
                <w:sz w:val="21"/>
                <w:szCs w:val="21"/>
              </w:rPr>
            </w:pPr>
            <w:r>
              <w:rPr>
                <w:rFonts w:ascii="Times New Roman"/>
                <w:spacing w:val="-1"/>
                <w:sz w:val="21"/>
              </w:rPr>
              <w:t>764,874</w:t>
            </w:r>
          </w:p>
        </w:tc>
      </w:tr>
      <w:tr>
        <w:trPr>
          <w:trHeight w:val="312"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93,898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z w:val="21"/>
              </w:rPr>
              <w:t>22,125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71,773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324.40%</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1"/>
                <w:szCs w:val="21"/>
              </w:rPr>
            </w:pPr>
            <w:r>
              <w:rPr>
                <w:rFonts w:ascii="Times New Roman"/>
                <w:sz w:val="21"/>
              </w:rPr>
              <w:t>58,513</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3" w:lineRule="exact"/>
              <w:ind w:left="8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226,623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z w:val="21"/>
              </w:rPr>
              <w:t>616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226,007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36689.45%</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841,692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529,531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312,161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58.95%</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237,942</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512,150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283,320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228,830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80.77%</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251,958</w:t>
            </w:r>
          </w:p>
        </w:tc>
      </w:tr>
      <w:tr>
        <w:trPr>
          <w:trHeight w:val="310" w:hRule="exact"/>
        </w:trPr>
        <w:tc>
          <w:tcPr>
            <w:tcW w:w="1908" w:type="dxa"/>
            <w:tcBorders>
              <w:top w:val="single" w:sz="4" w:space="0" w:color="000000"/>
              <w:left w:val="single" w:sz="17" w:space="0" w:color="000000"/>
              <w:bottom w:val="single" w:sz="4"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16,361,138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9,431,796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6,929,342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z w:val="21"/>
              </w:rPr>
              <w:t>73.47%</w:t>
            </w:r>
          </w:p>
        </w:tc>
        <w:tc>
          <w:tcPr>
            <w:tcW w:w="1721"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1"/>
                <w:sz w:val="21"/>
              </w:rPr>
              <w:t>5,643,568</w:t>
            </w:r>
          </w:p>
        </w:tc>
      </w:tr>
      <w:tr>
        <w:trPr>
          <w:trHeight w:val="329" w:hRule="exact"/>
        </w:trPr>
        <w:tc>
          <w:tcPr>
            <w:tcW w:w="1908" w:type="dxa"/>
            <w:tcBorders>
              <w:top w:val="single" w:sz="4" w:space="0" w:color="000000"/>
              <w:left w:val="single" w:sz="17" w:space="0" w:color="000000"/>
              <w:bottom w:val="single" w:sz="17" w:space="0" w:color="000000"/>
              <w:right w:val="single" w:sz="4"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0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59,786,473</w:t>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43,907,382</w:t>
            </w:r>
          </w:p>
        </w:tc>
        <w:tc>
          <w:tcPr>
            <w:tcW w:w="13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15,879,091</w:t>
            </w:r>
          </w:p>
        </w:tc>
        <w:tc>
          <w:tcPr>
            <w:tcW w:w="14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36.16%</w:t>
            </w:r>
          </w:p>
        </w:tc>
        <w:tc>
          <w:tcPr>
            <w:tcW w:w="1721"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1"/>
                <w:sz w:val="21"/>
              </w:rPr>
              <w:t>35,839,832</w:t>
            </w:r>
          </w:p>
        </w:tc>
      </w:tr>
    </w:tbl>
    <w:p>
      <w:pPr>
        <w:pStyle w:val="BodyText"/>
        <w:spacing w:line="357" w:lineRule="auto" w:before="79"/>
        <w:ind w:left="720" w:right="1436"/>
        <w:jc w:val="left"/>
      </w:pPr>
      <w:r>
        <w:rPr/>
        <w:t>①</w:t>
      </w:r>
      <w:r>
        <w:rPr>
          <w:spacing w:val="-1"/>
        </w:rPr>
        <w:t> </w:t>
      </w:r>
      <w:r>
        <w:rPr/>
        <w:t>应收账款变化的主要原因：</w:t>
      </w:r>
      <w:r>
        <w:rPr/>
        <w:t> </w:t>
      </w:r>
      <w:r>
        <w:rPr>
          <w:spacing w:val="-3"/>
        </w:rPr>
        <w:t>报告期内，公司持续推进国家“家电下乡”、“以旧换新”等一系列拉动内需的政</w:t>
      </w:r>
    </w:p>
    <w:p>
      <w:pPr>
        <w:pStyle w:val="BodyText"/>
        <w:spacing w:line="348" w:lineRule="auto" w:before="37"/>
        <w:ind w:left="240" w:right="1436"/>
        <w:jc w:val="both"/>
      </w:pPr>
      <w:r>
        <w:rPr>
          <w:spacing w:val="-3"/>
        </w:rPr>
        <w:t>策销售，在促进公司销售收入增长的同时，也带来了公司本期应收代垫财政补贴款的增</w:t>
      </w:r>
      <w:r>
        <w:rPr>
          <w:spacing w:val="-99"/>
        </w:rPr>
        <w:t> </w:t>
      </w:r>
      <w:r>
        <w:rPr>
          <w:spacing w:val="-99"/>
        </w:rPr>
      </w:r>
      <w:r>
        <w:rPr/>
        <w:t>加。截止报告期末，公司代垫财政补贴款合计为</w:t>
      </w:r>
      <w:r>
        <w:rPr>
          <w:spacing w:val="-76"/>
        </w:rPr>
        <w:t> </w:t>
      </w:r>
      <w:r>
        <w:rPr>
          <w:rFonts w:ascii="Times New Roman" w:hAnsi="Times New Roman" w:cs="Times New Roman" w:eastAsia="Times New Roman" w:hint="default"/>
        </w:rPr>
        <w:t>13.23</w:t>
      </w:r>
      <w:r>
        <w:rPr>
          <w:rFonts w:ascii="Times New Roman" w:hAnsi="Times New Roman" w:cs="Times New Roman" w:eastAsia="Times New Roman" w:hint="default"/>
          <w:spacing w:val="-16"/>
        </w:rPr>
        <w:t> </w:t>
      </w:r>
      <w:r>
        <w:rPr/>
        <w:t>亿元，公司将加快该部分款项的 结算。另报告期内，公司工程、团购业务增加，相应带来应收客户款项也有所增加。</w:t>
      </w:r>
    </w:p>
    <w:p>
      <w:pPr>
        <w:pStyle w:val="BodyText"/>
        <w:spacing w:line="357" w:lineRule="auto" w:before="46"/>
        <w:ind w:left="720" w:right="1436"/>
        <w:jc w:val="left"/>
      </w:pPr>
      <w:r>
        <w:rPr/>
        <w:t>②</w:t>
      </w:r>
      <w:r>
        <w:rPr>
          <w:spacing w:val="-1"/>
        </w:rPr>
        <w:t> </w:t>
      </w:r>
      <w:r>
        <w:rPr/>
        <w:t>预付账款变化的主要原因：</w:t>
      </w:r>
      <w:r>
        <w:rPr/>
        <w:t> </w:t>
      </w:r>
      <w:r>
        <w:rPr>
          <w:spacing w:val="-3"/>
        </w:rPr>
        <w:t>报告期内公司加快了自建店和物流基地的选址速度，预付土地购置款较上年末有增</w:t>
      </w:r>
    </w:p>
    <w:p>
      <w:pPr>
        <w:pStyle w:val="BodyText"/>
        <w:spacing w:line="357" w:lineRule="auto" w:before="36"/>
        <w:ind w:left="240" w:right="1435"/>
        <w:jc w:val="both"/>
      </w:pPr>
      <w:r>
        <w:rPr>
          <w:spacing w:val="-3"/>
        </w:rPr>
        <w:t>加；另随着公司连锁规模扩大，公司为应对元旦、春节旺季销售的备货增加，预付供应</w:t>
      </w:r>
      <w:r>
        <w:rPr>
          <w:spacing w:val="-97"/>
        </w:rPr>
        <w:t> </w:t>
      </w:r>
      <w:r>
        <w:rPr>
          <w:spacing w:val="-97"/>
        </w:rPr>
      </w:r>
      <w:r>
        <w:rPr/>
        <w:t>商货款也有所增加，由此带来预付账款期末较期初增加</w:t>
      </w:r>
      <w:r>
        <w:rPr>
          <w:spacing w:val="-61"/>
        </w:rPr>
        <w:t> </w:t>
      </w:r>
      <w:r>
        <w:rPr>
          <w:rFonts w:ascii="Times New Roman" w:hAnsi="Times New Roman" w:cs="Times New Roman" w:eastAsia="Times New Roman" w:hint="default"/>
        </w:rPr>
        <w:t>32.90%</w:t>
      </w:r>
      <w:r>
        <w:rPr/>
        <w:t>。</w:t>
      </w:r>
    </w:p>
    <w:p>
      <w:pPr>
        <w:pStyle w:val="BodyText"/>
        <w:spacing w:line="357" w:lineRule="auto" w:before="6"/>
        <w:ind w:left="720" w:right="1436"/>
        <w:jc w:val="left"/>
      </w:pPr>
      <w:r>
        <w:rPr/>
        <w:t>③</w:t>
      </w:r>
      <w:r>
        <w:rPr>
          <w:spacing w:val="-1"/>
        </w:rPr>
        <w:t> </w:t>
      </w:r>
      <w:r>
        <w:rPr/>
        <w:t>其他应收款变化的主要原因：</w:t>
      </w:r>
      <w:r>
        <w:rPr/>
        <w:t> </w:t>
      </w:r>
      <w:r>
        <w:rPr>
          <w:spacing w:val="-3"/>
        </w:rPr>
        <w:t>报告期末公司购买的银行保本固定收益产品到期收回，带来其他应收款减少。但随</w:t>
      </w:r>
    </w:p>
    <w:p>
      <w:pPr>
        <w:pStyle w:val="BodyText"/>
        <w:spacing w:line="240" w:lineRule="auto" w:before="36"/>
        <w:ind w:left="240" w:right="0"/>
        <w:jc w:val="both"/>
      </w:pPr>
      <w:r>
        <w:rPr/>
        <w:t>着公司连锁店数量增加，相应支付的各项保证金、押金也随之增加。</w:t>
      </w:r>
    </w:p>
    <w:p>
      <w:pPr>
        <w:spacing w:after="0" w:line="240" w:lineRule="auto"/>
        <w:jc w:val="both"/>
        <w:sectPr>
          <w:pgSz w:w="11910" w:h="16840"/>
          <w:pgMar w:header="748" w:footer="857" w:top="980" w:bottom="1120" w:left="1200" w:right="0"/>
        </w:sectPr>
      </w:pPr>
    </w:p>
    <w:p>
      <w:pPr>
        <w:spacing w:line="240" w:lineRule="auto" w:before="6"/>
        <w:rPr>
          <w:rFonts w:ascii="宋体" w:hAnsi="宋体" w:cs="宋体" w:eastAsia="宋体" w:hint="default"/>
          <w:sz w:val="29"/>
          <w:szCs w:val="29"/>
        </w:rPr>
      </w:pPr>
    </w:p>
    <w:p>
      <w:pPr>
        <w:pStyle w:val="BodyText"/>
        <w:spacing w:line="357" w:lineRule="auto" w:before="26"/>
        <w:ind w:left="620" w:right="1436"/>
        <w:jc w:val="left"/>
      </w:pPr>
      <w:r>
        <w:rPr/>
        <w:t>④</w:t>
      </w:r>
      <w:r>
        <w:rPr>
          <w:spacing w:val="-1"/>
        </w:rPr>
        <w:t> </w:t>
      </w:r>
      <w:r>
        <w:rPr/>
        <w:t>存货变化的主要原因：</w:t>
      </w:r>
      <w:r>
        <w:rPr/>
        <w:t> </w:t>
      </w:r>
      <w:r>
        <w:rPr>
          <w:spacing w:val="-3"/>
        </w:rPr>
        <w:t>公司针对传统元旦、春节销售旺季，积极开展备货工作，且公司连锁店规模增长较</w:t>
      </w:r>
    </w:p>
    <w:p>
      <w:pPr>
        <w:pStyle w:val="BodyText"/>
        <w:spacing w:line="240" w:lineRule="auto" w:before="36"/>
        <w:ind w:right="1314"/>
        <w:jc w:val="left"/>
      </w:pPr>
      <w:r>
        <w:rPr/>
        <w:t>快以及电子商务不断发展，由此带来期末存货较期初提升</w:t>
      </w:r>
      <w:r>
        <w:rPr>
          <w:spacing w:val="-61"/>
        </w:rPr>
        <w:t> </w:t>
      </w:r>
      <w:r>
        <w:rPr>
          <w:rFonts w:ascii="Times New Roman" w:hAnsi="Times New Roman" w:cs="Times New Roman" w:eastAsia="Times New Roman" w:hint="default"/>
        </w:rPr>
        <w:t>41.72%</w:t>
      </w:r>
      <w:r>
        <w:rPr/>
        <w:t>。</w:t>
      </w:r>
    </w:p>
    <w:p>
      <w:pPr>
        <w:pStyle w:val="BodyText"/>
        <w:spacing w:line="240" w:lineRule="auto"/>
        <w:ind w:left="620" w:right="1314"/>
        <w:jc w:val="left"/>
      </w:pPr>
      <w:r>
        <w:rPr/>
        <w:t>⑤</w:t>
      </w:r>
      <w:r>
        <w:rPr>
          <w:spacing w:val="-1"/>
        </w:rPr>
        <w:t> </w:t>
      </w:r>
      <w:r>
        <w:rPr/>
        <w:t>其他流动资产变化的主要原因：</w:t>
      </w:r>
    </w:p>
    <w:p>
      <w:pPr>
        <w:pStyle w:val="BodyText"/>
        <w:spacing w:line="338" w:lineRule="auto" w:before="154"/>
        <w:ind w:right="1436" w:firstLine="480"/>
        <w:jc w:val="both"/>
      </w:pPr>
      <w:r>
        <w:rPr/>
        <w:t>报告期内，日本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株式会社纳入公司合并范围，公司新开店面数量的增加， 预付的房租也有所增加，带来其他流动资产较期初增加</w:t>
      </w:r>
      <w:r>
        <w:rPr>
          <w:spacing w:val="-61"/>
        </w:rPr>
        <w:t> </w:t>
      </w:r>
      <w:r>
        <w:rPr>
          <w:rFonts w:ascii="Times New Roman" w:hAnsi="Times New Roman" w:cs="Times New Roman" w:eastAsia="Times New Roman" w:hint="default"/>
        </w:rPr>
        <w:t>64.94%</w:t>
      </w:r>
      <w:r>
        <w:rPr/>
        <w:t>。</w:t>
      </w:r>
    </w:p>
    <w:p>
      <w:pPr>
        <w:pStyle w:val="BodyText"/>
        <w:spacing w:line="240" w:lineRule="auto" w:before="27"/>
        <w:ind w:left="620" w:right="1314"/>
        <w:jc w:val="left"/>
      </w:pPr>
      <w:r>
        <w:rPr/>
        <w:t>⑥长期应收款变化的主要原因：</w:t>
      </w:r>
    </w:p>
    <w:p>
      <w:pPr>
        <w:pStyle w:val="BodyText"/>
        <w:spacing w:line="338" w:lineRule="auto" w:before="154"/>
        <w:ind w:right="1425" w:firstLine="480"/>
        <w:jc w:val="both"/>
      </w:pPr>
      <w:r>
        <w:rPr>
          <w:spacing w:val="3"/>
        </w:rPr>
        <w:t>日本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spacing w:val="6"/>
        </w:rPr>
        <w:t>株式会社纳入公司合并报表范围，鉴于日本商铺租赁市场的特点，</w:t>
      </w:r>
      <w:r>
        <w:rPr>
          <w:spacing w:val="7"/>
        </w:rPr>
        <w:t> </w:t>
      </w:r>
      <w:r>
        <w:rPr>
          <w:rFonts w:ascii="Times New Roman" w:hAnsi="Times New Roman" w:cs="Times New Roman" w:eastAsia="Times New Roman" w:hint="default"/>
        </w:rPr>
        <w:t>LAOX</w:t>
      </w:r>
      <w:r>
        <w:rPr>
          <w:rFonts w:ascii="Times New Roman" w:hAnsi="Times New Roman" w:cs="Times New Roman" w:eastAsia="Times New Roman" w:hint="default"/>
          <w:spacing w:val="6"/>
        </w:rPr>
        <w:t> </w:t>
      </w:r>
      <w:r>
        <w:rPr>
          <w:spacing w:val="-3"/>
        </w:rPr>
        <w:t>支付给房东的租赁押金金额较大，另随着新开店数量增加，支付的租赁保证金也</w:t>
      </w:r>
      <w:r>
        <w:rPr/>
        <w:t> 相应增加，带来公司期末长期应收款余额较期初增加</w:t>
      </w:r>
      <w:r>
        <w:rPr>
          <w:spacing w:val="-61"/>
        </w:rPr>
        <w:t> </w:t>
      </w:r>
      <w:r>
        <w:rPr>
          <w:rFonts w:ascii="Times New Roman" w:hAnsi="Times New Roman" w:cs="Times New Roman" w:eastAsia="Times New Roman" w:hint="default"/>
        </w:rPr>
        <w:t>264.43%</w:t>
      </w:r>
      <w:r>
        <w:rPr/>
        <w:t>。</w:t>
      </w:r>
    </w:p>
    <w:p>
      <w:pPr>
        <w:pStyle w:val="BodyText"/>
        <w:spacing w:line="240" w:lineRule="auto" w:before="27"/>
        <w:ind w:left="620" w:right="1314"/>
        <w:jc w:val="left"/>
      </w:pPr>
      <w:r>
        <w:rPr/>
        <w:t>⑦长期股权投资变化的主要原因：</w:t>
      </w:r>
    </w:p>
    <w:p>
      <w:pPr>
        <w:pStyle w:val="BodyText"/>
        <w:spacing w:line="338" w:lineRule="auto" w:before="154"/>
        <w:ind w:right="1434" w:firstLine="480"/>
        <w:jc w:val="both"/>
      </w:pPr>
      <w:r>
        <w:rPr>
          <w:spacing w:val="-6"/>
        </w:rPr>
        <w:t>报告期内，公司境外全资子公司</w:t>
      </w:r>
      <w:r>
        <w:rPr>
          <w:spacing w:val="-62"/>
        </w:rPr>
        <w:t> </w:t>
      </w:r>
      <w:r>
        <w:rPr>
          <w:rFonts w:ascii="Times New Roman" w:hAnsi="Times New Roman" w:cs="Times New Roman" w:eastAsia="Times New Roman" w:hint="default"/>
        </w:rPr>
        <w:t>GRANDA</w:t>
      </w:r>
      <w:r>
        <w:rPr>
          <w:rFonts w:ascii="Times New Roman" w:hAnsi="Times New Roman" w:cs="Times New Roman" w:eastAsia="Times New Roman" w:hint="default"/>
          <w:spacing w:val="-14"/>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认购日本</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3"/>
        </w:rPr>
        <w:t> </w:t>
      </w:r>
      <w:r>
        <w:rPr/>
        <w:t>株式 会社定向发行</w:t>
      </w:r>
      <w:r>
        <w:rPr>
          <w:spacing w:val="-61"/>
        </w:rPr>
        <w:t> </w:t>
      </w:r>
      <w:r>
        <w:rPr>
          <w:rFonts w:ascii="Times New Roman" w:hAnsi="Times New Roman" w:cs="Times New Roman" w:eastAsia="Times New Roman" w:hint="default"/>
        </w:rPr>
        <w:t>179,235,000 </w:t>
      </w:r>
      <w:r>
        <w:rPr>
          <w:spacing w:val="-3"/>
        </w:rPr>
        <w:t>股股份，此次认购完成后公司持有</w:t>
      </w:r>
      <w:r>
        <w:rPr>
          <w:spacing w:val="-58"/>
        </w:rPr>
        <w:t> </w:t>
      </w:r>
      <w:r>
        <w:rPr>
          <w:rFonts w:ascii="Times New Roman" w:hAnsi="Times New Roman" w:cs="Times New Roman" w:eastAsia="Times New Roman" w:hint="default"/>
        </w:rPr>
        <w:t>LAOX </w:t>
      </w:r>
      <w:r>
        <w:rPr/>
        <w:t>公司发行在外普通 股 </w:t>
      </w:r>
      <w:r>
        <w:rPr>
          <w:rFonts w:ascii="Times New Roman" w:hAnsi="Times New Roman" w:cs="Times New Roman" w:eastAsia="Times New Roman" w:hint="default"/>
          <w:spacing w:val="-6"/>
        </w:rPr>
        <w:t>51%</w:t>
      </w:r>
      <w:r>
        <w:rPr>
          <w:spacing w:val="-6"/>
        </w:rPr>
        <w:t>的股权，</w:t>
      </w:r>
      <w:r>
        <w:rPr>
          <w:rFonts w:ascii="Times New Roman" w:hAnsi="Times New Roman" w:cs="Times New Roman" w:eastAsia="Times New Roman" w:hint="default"/>
          <w:spacing w:val="-6"/>
        </w:rPr>
        <w:t>LAOX</w:t>
      </w:r>
      <w:r>
        <w:rPr>
          <w:rFonts w:ascii="Times New Roman" w:hAnsi="Times New Roman" w:cs="Times New Roman" w:eastAsia="Times New Roman" w:hint="default"/>
          <w:spacing w:val="-29"/>
        </w:rPr>
        <w:t> </w:t>
      </w:r>
      <w:r>
        <w:rPr>
          <w:spacing w:val="-3"/>
        </w:rPr>
        <w:t>纳入公司合并报表编制范围，带来长期股权投资期末余额较期初</w:t>
      </w:r>
      <w:r>
        <w:rPr/>
        <w:t> 减少</w:t>
      </w:r>
      <w:r>
        <w:rPr>
          <w:spacing w:val="-61"/>
        </w:rPr>
        <w:t> </w:t>
      </w:r>
      <w:r>
        <w:rPr>
          <w:rFonts w:ascii="Times New Roman" w:hAnsi="Times New Roman" w:cs="Times New Roman" w:eastAsia="Times New Roman" w:hint="default"/>
        </w:rPr>
        <w:t>30.03%</w:t>
      </w:r>
      <w:r>
        <w:rPr/>
        <w:t>。</w:t>
      </w:r>
    </w:p>
    <w:p>
      <w:pPr>
        <w:pStyle w:val="BodyText"/>
        <w:spacing w:line="357" w:lineRule="auto" w:before="27"/>
        <w:ind w:left="620" w:right="1436"/>
        <w:jc w:val="left"/>
      </w:pPr>
      <w:r>
        <w:rPr/>
        <w:t>⑧投资性房地产变化的主要原因 </w:t>
      </w:r>
      <w:r>
        <w:rPr>
          <w:spacing w:val="-3"/>
        </w:rPr>
        <w:t>报告期内，为进一步提升店面经营质量，公司优化门店布局，加强闲置面积的招商</w:t>
      </w:r>
    </w:p>
    <w:p>
      <w:pPr>
        <w:pStyle w:val="BodyText"/>
        <w:spacing w:line="357" w:lineRule="auto" w:before="36"/>
        <w:ind w:right="1303"/>
        <w:jc w:val="left"/>
      </w:pPr>
      <w:r>
        <w:rPr>
          <w:spacing w:val="-3"/>
        </w:rPr>
        <w:t>转租，由此带来自有物业门店部分面积用途由自用转为对外租赁，相应固定资产转换为</w:t>
      </w:r>
      <w:r>
        <w:rPr>
          <w:spacing w:val="-98"/>
        </w:rPr>
        <w:t> </w:t>
      </w:r>
      <w:r>
        <w:rPr>
          <w:spacing w:val="-98"/>
        </w:rPr>
      </w:r>
      <w:r>
        <w:rPr>
          <w:spacing w:val="-2"/>
        </w:rPr>
        <w:t>投资性房地产，以成本模式计量，带来期末投资性房地产期末余额较期初增加</w:t>
      </w:r>
      <w:r>
        <w:rPr>
          <w:spacing w:val="-40"/>
        </w:rPr>
        <w:t> </w:t>
      </w:r>
      <w:r>
        <w:rPr>
          <w:rFonts w:ascii="Times New Roman" w:hAnsi="Times New Roman" w:cs="Times New Roman" w:eastAsia="Times New Roman" w:hint="default"/>
          <w:spacing w:val="-1"/>
        </w:rPr>
        <w:t>76.79%</w:t>
      </w:r>
      <w:r>
        <w:rPr>
          <w:spacing w:val="-1"/>
        </w:rPr>
        <w:t>。</w:t>
      </w:r>
    </w:p>
    <w:p>
      <w:pPr>
        <w:pStyle w:val="BodyText"/>
        <w:spacing w:line="357" w:lineRule="auto" w:before="5"/>
        <w:ind w:left="620" w:right="1436" w:hanging="60"/>
        <w:jc w:val="left"/>
      </w:pPr>
      <w:r>
        <w:rPr/>
        <w:t>⑨固定资产、在建工程变化的主要原因： </w:t>
      </w:r>
      <w:r>
        <w:rPr>
          <w:spacing w:val="-3"/>
        </w:rPr>
        <w:t>报告期内，公司徐庄总部办公楼，无锡、成都、合肥、天津物流基地项目建设完工</w:t>
      </w:r>
    </w:p>
    <w:p>
      <w:pPr>
        <w:pStyle w:val="BodyText"/>
        <w:spacing w:line="357" w:lineRule="auto" w:before="36"/>
        <w:ind w:right="1328"/>
        <w:jc w:val="left"/>
      </w:pPr>
      <w:r>
        <w:rPr/>
        <w:t>并投入使用，由在建工程转入固定资产；同时公司还新增购置店项目，带来固定资产、 在建工程期末余额较期初分别增加</w:t>
      </w:r>
      <w:r>
        <w:rPr>
          <w:spacing w:val="-61"/>
        </w:rPr>
        <w:t> </w:t>
      </w:r>
      <w:r>
        <w:rPr>
          <w:rFonts w:ascii="Times New Roman" w:hAnsi="Times New Roman" w:cs="Times New Roman" w:eastAsia="Times New Roman" w:hint="default"/>
        </w:rPr>
        <w:t>87.71%</w:t>
      </w:r>
      <w:r>
        <w:rPr/>
        <w:t>，下降</w:t>
      </w:r>
      <w:r>
        <w:rPr>
          <w:spacing w:val="-61"/>
        </w:rPr>
        <w:t> </w:t>
      </w:r>
      <w:r>
        <w:rPr>
          <w:rFonts w:ascii="Times New Roman" w:hAnsi="Times New Roman" w:cs="Times New Roman" w:eastAsia="Times New Roman" w:hint="default"/>
        </w:rPr>
        <w:t>39.30%</w:t>
      </w:r>
      <w:r>
        <w:rPr/>
        <w:t>。</w:t>
      </w:r>
    </w:p>
    <w:p>
      <w:pPr>
        <w:pStyle w:val="BodyText"/>
        <w:spacing w:line="240" w:lineRule="auto" w:before="5"/>
        <w:ind w:left="620" w:right="1314"/>
        <w:jc w:val="left"/>
      </w:pPr>
      <w:r>
        <w:rPr/>
        <w:t>⑩无形资产变化的主要原因：</w:t>
      </w:r>
    </w:p>
    <w:p>
      <w:pPr>
        <w:pStyle w:val="BodyText"/>
        <w:spacing w:line="348" w:lineRule="auto" w:before="154"/>
        <w:ind w:right="1433" w:firstLine="480"/>
        <w:jc w:val="both"/>
      </w:pPr>
      <w:r>
        <w:rPr>
          <w:spacing w:val="-3"/>
        </w:rPr>
        <w:t>公司加大物流基地以及自建店的投入，新增了购置部分区域物流基地的土地使用权</w:t>
      </w:r>
      <w:r>
        <w:rPr/>
        <w:t> 以及在核心商圈自建店的土地使用权；报告期内，公司将日本 </w:t>
      </w:r>
      <w:r>
        <w:rPr>
          <w:rFonts w:ascii="Times New Roman" w:hAnsi="Times New Roman" w:cs="Times New Roman" w:eastAsia="Times New Roman" w:hint="default"/>
        </w:rPr>
        <w:t>LAOX</w:t>
      </w:r>
      <w:r>
        <w:rPr>
          <w:rFonts w:ascii="Times New Roman" w:hAnsi="Times New Roman" w:cs="Times New Roman" w:eastAsia="Times New Roman" w:hint="default"/>
          <w:spacing w:val="22"/>
        </w:rPr>
        <w:t> </w:t>
      </w:r>
      <w:r>
        <w:rPr/>
        <w:t>公司纳入合并报 表范围，重新计量 </w:t>
      </w:r>
      <w:r>
        <w:rPr>
          <w:rFonts w:ascii="Times New Roman" w:hAnsi="Times New Roman" w:cs="Times New Roman" w:eastAsia="Times New Roman" w:hint="default"/>
        </w:rPr>
        <w:t>LAOX</w:t>
      </w:r>
      <w:r>
        <w:rPr>
          <w:rFonts w:ascii="Times New Roman" w:hAnsi="Times New Roman" w:cs="Times New Roman" w:eastAsia="Times New Roman" w:hint="default"/>
          <w:spacing w:val="22"/>
        </w:rPr>
        <w:t> </w:t>
      </w:r>
      <w:r>
        <w:rPr/>
        <w:t>相关商标使用权、客户关系等价值；此外，公司持续进行各 </w:t>
      </w:r>
      <w:r>
        <w:rPr>
          <w:spacing w:val="-3"/>
        </w:rPr>
        <w:t>项信息系统投入，保持经营管理技术的领先性。前述原因使得公司期末无形资产较期初</w:t>
      </w:r>
      <w:r>
        <w:rPr>
          <w:spacing w:val="-97"/>
        </w:rPr>
        <w:t> </w:t>
      </w:r>
      <w:r>
        <w:rPr>
          <w:spacing w:val="-97"/>
        </w:rPr>
      </w:r>
      <w:r>
        <w:rPr/>
        <w:t>增加</w:t>
      </w:r>
      <w:r>
        <w:rPr>
          <w:spacing w:val="-61"/>
        </w:rPr>
        <w:t> </w:t>
      </w:r>
      <w:r>
        <w:rPr>
          <w:rFonts w:ascii="Times New Roman" w:hAnsi="Times New Roman" w:cs="Times New Roman" w:eastAsia="Times New Roman" w:hint="default"/>
        </w:rPr>
        <w:t>233.62%</w:t>
      </w:r>
      <w:r>
        <w:rPr/>
        <w:t>。</w:t>
      </w:r>
    </w:p>
    <w:p>
      <w:pPr>
        <w:pStyle w:val="BodyText"/>
        <w:spacing w:line="240" w:lineRule="auto" w:before="16"/>
        <w:ind w:left="620" w:right="1314"/>
        <w:jc w:val="left"/>
      </w:pPr>
      <w:r>
        <w:rPr>
          <w:rFonts w:ascii="MS Gothic" w:hAnsi="MS Gothic" w:cs="MS Gothic" w:eastAsia="MS Gothic" w:hint="default"/>
        </w:rPr>
        <w:t>⑪</w:t>
      </w:r>
      <w:r>
        <w:rPr/>
        <w:t>开发支出变化的主要原因：</w:t>
      </w:r>
    </w:p>
    <w:p>
      <w:pPr>
        <w:pStyle w:val="BodyText"/>
        <w:spacing w:line="240" w:lineRule="auto" w:before="154"/>
        <w:ind w:left="620" w:right="1314"/>
        <w:jc w:val="left"/>
      </w:pPr>
      <w:r>
        <w:rPr>
          <w:spacing w:val="-3"/>
        </w:rPr>
        <w:t>随着公司研发项目的不断推进，尤其是电子商务业务相关的系统研发投入加大，带</w:t>
      </w:r>
    </w:p>
    <w:p>
      <w:pPr>
        <w:spacing w:after="0" w:line="240" w:lineRule="auto"/>
        <w:jc w:val="left"/>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240" w:right="3386"/>
        <w:jc w:val="left"/>
      </w:pPr>
      <w:r>
        <w:rPr/>
        <w:t>来期末开发支出余额较期初增加</w:t>
      </w:r>
      <w:r>
        <w:rPr>
          <w:spacing w:val="-61"/>
        </w:rPr>
        <w:t> </w:t>
      </w:r>
      <w:r>
        <w:rPr>
          <w:rFonts w:ascii="Times New Roman" w:hAnsi="Times New Roman" w:cs="Times New Roman" w:eastAsia="Times New Roman" w:hint="default"/>
        </w:rPr>
        <w:t>324.40%</w:t>
      </w:r>
      <w:r>
        <w:rPr/>
        <w:t>。</w:t>
      </w:r>
    </w:p>
    <w:p>
      <w:pPr>
        <w:pStyle w:val="BodyText"/>
        <w:spacing w:line="240" w:lineRule="auto"/>
        <w:ind w:left="660" w:right="3386"/>
        <w:jc w:val="left"/>
      </w:pPr>
      <w:r>
        <w:rPr>
          <w:rFonts w:ascii="MS Gothic" w:hAnsi="MS Gothic" w:cs="MS Gothic" w:eastAsia="MS Gothic" w:hint="default"/>
        </w:rPr>
        <w:t>⑫</w:t>
      </w:r>
      <w:r>
        <w:rPr/>
        <w:t>商誉变化的主要原因：</w:t>
      </w:r>
    </w:p>
    <w:p>
      <w:pPr>
        <w:pStyle w:val="BodyText"/>
        <w:spacing w:line="338" w:lineRule="auto" w:before="154"/>
        <w:ind w:left="240" w:right="1437" w:firstLine="480"/>
        <w:jc w:val="both"/>
      </w:pPr>
      <w:r>
        <w:rPr/>
        <w:t>报告期内，公司将日本 </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株式会社纳入合并范围，分部合并的成本与在购买 日公司享有</w:t>
      </w:r>
      <w:r>
        <w:rPr>
          <w:spacing w:val="-54"/>
        </w:rPr>
        <w:t> </w:t>
      </w:r>
      <w:r>
        <w:rPr>
          <w:rFonts w:ascii="Times New Roman" w:hAnsi="Times New Roman" w:cs="Times New Roman" w:eastAsia="Times New Roman" w:hint="default"/>
        </w:rPr>
        <w:t>LAOX</w:t>
      </w:r>
      <w:r>
        <w:rPr>
          <w:rFonts w:ascii="Times New Roman" w:hAnsi="Times New Roman" w:cs="Times New Roman" w:eastAsia="Times New Roman" w:hint="default"/>
          <w:spacing w:val="3"/>
        </w:rPr>
        <w:t> </w:t>
      </w:r>
      <w:r>
        <w:rPr/>
        <w:t>株式会社可辨认公允价值份额之间的差额确认为商誉</w:t>
      </w:r>
      <w:r>
        <w:rPr>
          <w:spacing w:val="-55"/>
        </w:rPr>
        <w:t> </w:t>
      </w:r>
      <w:r>
        <w:rPr>
          <w:rFonts w:ascii="Times New Roman" w:hAnsi="Times New Roman" w:cs="Times New Roman" w:eastAsia="Times New Roman" w:hint="default"/>
        </w:rPr>
        <w:t>2.26</w:t>
      </w:r>
      <w:r>
        <w:rPr>
          <w:rFonts w:ascii="Times New Roman" w:hAnsi="Times New Roman" w:cs="Times New Roman" w:eastAsia="Times New Roman" w:hint="default"/>
          <w:spacing w:val="3"/>
        </w:rPr>
        <w:t> </w:t>
      </w:r>
      <w:r>
        <w:rPr/>
        <w:t>亿，带来 商誉较上年末有所增加。</w:t>
      </w:r>
    </w:p>
    <w:p>
      <w:pPr>
        <w:pStyle w:val="BodyText"/>
        <w:spacing w:line="357" w:lineRule="auto" w:before="55"/>
        <w:ind w:left="720" w:right="1422"/>
        <w:jc w:val="left"/>
      </w:pPr>
      <w:r>
        <w:rPr>
          <w:rFonts w:ascii="MS Gothic" w:hAnsi="MS Gothic" w:cs="MS Gothic" w:eastAsia="MS Gothic" w:hint="default"/>
        </w:rPr>
        <w:t>⑬</w:t>
      </w:r>
      <w:r>
        <w:rPr/>
        <w:t>长期待摊费用变化的主要原因： </w:t>
      </w:r>
      <w:r>
        <w:rPr>
          <w:spacing w:val="-3"/>
        </w:rPr>
        <w:t>报告期内，随着公司新开店、改造店数量增多，带来装修费投入增长较快，另外公</w:t>
      </w:r>
    </w:p>
    <w:p>
      <w:pPr>
        <w:pStyle w:val="BodyText"/>
        <w:spacing w:line="357" w:lineRule="auto" w:before="37"/>
        <w:ind w:left="240" w:right="1422"/>
        <w:jc w:val="left"/>
      </w:pPr>
      <w:r>
        <w:rPr>
          <w:spacing w:val="-3"/>
        </w:rPr>
        <w:t>司“阳光包”延保业务销售情况较好，相应的保费支出增加，带来长期待摊费用较期初</w:t>
      </w:r>
      <w:r>
        <w:rPr>
          <w:spacing w:val="-97"/>
        </w:rPr>
        <w:t> </w:t>
      </w:r>
      <w:r>
        <w:rPr>
          <w:spacing w:val="-97"/>
        </w:rPr>
      </w:r>
      <w:r>
        <w:rPr/>
        <w:t>增长</w:t>
      </w:r>
      <w:r>
        <w:rPr>
          <w:spacing w:val="-62"/>
        </w:rPr>
        <w:t> </w:t>
      </w:r>
      <w:r>
        <w:rPr>
          <w:rFonts w:ascii="Times New Roman" w:hAnsi="Times New Roman" w:cs="Times New Roman" w:eastAsia="Times New Roman" w:hint="default"/>
        </w:rPr>
        <w:t>58.95%</w:t>
      </w:r>
      <w:r>
        <w:rPr/>
        <w:t>。</w:t>
      </w:r>
    </w:p>
    <w:p>
      <w:pPr>
        <w:pStyle w:val="BodyText"/>
        <w:spacing w:line="357" w:lineRule="auto" w:before="5"/>
        <w:ind w:left="720" w:right="1436"/>
        <w:jc w:val="left"/>
      </w:pPr>
      <w:r>
        <w:rPr>
          <w:rFonts w:ascii="MS Gothic" w:hAnsi="MS Gothic" w:cs="MS Gothic" w:eastAsia="MS Gothic" w:hint="default"/>
        </w:rPr>
        <w:t>⑭</w:t>
      </w:r>
      <w:r>
        <w:rPr/>
        <w:t>递延所得税资产变化的主要原因： </w:t>
      </w:r>
      <w:r>
        <w:rPr>
          <w:spacing w:val="-3"/>
        </w:rPr>
        <w:t>随着公司连锁规模扩大，且四季度公司为促进销售，加大了广告投入，带来期末已</w:t>
      </w:r>
    </w:p>
    <w:p>
      <w:pPr>
        <w:pStyle w:val="BodyText"/>
        <w:spacing w:line="357" w:lineRule="auto" w:before="36"/>
        <w:ind w:left="720" w:right="4688" w:hanging="480"/>
        <w:jc w:val="left"/>
      </w:pPr>
      <w:r>
        <w:rPr/>
        <w:t>提未付的广告费增加，使得递延所得税资产有所增加。 上述原因使得公司报告期末总资产增加</w:t>
      </w:r>
      <w:r>
        <w:rPr>
          <w:spacing w:val="-61"/>
        </w:rPr>
        <w:t> </w:t>
      </w:r>
      <w:r>
        <w:rPr>
          <w:rFonts w:ascii="Times New Roman" w:hAnsi="Times New Roman" w:cs="Times New Roman" w:eastAsia="Times New Roman" w:hint="default"/>
        </w:rPr>
        <w:t>36.16%</w:t>
      </w:r>
      <w:r>
        <w:rPr/>
        <w:t>。</w:t>
      </w:r>
    </w:p>
    <w:p>
      <w:pPr>
        <w:tabs>
          <w:tab w:pos="7681" w:val="left" w:leader="none"/>
        </w:tabs>
        <w:spacing w:before="5"/>
        <w:ind w:left="720"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）负债及股东权益构成情况及变动原因分析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737"/>
        <w:gridCol w:w="1279"/>
        <w:gridCol w:w="1280"/>
        <w:gridCol w:w="1282"/>
        <w:gridCol w:w="1280"/>
        <w:gridCol w:w="1390"/>
      </w:tblGrid>
      <w:tr>
        <w:trPr>
          <w:trHeight w:val="300" w:hRule="exact"/>
        </w:trPr>
        <w:tc>
          <w:tcPr>
            <w:tcW w:w="2737" w:type="dxa"/>
            <w:vMerge w:val="restart"/>
            <w:tcBorders>
              <w:top w:val="single" w:sz="17" w:space="0" w:color="000000"/>
              <w:left w:val="single" w:sz="17"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21"/>
                <w:szCs w:val="21"/>
              </w:rPr>
            </w:pPr>
            <w:r>
              <w:rPr>
                <w:rFonts w:ascii="宋体" w:hAnsi="宋体" w:cs="宋体" w:eastAsia="宋体" w:hint="default"/>
                <w:sz w:val="21"/>
                <w:szCs w:val="21"/>
              </w:rPr>
              <w:t>项目</w:t>
            </w:r>
          </w:p>
        </w:tc>
        <w:tc>
          <w:tcPr>
            <w:tcW w:w="255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6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增减情况</w:t>
            </w:r>
          </w:p>
        </w:tc>
        <w:tc>
          <w:tcPr>
            <w:tcW w:w="1390" w:type="dxa"/>
            <w:vMerge w:val="restart"/>
            <w:tcBorders>
              <w:top w:val="single" w:sz="17" w:space="0" w:color="000000"/>
              <w:left w:val="single" w:sz="4" w:space="0" w:color="000000"/>
              <w:right w:val="single" w:sz="17" w:space="0" w:color="000000"/>
            </w:tcBorders>
          </w:tcPr>
          <w:p>
            <w:pPr>
              <w:pStyle w:val="TableParagraph"/>
              <w:spacing w:line="281" w:lineRule="exact" w:before="110"/>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p>
          <w:p>
            <w:pPr>
              <w:pStyle w:val="TableParagraph"/>
              <w:spacing w:line="281" w:lineRule="exact"/>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7" w:hRule="exact"/>
        </w:trPr>
        <w:tc>
          <w:tcPr>
            <w:tcW w:w="2737" w:type="dxa"/>
            <w:vMerge/>
            <w:tcBorders>
              <w:left w:val="single" w:sz="17"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19"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89"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90" w:type="dxa"/>
            <w:vMerge/>
            <w:tcBorders>
              <w:left w:val="single" w:sz="4" w:space="0" w:color="000000"/>
              <w:bottom w:val="single" w:sz="4" w:space="0" w:color="000000"/>
              <w:right w:val="single" w:sz="17" w:space="0" w:color="000000"/>
            </w:tcBorders>
          </w:tcPr>
          <w:p>
            <w:pP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1,665,686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317,789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1,347,897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424.15%</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8,525,857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6,839,024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1,686,833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24.66%</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2"/>
                <w:sz w:val="21"/>
              </w:rPr>
              <w:t>5,003,117</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20,617,593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14,277,320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6,340,273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44.41%</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35" w:lineRule="exact"/>
              <w:ind w:right="81"/>
              <w:jc w:val="right"/>
              <w:rPr>
                <w:rFonts w:ascii="Times New Roman" w:hAnsi="Times New Roman" w:cs="Times New Roman" w:eastAsia="Times New Roman" w:hint="default"/>
                <w:sz w:val="21"/>
                <w:szCs w:val="21"/>
              </w:rPr>
            </w:pPr>
            <w:r>
              <w:rPr>
                <w:rFonts w:ascii="Times New Roman"/>
                <w:spacing w:val="-1"/>
                <w:sz w:val="21"/>
              </w:rPr>
              <w:t>13,999,191</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273,558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201,295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72,263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35.90%</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35" w:lineRule="exact"/>
              <w:ind w:right="81"/>
              <w:jc w:val="right"/>
              <w:rPr>
                <w:rFonts w:ascii="Times New Roman" w:hAnsi="Times New Roman" w:cs="Times New Roman" w:eastAsia="Times New Roman" w:hint="default"/>
                <w:sz w:val="21"/>
                <w:szCs w:val="21"/>
              </w:rPr>
            </w:pPr>
            <w:r>
              <w:rPr>
                <w:rFonts w:ascii="Times New Roman"/>
                <w:spacing w:val="-1"/>
                <w:sz w:val="21"/>
              </w:rPr>
              <w:t>139,530</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790,756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525,750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265,006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50.41%</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35" w:lineRule="exact"/>
              <w:ind w:right="81"/>
              <w:jc w:val="right"/>
              <w:rPr>
                <w:rFonts w:ascii="Times New Roman" w:hAnsi="Times New Roman" w:cs="Times New Roman" w:eastAsia="Times New Roman" w:hint="default"/>
                <w:sz w:val="21"/>
                <w:szCs w:val="21"/>
              </w:rPr>
            </w:pPr>
            <w:r>
              <w:rPr>
                <w:rFonts w:ascii="Times New Roman"/>
                <w:spacing w:val="-1"/>
                <w:sz w:val="21"/>
              </w:rPr>
              <w:t>301,542</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5,305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35" w:lineRule="exact"/>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350,051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393,820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-43,769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pacing w:val="-3"/>
                <w:sz w:val="21"/>
              </w:rPr>
              <w:t>-11.11%</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81"/>
              <w:jc w:val="right"/>
              <w:rPr>
                <w:rFonts w:ascii="Times New Roman" w:hAnsi="Times New Roman" w:cs="Times New Roman" w:eastAsia="Times New Roman" w:hint="default"/>
                <w:sz w:val="21"/>
                <w:szCs w:val="21"/>
              </w:rPr>
            </w:pPr>
            <w:r>
              <w:rPr>
                <w:rFonts w:ascii="Times New Roman"/>
                <w:spacing w:val="-1"/>
                <w:sz w:val="21"/>
              </w:rPr>
              <w:t>276,792</w:t>
            </w:r>
          </w:p>
        </w:tc>
      </w:tr>
      <w:tr>
        <w:trPr>
          <w:trHeight w:val="281"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2,743,925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1,539,020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1,204,905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78.29%</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81"/>
              <w:jc w:val="right"/>
              <w:rPr>
                <w:rFonts w:ascii="Times New Roman" w:hAnsi="Times New Roman" w:cs="Times New Roman" w:eastAsia="Times New Roman" w:hint="default"/>
                <w:sz w:val="21"/>
                <w:szCs w:val="21"/>
              </w:rPr>
            </w:pPr>
            <w:r>
              <w:rPr>
                <w:rFonts w:ascii="Times New Roman"/>
                <w:spacing w:val="-1"/>
                <w:sz w:val="21"/>
              </w:rPr>
              <w:t>666,391</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545,502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318,755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226,747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71.14%</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235,148</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3" w:lineRule="exact"/>
              <w:ind w:left="86"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35,638,262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24,534,348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11,103,914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45.26%</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20,718,839</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101,135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101,135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183,239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34,395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148,844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432.75%</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3"/>
              <w:jc w:val="right"/>
              <w:rPr>
                <w:rFonts w:ascii="Times New Roman" w:hAnsi="Times New Roman" w:cs="Times New Roman" w:eastAsia="Times New Roman" w:hint="default"/>
                <w:sz w:val="21"/>
                <w:szCs w:val="21"/>
              </w:rPr>
            </w:pPr>
            <w:r>
              <w:rPr>
                <w:rFonts w:ascii="Times New Roman"/>
                <w:sz w:val="21"/>
              </w:rPr>
              <w:t>6,739</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833,299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493,248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340,051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68.94%</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189,271</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1,117,673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527,643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590,030</w:t>
            </w:r>
            <w:r>
              <w:rPr>
                <w:rFonts w:ascii="Times New Roman"/>
                <w:sz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pacing w:val="-3"/>
                <w:sz w:val="21"/>
              </w:rPr>
              <w:t>111.82%</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196,010</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36,755,935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25,061,991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11,693,944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46.66%</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20,914,849</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6,996,212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6,996,212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4,664,141</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517,074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655,288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-138,214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-21.09%</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2,975,652</w:t>
            </w:r>
          </w:p>
        </w:tc>
      </w:tr>
      <w:tr>
        <w:trPr>
          <w:trHeight w:val="283"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1,007,130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746,529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260,601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34.91%</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81"/>
              <w:jc w:val="right"/>
              <w:rPr>
                <w:rFonts w:ascii="Times New Roman" w:hAnsi="Times New Roman" w:cs="Times New Roman" w:eastAsia="Times New Roman" w:hint="default"/>
                <w:sz w:val="21"/>
                <w:szCs w:val="21"/>
              </w:rPr>
            </w:pPr>
            <w:r>
              <w:rPr>
                <w:rFonts w:ascii="Times New Roman"/>
                <w:spacing w:val="-1"/>
                <w:sz w:val="21"/>
              </w:rPr>
              <w:t>517,465</w:t>
            </w:r>
          </w:p>
        </w:tc>
      </w:tr>
      <w:tr>
        <w:trPr>
          <w:trHeight w:val="284"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13,793,238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9,932,866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3,860,372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sz w:val="21"/>
              </w:rPr>
              <w:t>38.86%</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81"/>
              <w:jc w:val="right"/>
              <w:rPr>
                <w:rFonts w:ascii="Times New Roman" w:hAnsi="Times New Roman" w:cs="Times New Roman" w:eastAsia="Times New Roman" w:hint="default"/>
                <w:sz w:val="21"/>
                <w:szCs w:val="21"/>
              </w:rPr>
            </w:pPr>
            <w:r>
              <w:rPr>
                <w:rFonts w:ascii="Times New Roman"/>
                <w:spacing w:val="-1"/>
                <w:sz w:val="21"/>
              </w:rPr>
              <w:t>6,383,317</w:t>
            </w:r>
          </w:p>
        </w:tc>
      </w:tr>
      <w:tr>
        <w:trPr>
          <w:trHeight w:val="281" w:hRule="exact"/>
        </w:trPr>
        <w:tc>
          <w:tcPr>
            <w:tcW w:w="2737" w:type="dxa"/>
            <w:tcBorders>
              <w:top w:val="single" w:sz="4" w:space="0" w:color="000000"/>
              <w:left w:val="single" w:sz="17"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14,680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7,294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7,386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101.26%</w:t>
            </w:r>
          </w:p>
        </w:tc>
        <w:tc>
          <w:tcPr>
            <w:tcW w:w="139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
              <w:ind w:right="84"/>
              <w:jc w:val="right"/>
              <w:rPr>
                <w:rFonts w:ascii="Times New Roman" w:hAnsi="Times New Roman" w:cs="Times New Roman" w:eastAsia="Times New Roman" w:hint="default"/>
                <w:sz w:val="21"/>
                <w:szCs w:val="21"/>
              </w:rPr>
            </w:pPr>
            <w:r>
              <w:rPr>
                <w:rFonts w:ascii="Times New Roman"/>
                <w:spacing w:val="-1"/>
                <w:sz w:val="21"/>
              </w:rPr>
              <w:t>-229</w:t>
            </w:r>
          </w:p>
        </w:tc>
      </w:tr>
      <w:tr>
        <w:trPr>
          <w:trHeight w:val="302" w:hRule="exact"/>
        </w:trPr>
        <w:tc>
          <w:tcPr>
            <w:tcW w:w="2737" w:type="dxa"/>
            <w:tcBorders>
              <w:top w:val="single" w:sz="4" w:space="0" w:color="000000"/>
              <w:left w:val="single" w:sz="17" w:space="0" w:color="000000"/>
              <w:bottom w:val="single" w:sz="17" w:space="0" w:color="000000"/>
              <w:right w:val="single" w:sz="4" w:space="0" w:color="000000"/>
            </w:tcBorders>
          </w:tcPr>
          <w:p>
            <w:pPr>
              <w:pStyle w:val="TableParagraph"/>
              <w:spacing w:line="243" w:lineRule="exact"/>
              <w:ind w:left="86" w:right="0"/>
              <w:jc w:val="left"/>
              <w:rPr>
                <w:rFonts w:ascii="宋体" w:hAnsi="宋体" w:cs="宋体" w:eastAsia="宋体" w:hint="default"/>
                <w:sz w:val="21"/>
                <w:szCs w:val="21"/>
              </w:rPr>
            </w:pPr>
            <w:r>
              <w:rPr>
                <w:rFonts w:ascii="宋体" w:hAnsi="宋体" w:cs="宋体" w:eastAsia="宋体" w:hint="default"/>
                <w:sz w:val="21"/>
                <w:szCs w:val="21"/>
              </w:rPr>
              <w:t>归属于母公司股东权益合计</w:t>
            </w:r>
          </w:p>
        </w:tc>
        <w:tc>
          <w:tcPr>
            <w:tcW w:w="127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22,328,334</w:t>
            </w:r>
          </w:p>
        </w:tc>
        <w:tc>
          <w:tcPr>
            <w:tcW w:w="12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18,338,189</w:t>
            </w:r>
          </w:p>
        </w:tc>
        <w:tc>
          <w:tcPr>
            <w:tcW w:w="12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3,990,145</w:t>
            </w:r>
          </w:p>
        </w:tc>
        <w:tc>
          <w:tcPr>
            <w:tcW w:w="12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21.76%</w:t>
            </w:r>
          </w:p>
        </w:tc>
        <w:tc>
          <w:tcPr>
            <w:tcW w:w="139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spacing w:val="-1"/>
                <w:sz w:val="21"/>
              </w:rPr>
              <w:t>14,540,346</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857" w:top="980" w:bottom="1040" w:left="1200" w:right="0"/>
        </w:sectPr>
      </w:pPr>
    </w:p>
    <w:p>
      <w:pPr>
        <w:spacing w:line="240" w:lineRule="auto" w:before="6"/>
        <w:rPr>
          <w:rFonts w:ascii="宋体" w:hAnsi="宋体" w:cs="宋体" w:eastAsia="宋体" w:hint="default"/>
          <w:sz w:val="29"/>
          <w:szCs w:val="29"/>
        </w:rPr>
      </w:pPr>
    </w:p>
    <w:p>
      <w:pPr>
        <w:pStyle w:val="BodyText"/>
        <w:spacing w:line="357" w:lineRule="auto" w:before="26"/>
        <w:ind w:left="620" w:right="1310"/>
        <w:jc w:val="left"/>
      </w:pPr>
      <w:r>
        <w:rPr/>
        <w:t>①短期借款变化的主要原因： </w:t>
      </w:r>
      <w:r>
        <w:rPr>
          <w:spacing w:val="-6"/>
        </w:rPr>
        <w:t>报告期内，由于运营需要，公司及子公司香港苏宁电器有限公司适当增加银行融资，</w:t>
      </w:r>
    </w:p>
    <w:p>
      <w:pPr>
        <w:pStyle w:val="BodyText"/>
        <w:spacing w:line="240" w:lineRule="auto" w:before="36"/>
        <w:ind w:right="1314"/>
        <w:jc w:val="left"/>
      </w:pPr>
      <w:r>
        <w:rPr/>
        <w:t>带来短期借款期末余额增加。</w:t>
      </w:r>
    </w:p>
    <w:p>
      <w:pPr>
        <w:pStyle w:val="BodyText"/>
        <w:spacing w:line="357" w:lineRule="auto" w:before="154"/>
        <w:ind w:left="620" w:right="1436"/>
        <w:jc w:val="left"/>
      </w:pPr>
      <w:r>
        <w:rPr/>
        <w:t>②应付票据变化的主要原因： </w:t>
      </w:r>
      <w:r>
        <w:rPr>
          <w:spacing w:val="-3"/>
        </w:rPr>
        <w:t>报告期内，公司较多的采用银行承兑汇票的方式支付供应商货款，带来期末应付票</w:t>
      </w:r>
    </w:p>
    <w:p>
      <w:pPr>
        <w:pStyle w:val="BodyText"/>
        <w:spacing w:line="240" w:lineRule="auto" w:before="36"/>
        <w:ind w:right="1314"/>
        <w:jc w:val="left"/>
      </w:pPr>
      <w:r>
        <w:rPr/>
        <w:t>据余额较期初增加</w:t>
      </w:r>
      <w:r>
        <w:rPr>
          <w:spacing w:val="-62"/>
        </w:rPr>
        <w:t> </w:t>
      </w:r>
      <w:r>
        <w:rPr>
          <w:rFonts w:ascii="Times New Roman" w:hAnsi="Times New Roman" w:cs="Times New Roman" w:eastAsia="Times New Roman" w:hint="default"/>
        </w:rPr>
        <w:t>44.41%</w:t>
      </w:r>
      <w:r>
        <w:rPr/>
        <w:t>。</w:t>
      </w:r>
    </w:p>
    <w:p>
      <w:pPr>
        <w:pStyle w:val="BodyText"/>
        <w:spacing w:line="357" w:lineRule="auto"/>
        <w:ind w:left="620" w:right="1436"/>
        <w:jc w:val="left"/>
      </w:pPr>
      <w:r>
        <w:rPr/>
        <w:t>③</w:t>
      </w:r>
      <w:r>
        <w:rPr>
          <w:spacing w:val="-1"/>
        </w:rPr>
        <w:t> </w:t>
      </w:r>
      <w:r>
        <w:rPr/>
        <w:t>应付职工薪酬变化的主要原因：</w:t>
      </w:r>
      <w:r>
        <w:rPr/>
        <w:t> </w:t>
      </w:r>
      <w:r>
        <w:rPr>
          <w:spacing w:val="-3"/>
        </w:rPr>
        <w:t>报告期内，连锁店面数量的增加及规模的扩大，公司员工数量增加，且公司实施了</w:t>
      </w:r>
    </w:p>
    <w:p>
      <w:pPr>
        <w:pStyle w:val="BodyText"/>
        <w:spacing w:line="240" w:lineRule="auto" w:before="36"/>
        <w:ind w:right="1314"/>
        <w:jc w:val="left"/>
      </w:pPr>
      <w:r>
        <w:rPr/>
        <w:t>一系列激励措施，提升员工薪酬水平，由此带来期末应付职工薪酬较期初增加</w:t>
      </w:r>
      <w:r>
        <w:rPr>
          <w:spacing w:val="-60"/>
        </w:rPr>
        <w:t> </w:t>
      </w:r>
      <w:r>
        <w:rPr>
          <w:rFonts w:ascii="Times New Roman" w:hAnsi="Times New Roman" w:cs="Times New Roman" w:eastAsia="Times New Roman" w:hint="default"/>
        </w:rPr>
        <w:t>35.9%</w:t>
      </w:r>
      <w:r>
        <w:rPr/>
        <w:t>。</w:t>
      </w:r>
    </w:p>
    <w:p>
      <w:pPr>
        <w:pStyle w:val="BodyText"/>
        <w:spacing w:line="357" w:lineRule="auto"/>
        <w:ind w:left="620" w:right="1310"/>
        <w:jc w:val="left"/>
      </w:pPr>
      <w:r>
        <w:rPr/>
        <w:t>④</w:t>
      </w:r>
      <w:r>
        <w:rPr>
          <w:spacing w:val="-1"/>
        </w:rPr>
        <w:t> </w:t>
      </w:r>
      <w:r>
        <w:rPr/>
        <w:t>应交税费变化的主要原因：</w:t>
      </w:r>
      <w:r>
        <w:rPr/>
        <w:t> </w:t>
      </w:r>
      <w:r>
        <w:rPr>
          <w:spacing w:val="-6"/>
        </w:rPr>
        <w:t>公司利润的增加，带来应交税金增加，另报告期内，公司为加强对子公司的控股权，</w:t>
      </w:r>
    </w:p>
    <w:p>
      <w:pPr>
        <w:pStyle w:val="BodyText"/>
        <w:spacing w:line="357" w:lineRule="auto" w:before="36"/>
        <w:ind w:right="1314"/>
        <w:jc w:val="left"/>
      </w:pPr>
      <w:r>
        <w:rPr>
          <w:spacing w:val="-3"/>
        </w:rPr>
        <w:t>收购了部分公司少数股东权益，应代扣代缴的个人所得税有所增加，由此带来期末应交</w:t>
      </w:r>
      <w:r>
        <w:rPr>
          <w:spacing w:val="-98"/>
        </w:rPr>
        <w:t> </w:t>
      </w:r>
      <w:r>
        <w:rPr>
          <w:spacing w:val="-98"/>
        </w:rPr>
      </w:r>
      <w:r>
        <w:rPr/>
        <w:t>税费余额较期初增加</w:t>
      </w:r>
      <w:r>
        <w:rPr>
          <w:spacing w:val="-61"/>
        </w:rPr>
        <w:t> </w:t>
      </w:r>
      <w:r>
        <w:rPr>
          <w:rFonts w:ascii="Times New Roman" w:hAnsi="Times New Roman" w:cs="Times New Roman" w:eastAsia="Times New Roman" w:hint="default"/>
        </w:rPr>
        <w:t>50.41%</w:t>
      </w:r>
      <w:r>
        <w:rPr/>
        <w:t>。</w:t>
      </w:r>
    </w:p>
    <w:p>
      <w:pPr>
        <w:pStyle w:val="BodyText"/>
        <w:spacing w:line="357" w:lineRule="auto" w:before="5"/>
        <w:ind w:left="620" w:right="1436"/>
        <w:jc w:val="left"/>
      </w:pPr>
      <w:r>
        <w:rPr/>
        <w:t>⑤其他应付款变化的主要原因： </w:t>
      </w:r>
      <w:r>
        <w:rPr>
          <w:spacing w:val="-3"/>
        </w:rPr>
        <w:t>由于报告期内，公司推进物流基地以及自建店的建设，年末应支付的工程款相应增</w:t>
      </w:r>
    </w:p>
    <w:p>
      <w:pPr>
        <w:pStyle w:val="BodyText"/>
        <w:spacing w:line="357" w:lineRule="auto" w:before="36"/>
        <w:ind w:right="1314"/>
        <w:jc w:val="left"/>
      </w:pPr>
      <w:r>
        <w:rPr>
          <w:spacing w:val="-3"/>
        </w:rPr>
        <w:t>加，另随着公司连锁店面增加，收取的各项保证金及押金有所增加，带来其他应付款期</w:t>
      </w:r>
      <w:r>
        <w:rPr>
          <w:spacing w:val="-102"/>
        </w:rPr>
        <w:t> </w:t>
      </w:r>
      <w:r>
        <w:rPr>
          <w:spacing w:val="-102"/>
        </w:rPr>
      </w:r>
      <w:r>
        <w:rPr/>
        <w:t>末余额较期初增加</w:t>
      </w:r>
      <w:r>
        <w:rPr>
          <w:spacing w:val="-62"/>
        </w:rPr>
        <w:t> </w:t>
      </w:r>
      <w:r>
        <w:rPr>
          <w:rFonts w:ascii="Times New Roman" w:hAnsi="Times New Roman" w:cs="Times New Roman" w:eastAsia="Times New Roman" w:hint="default"/>
        </w:rPr>
        <w:t>78.29%</w:t>
      </w:r>
      <w:r>
        <w:rPr/>
        <w:t>。</w:t>
      </w:r>
    </w:p>
    <w:p>
      <w:pPr>
        <w:pStyle w:val="BodyText"/>
        <w:spacing w:line="357" w:lineRule="auto" w:before="5"/>
        <w:ind w:left="620" w:right="1436"/>
        <w:jc w:val="left"/>
      </w:pPr>
      <w:r>
        <w:rPr/>
        <w:t>⑥其他流动负债变化的主要原因： </w:t>
      </w:r>
      <w:r>
        <w:rPr>
          <w:spacing w:val="-3"/>
        </w:rPr>
        <w:t>随着公司连锁店数量增加，预提的房租以及水电费相应增加，带来期末其他流动负</w:t>
      </w:r>
    </w:p>
    <w:p>
      <w:pPr>
        <w:pStyle w:val="BodyText"/>
        <w:spacing w:line="240" w:lineRule="auto" w:before="36"/>
        <w:ind w:right="1314"/>
        <w:jc w:val="left"/>
      </w:pPr>
      <w:r>
        <w:rPr/>
        <w:t>债余额较期初增加</w:t>
      </w:r>
      <w:r>
        <w:rPr>
          <w:spacing w:val="-62"/>
        </w:rPr>
        <w:t> </w:t>
      </w:r>
      <w:r>
        <w:rPr>
          <w:rFonts w:ascii="Times New Roman" w:hAnsi="Times New Roman" w:cs="Times New Roman" w:eastAsia="Times New Roman" w:hint="default"/>
        </w:rPr>
        <w:t>71.14%</w:t>
      </w:r>
      <w:r>
        <w:rPr/>
        <w:t>。</w:t>
      </w:r>
    </w:p>
    <w:p>
      <w:pPr>
        <w:pStyle w:val="BodyText"/>
        <w:spacing w:line="357" w:lineRule="auto" w:before="136"/>
        <w:ind w:left="620" w:right="1422"/>
        <w:jc w:val="left"/>
        <w:rPr>
          <w:rFonts w:ascii="Times New Roman" w:hAnsi="Times New Roman" w:cs="Times New Roman" w:eastAsia="Times New Roman" w:hint="default"/>
        </w:rPr>
      </w:pPr>
      <w:r>
        <w:rPr/>
        <w:t>⑦预计负债变化的主要原因为： </w:t>
      </w:r>
      <w:r>
        <w:rPr>
          <w:spacing w:val="-10"/>
        </w:rPr>
        <w:t>受日本地震影响，当地商业租金出现波动，鉴于租赁协议的不可撤销性，使得</w:t>
      </w:r>
      <w:r>
        <w:rPr>
          <w:spacing w:val="-56"/>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1"/>
        </w:rPr>
      </w:r>
    </w:p>
    <w:p>
      <w:pPr>
        <w:pStyle w:val="BodyText"/>
        <w:spacing w:line="240" w:lineRule="auto" w:before="5"/>
        <w:ind w:right="1314"/>
        <w:jc w:val="left"/>
      </w:pPr>
      <w:r>
        <w:rPr/>
        <w:t>租赁协议约定价格较市场租金高，即承担了一个不利的亏损合同而确认了预计负债。</w:t>
      </w:r>
    </w:p>
    <w:p>
      <w:pPr>
        <w:pStyle w:val="BodyText"/>
        <w:spacing w:line="240" w:lineRule="auto" w:before="154"/>
        <w:ind w:left="620" w:right="1314"/>
        <w:jc w:val="left"/>
      </w:pPr>
      <w:r>
        <w:rPr/>
        <w:t>⑧递延所得税负债变化的主要原因为：</w:t>
      </w:r>
    </w:p>
    <w:p>
      <w:pPr>
        <w:pStyle w:val="BodyText"/>
        <w:spacing w:line="240" w:lineRule="auto" w:before="154"/>
        <w:ind w:left="620" w:right="1314"/>
        <w:jc w:val="left"/>
      </w:pP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纳入公司合并范围时评估增值部分带来的递延所得税负债增加。</w:t>
      </w:r>
    </w:p>
    <w:p>
      <w:pPr>
        <w:pStyle w:val="BodyText"/>
        <w:spacing w:line="357" w:lineRule="auto"/>
        <w:ind w:left="620" w:right="1436"/>
        <w:jc w:val="left"/>
      </w:pPr>
      <w:r>
        <w:rPr/>
        <w:t>⑨</w:t>
      </w:r>
      <w:r>
        <w:rPr>
          <w:spacing w:val="-1"/>
        </w:rPr>
        <w:t> </w:t>
      </w:r>
      <w:r>
        <w:rPr/>
        <w:t>其他非流动负债变化的主要原因：</w:t>
      </w:r>
      <w:r>
        <w:rPr/>
        <w:t> </w:t>
      </w:r>
      <w:r>
        <w:rPr>
          <w:spacing w:val="-3"/>
        </w:rPr>
        <w:t>报告期内，公司大力推广延保销售业务，收入增长较快，同时收到政府补助有所增</w:t>
      </w:r>
    </w:p>
    <w:p>
      <w:pPr>
        <w:pStyle w:val="BodyText"/>
        <w:spacing w:line="240" w:lineRule="auto" w:before="36"/>
        <w:ind w:right="0"/>
        <w:jc w:val="left"/>
      </w:pPr>
      <w:r>
        <w:rPr>
          <w:spacing w:val="-2"/>
        </w:rPr>
        <w:t>加，确认的递延收益增加，由此带来报告期末其他非流动负债余额较期初增长</w:t>
      </w:r>
      <w:r>
        <w:rPr>
          <w:spacing w:val="-40"/>
        </w:rPr>
        <w:t> </w:t>
      </w:r>
      <w:r>
        <w:rPr>
          <w:rFonts w:ascii="Times New Roman" w:hAnsi="Times New Roman" w:cs="Times New Roman" w:eastAsia="Times New Roman" w:hint="default"/>
          <w:spacing w:val="-1"/>
        </w:rPr>
        <w:t>68.94%</w:t>
      </w:r>
      <w:r>
        <w:rPr>
          <w:spacing w:val="-1"/>
        </w:rPr>
        <w:t>。</w:t>
      </w:r>
    </w:p>
    <w:p>
      <w:pPr>
        <w:pStyle w:val="BodyText"/>
        <w:spacing w:line="357" w:lineRule="auto"/>
        <w:ind w:left="620" w:right="1418"/>
        <w:jc w:val="left"/>
      </w:pPr>
      <w:r>
        <w:rPr/>
        <w:t>⑩</w:t>
      </w:r>
      <w:r>
        <w:rPr>
          <w:spacing w:val="-1"/>
        </w:rPr>
        <w:t> </w:t>
      </w:r>
      <w:r>
        <w:rPr/>
        <w:t>盈余公积、未分配利润变化的主要原因：</w:t>
      </w:r>
      <w:r>
        <w:rPr/>
        <w:t> 由于报告期实现归属于母公司股东利润</w:t>
      </w:r>
      <w:r>
        <w:rPr>
          <w:spacing w:val="-75"/>
        </w:rPr>
        <w:t> </w:t>
      </w:r>
      <w:r>
        <w:rPr>
          <w:rFonts w:ascii="Times New Roman" w:hAnsi="Times New Roman" w:cs="Times New Roman" w:eastAsia="Times New Roman" w:hint="default"/>
        </w:rPr>
        <w:t>48.21</w:t>
      </w:r>
      <w:r>
        <w:rPr>
          <w:rFonts w:ascii="Times New Roman" w:hAnsi="Times New Roman" w:cs="Times New Roman" w:eastAsia="Times New Roman" w:hint="default"/>
          <w:spacing w:val="-15"/>
        </w:rPr>
        <w:t> </w:t>
      </w:r>
      <w:r>
        <w:rPr/>
        <w:t>亿元，导致公司计提盈余公积、未分</w:t>
      </w:r>
    </w:p>
    <w:p>
      <w:pPr>
        <w:pStyle w:val="BodyText"/>
        <w:spacing w:line="240" w:lineRule="auto" w:before="5"/>
        <w:ind w:right="1314"/>
        <w:jc w:val="left"/>
      </w:pPr>
      <w:r>
        <w:rPr/>
        <w:t>配利润的增加。</w:t>
      </w:r>
    </w:p>
    <w:p>
      <w:pPr>
        <w:spacing w:after="0" w:line="240" w:lineRule="auto"/>
        <w:jc w:val="left"/>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722" w:right="1422"/>
        <w:jc w:val="left"/>
      </w:pPr>
      <w:r>
        <w:rPr>
          <w:spacing w:val="3"/>
        </w:rPr>
        <w:t>综上，报告期末，公司总负债余额、归属于母公司股东权益余额较期初分别增加</w:t>
      </w:r>
    </w:p>
    <w:p>
      <w:pPr>
        <w:pStyle w:val="BodyText"/>
        <w:spacing w:line="240" w:lineRule="auto" w:before="154"/>
        <w:ind w:left="240" w:right="3386"/>
        <w:jc w:val="left"/>
      </w:pPr>
      <w:r>
        <w:rPr>
          <w:rFonts w:ascii="Times New Roman" w:hAnsi="Times New Roman" w:cs="Times New Roman" w:eastAsia="Times New Roman" w:hint="default"/>
        </w:rPr>
        <w:t>46.66%</w:t>
      </w:r>
      <w:r>
        <w:rPr/>
        <w:t>、</w:t>
      </w:r>
      <w:r>
        <w:rPr>
          <w:rFonts w:ascii="Times New Roman" w:hAnsi="Times New Roman" w:cs="Times New Roman" w:eastAsia="Times New Roman" w:hint="default"/>
        </w:rPr>
        <w:t>21.76%</w:t>
      </w:r>
      <w:r>
        <w:rPr/>
        <w:t>。</w:t>
      </w:r>
    </w:p>
    <w:p>
      <w:pPr>
        <w:tabs>
          <w:tab w:pos="7681" w:val="left" w:leader="none"/>
        </w:tabs>
        <w:spacing w:before="135"/>
        <w:ind w:left="720"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）其他损益类构成情况及变动原因分析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449"/>
        <w:gridCol w:w="1699"/>
        <w:gridCol w:w="1700"/>
        <w:gridCol w:w="1700"/>
        <w:gridCol w:w="1699"/>
      </w:tblGrid>
      <w:tr>
        <w:trPr>
          <w:trHeight w:val="343" w:hRule="exact"/>
        </w:trPr>
        <w:tc>
          <w:tcPr>
            <w:tcW w:w="2449" w:type="dxa"/>
            <w:tcBorders>
              <w:top w:val="single" w:sz="17" w:space="0" w:color="000000"/>
              <w:left w:val="single" w:sz="17"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17" w:space="0" w:color="000000"/>
              <w:left w:val="single" w:sz="4" w:space="0" w:color="000000"/>
              <w:bottom w:val="single" w:sz="4" w:space="0" w:color="000000"/>
              <w:right w:val="single" w:sz="4" w:space="0" w:color="000000"/>
            </w:tcBorders>
          </w:tcPr>
          <w:p>
            <w:pPr>
              <w:pStyle w:val="TableParagraph"/>
              <w:spacing w:line="278"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78"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同比增减</w:t>
            </w:r>
          </w:p>
        </w:tc>
        <w:tc>
          <w:tcPr>
            <w:tcW w:w="1699" w:type="dxa"/>
            <w:tcBorders>
              <w:top w:val="single" w:sz="17" w:space="0" w:color="000000"/>
              <w:left w:val="single" w:sz="4" w:space="0" w:color="000000"/>
              <w:bottom w:val="single" w:sz="4" w:space="0" w:color="000000"/>
              <w:right w:val="single" w:sz="17" w:space="0" w:color="000000"/>
            </w:tcBorders>
          </w:tcPr>
          <w:p>
            <w:pPr>
              <w:pStyle w:val="TableParagraph"/>
              <w:spacing w:line="278" w:lineRule="exact"/>
              <w:ind w:right="83"/>
              <w:jc w:val="right"/>
              <w:rPr>
                <w:rFonts w:ascii="宋体" w:hAnsi="宋体" w:cs="宋体" w:eastAsia="宋体" w:hint="default"/>
                <w:sz w:val="21"/>
                <w:szCs w:val="21"/>
              </w:rPr>
            </w:pPr>
            <w:r>
              <w:rPr>
                <w:rFonts w:ascii="宋体" w:hAnsi="宋体" w:cs="宋体" w:eastAsia="宋体" w:hint="default"/>
                <w:spacing w:val="-1"/>
                <w:sz w:val="21"/>
                <w:szCs w:val="21"/>
              </w:rPr>
              <w:t>增减幅度（</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24"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369,751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268,129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101,622</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37.90%</w:t>
            </w:r>
          </w:p>
        </w:tc>
      </w:tr>
      <w:tr>
        <w:trPr>
          <w:trHeight w:val="326"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69,537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75,924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-6,387</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2"/>
              <w:ind w:right="83"/>
              <w:jc w:val="right"/>
              <w:rPr>
                <w:rFonts w:ascii="Times New Roman" w:hAnsi="Times New Roman" w:cs="Times New Roman" w:eastAsia="Times New Roman" w:hint="default"/>
                <w:sz w:val="21"/>
                <w:szCs w:val="21"/>
              </w:rPr>
            </w:pPr>
            <w:r>
              <w:rPr>
                <w:rFonts w:ascii="Times New Roman"/>
                <w:spacing w:val="-1"/>
                <w:sz w:val="21"/>
              </w:rPr>
              <w:t>-8.41%</w:t>
            </w:r>
          </w:p>
        </w:tc>
      </w:tr>
      <w:tr>
        <w:trPr>
          <w:trHeight w:val="324"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
              <w:ind w:left="86"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152,192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10,625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141,567</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29"/>
              <w:ind w:right="81"/>
              <w:jc w:val="right"/>
              <w:rPr>
                <w:rFonts w:ascii="Times New Roman" w:hAnsi="Times New Roman" w:cs="Times New Roman" w:eastAsia="Times New Roman" w:hint="default"/>
                <w:sz w:val="21"/>
                <w:szCs w:val="21"/>
              </w:rPr>
            </w:pPr>
            <w:r>
              <w:rPr>
                <w:rFonts w:ascii="Times New Roman"/>
                <w:spacing w:val="-1"/>
                <w:sz w:val="21"/>
              </w:rPr>
              <w:t>1332.40%</w:t>
            </w:r>
          </w:p>
        </w:tc>
      </w:tr>
      <w:tr>
        <w:trPr>
          <w:trHeight w:val="326"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2"/>
                <w:sz w:val="21"/>
              </w:rPr>
              <w:t>117,555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72,465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z w:val="21"/>
              </w:rPr>
              <w:t>45,090</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62.22%</w:t>
            </w:r>
          </w:p>
        </w:tc>
      </w:tr>
      <w:tr>
        <w:trPr>
          <w:trHeight w:val="32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7"/>
              <w:ind w:left="8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z w:val="21"/>
              </w:rPr>
              <w:t>88,410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102,369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-13,959</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0"/>
              <w:ind w:right="83"/>
              <w:jc w:val="right"/>
              <w:rPr>
                <w:rFonts w:ascii="Times New Roman" w:hAnsi="Times New Roman" w:cs="Times New Roman" w:eastAsia="Times New Roman" w:hint="default"/>
                <w:sz w:val="21"/>
                <w:szCs w:val="21"/>
              </w:rPr>
            </w:pPr>
            <w:r>
              <w:rPr>
                <w:rFonts w:ascii="Times New Roman"/>
                <w:spacing w:val="-1"/>
                <w:sz w:val="21"/>
              </w:rPr>
              <w:t>-13.64%</w:t>
            </w:r>
          </w:p>
        </w:tc>
      </w:tr>
      <w:tr>
        <w:trPr>
          <w:trHeight w:val="343" w:hRule="exact"/>
        </w:trPr>
        <w:tc>
          <w:tcPr>
            <w:tcW w:w="2449"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1,587,220</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1,296,536</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290,684</w:t>
            </w:r>
          </w:p>
        </w:tc>
        <w:tc>
          <w:tcPr>
            <w:tcW w:w="169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22.42%</w:t>
            </w:r>
          </w:p>
        </w:tc>
      </w:tr>
    </w:tbl>
    <w:p>
      <w:pPr>
        <w:pStyle w:val="BodyText"/>
        <w:spacing w:line="274" w:lineRule="exact" w:before="0"/>
        <w:ind w:left="720" w:right="3386"/>
        <w:jc w:val="left"/>
      </w:pPr>
      <w:r>
        <w:rPr/>
        <w:t>①</w:t>
      </w:r>
      <w:r>
        <w:rPr>
          <w:spacing w:val="-1"/>
        </w:rPr>
        <w:t> </w:t>
      </w:r>
      <w:r>
        <w:rPr/>
        <w:t>营业税金及附加变化的主要原因：</w:t>
      </w:r>
    </w:p>
    <w:p>
      <w:pPr>
        <w:pStyle w:val="BodyText"/>
        <w:spacing w:line="357" w:lineRule="auto" w:before="154"/>
        <w:ind w:left="240" w:right="1436" w:firstLine="480"/>
        <w:jc w:val="left"/>
      </w:pPr>
      <w:r>
        <w:rPr>
          <w:spacing w:val="-3"/>
        </w:rPr>
        <w:t>报告期内，公司缴纳的增值税以及地方附加税的比例有所增加，带来营业税金及附</w:t>
      </w:r>
      <w:r>
        <w:rPr/>
        <w:t> 加的增长。</w:t>
      </w:r>
    </w:p>
    <w:p>
      <w:pPr>
        <w:pStyle w:val="BodyText"/>
        <w:spacing w:line="240" w:lineRule="auto" w:before="36"/>
        <w:ind w:left="720" w:right="3386"/>
        <w:jc w:val="left"/>
      </w:pPr>
      <w:r>
        <w:rPr/>
        <w:t>②</w:t>
      </w:r>
      <w:r>
        <w:rPr>
          <w:spacing w:val="-1"/>
        </w:rPr>
        <w:t> </w:t>
      </w:r>
      <w:r>
        <w:rPr/>
        <w:t>投资收益变化的主要原因：</w:t>
      </w:r>
    </w:p>
    <w:p>
      <w:pPr>
        <w:pStyle w:val="BodyText"/>
        <w:spacing w:line="338" w:lineRule="auto" w:before="154"/>
        <w:ind w:left="240" w:right="1421" w:firstLine="480"/>
        <w:jc w:val="left"/>
      </w:pPr>
      <w:r>
        <w:rPr/>
        <w:t>报告期内日本 </w:t>
      </w:r>
      <w:r>
        <w:rPr>
          <w:rFonts w:ascii="Times New Roman" w:hAnsi="Times New Roman" w:cs="Times New Roman" w:eastAsia="Times New Roman" w:hint="default"/>
        </w:rPr>
        <w:t>LAOX</w:t>
      </w:r>
      <w:r>
        <w:rPr>
          <w:rFonts w:ascii="Times New Roman" w:hAnsi="Times New Roman" w:cs="Times New Roman" w:eastAsia="Times New Roman" w:hint="default"/>
          <w:spacing w:val="21"/>
        </w:rPr>
        <w:t> </w:t>
      </w:r>
      <w:r>
        <w:rPr/>
        <w:t>公司成为公司的控股子公司，合并报表时重新计量长期股权 投资的公允价值产生的投资收益，带来报告期内投资收益较同期增长</w:t>
      </w:r>
      <w:r>
        <w:rPr>
          <w:spacing w:val="-60"/>
        </w:rPr>
        <w:t> </w:t>
      </w:r>
      <w:r>
        <w:rPr>
          <w:rFonts w:ascii="Times New Roman" w:hAnsi="Times New Roman" w:cs="Times New Roman" w:eastAsia="Times New Roman" w:hint="default"/>
        </w:rPr>
        <w:t>1332.40%</w:t>
      </w:r>
      <w:r>
        <w:rPr/>
        <w:t>。</w:t>
      </w:r>
    </w:p>
    <w:p>
      <w:pPr>
        <w:pStyle w:val="BodyText"/>
        <w:spacing w:line="357" w:lineRule="auto" w:before="27"/>
        <w:ind w:left="720" w:right="1422"/>
        <w:jc w:val="left"/>
      </w:pPr>
      <w:r>
        <w:rPr/>
        <w:t>③</w:t>
      </w:r>
      <w:r>
        <w:rPr>
          <w:spacing w:val="-1"/>
        </w:rPr>
        <w:t> </w:t>
      </w:r>
      <w:r>
        <w:rPr/>
        <w:t>营业外收入变化的主要原因：</w:t>
      </w:r>
      <w:r>
        <w:rPr/>
        <w:t> </w:t>
      </w:r>
      <w:r>
        <w:rPr>
          <w:spacing w:val="-3"/>
        </w:rPr>
        <w:t>报告期内，公司较多收到各地政府相关部门给予的企业扶持资金有所增加，带来报</w:t>
      </w:r>
    </w:p>
    <w:p>
      <w:pPr>
        <w:pStyle w:val="BodyText"/>
        <w:spacing w:line="240" w:lineRule="auto" w:before="36"/>
        <w:ind w:left="221" w:right="6287"/>
        <w:jc w:val="center"/>
      </w:pPr>
      <w:r>
        <w:rPr/>
        <w:t>告期内营业外收入较同期增加</w:t>
      </w:r>
      <w:r>
        <w:rPr>
          <w:spacing w:val="-61"/>
        </w:rPr>
        <w:t> </w:t>
      </w:r>
      <w:r>
        <w:rPr>
          <w:rFonts w:ascii="Times New Roman" w:hAnsi="Times New Roman" w:cs="Times New Roman" w:eastAsia="Times New Roman" w:hint="default"/>
        </w:rPr>
        <w:t>62.22%</w:t>
      </w:r>
      <w:r>
        <w:rPr/>
        <w:t>。</w:t>
      </w:r>
    </w:p>
    <w:p>
      <w:pPr>
        <w:tabs>
          <w:tab w:pos="7201" w:val="left" w:leader="none"/>
        </w:tabs>
        <w:spacing w:before="135"/>
        <w:ind w:left="720"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4</w:t>
      </w:r>
      <w:r>
        <w:rPr>
          <w:rFonts w:ascii="宋体" w:hAnsi="宋体" w:cs="宋体" w:eastAsia="宋体" w:hint="default"/>
          <w:spacing w:val="-1"/>
          <w:sz w:val="24"/>
          <w:szCs w:val="24"/>
        </w:rPr>
        <w:t>）主要债权债务分析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530"/>
        <w:gridCol w:w="1678"/>
        <w:gridCol w:w="1680"/>
        <w:gridCol w:w="1681"/>
        <w:gridCol w:w="1678"/>
      </w:tblGrid>
      <w:tr>
        <w:trPr>
          <w:trHeight w:val="463" w:hRule="exact"/>
        </w:trPr>
        <w:tc>
          <w:tcPr>
            <w:tcW w:w="2530" w:type="dxa"/>
            <w:tcBorders>
              <w:top w:val="single" w:sz="17" w:space="0" w:color="000000"/>
              <w:left w:val="single" w:sz="17" w:space="0" w:color="000000"/>
              <w:bottom w:val="single" w:sz="8" w:space="0" w:color="000000"/>
              <w:right w:val="single" w:sz="8" w:space="0" w:color="000000"/>
            </w:tcBorders>
          </w:tcPr>
          <w:p>
            <w:pPr>
              <w:pStyle w:val="TableParagraph"/>
              <w:spacing w:line="240" w:lineRule="auto" w:before="45"/>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5"/>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168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5"/>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8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45"/>
              <w:ind w:left="410"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678" w:type="dxa"/>
            <w:tcBorders>
              <w:top w:val="single" w:sz="17" w:space="0" w:color="000000"/>
              <w:left w:val="single" w:sz="8" w:space="0" w:color="000000"/>
              <w:bottom w:val="single" w:sz="8" w:space="0" w:color="000000"/>
              <w:right w:val="single" w:sz="17" w:space="0" w:color="000000"/>
            </w:tcBorders>
          </w:tcPr>
          <w:p>
            <w:pPr>
              <w:pStyle w:val="TableParagraph"/>
              <w:spacing w:line="240" w:lineRule="auto" w:before="45"/>
              <w:ind w:left="3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19"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1"/>
              <w:jc w:val="right"/>
              <w:rPr>
                <w:rFonts w:ascii="Times New Roman" w:hAnsi="Times New Roman" w:cs="Times New Roman" w:eastAsia="Times New Roman" w:hint="default"/>
                <w:sz w:val="21"/>
                <w:szCs w:val="21"/>
              </w:rPr>
            </w:pPr>
            <w:r>
              <w:rPr>
                <w:rFonts w:ascii="Times New Roman"/>
                <w:spacing w:val="-1"/>
                <w:sz w:val="21"/>
              </w:rPr>
              <w:t>1,665,686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pacing w:val="-1"/>
                <w:sz w:val="21"/>
              </w:rPr>
              <w:t>317,789</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z w:val="21"/>
              </w:rPr>
              <w:t>424.15%</w:t>
            </w:r>
          </w:p>
        </w:tc>
        <w:tc>
          <w:tcPr>
            <w:tcW w:w="167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2"/>
              <w:ind w:right="83"/>
              <w:jc w:val="right"/>
              <w:rPr>
                <w:rFonts w:ascii="Times New Roman" w:hAnsi="Times New Roman" w:cs="Times New Roman" w:eastAsia="Times New Roman" w:hint="default"/>
                <w:sz w:val="21"/>
                <w:szCs w:val="21"/>
              </w:rPr>
            </w:pPr>
            <w:r>
              <w:rPr>
                <w:rFonts w:ascii="Times New Roman"/>
                <w:w w:val="100"/>
                <w:sz w:val="21"/>
              </w:rPr>
              <w:t>-</w:t>
            </w:r>
          </w:p>
        </w:tc>
      </w:tr>
      <w:tr>
        <w:trPr>
          <w:trHeight w:val="320"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应付票据余额</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20,617,593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pacing w:val="-1"/>
                <w:sz w:val="21"/>
              </w:rPr>
              <w:t>14,277,320</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z w:val="21"/>
              </w:rPr>
              <w:t>44.41%</w:t>
            </w:r>
          </w:p>
        </w:tc>
        <w:tc>
          <w:tcPr>
            <w:tcW w:w="167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1"/>
                <w:sz w:val="21"/>
              </w:rPr>
              <w:t>13,999,191</w:t>
            </w:r>
          </w:p>
        </w:tc>
      </w:tr>
      <w:tr>
        <w:trPr>
          <w:trHeight w:val="322"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应付票据周转天数（天）</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z w:val="21"/>
              </w:rPr>
              <w:t>82.80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82.20</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0.60</w:t>
            </w:r>
          </w:p>
        </w:tc>
        <w:tc>
          <w:tcPr>
            <w:tcW w:w="167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1"/>
                <w:szCs w:val="21"/>
              </w:rPr>
            </w:pPr>
            <w:r>
              <w:rPr>
                <w:rFonts w:ascii="Times New Roman"/>
                <w:sz w:val="21"/>
              </w:rPr>
              <w:t>78.94</w:t>
            </w:r>
          </w:p>
        </w:tc>
      </w:tr>
      <w:tr>
        <w:trPr>
          <w:trHeight w:val="319"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应付账款余额</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1"/>
              <w:jc w:val="right"/>
              <w:rPr>
                <w:rFonts w:ascii="Times New Roman" w:hAnsi="Times New Roman" w:cs="Times New Roman" w:eastAsia="Times New Roman" w:hint="default"/>
                <w:sz w:val="21"/>
                <w:szCs w:val="21"/>
              </w:rPr>
            </w:pPr>
            <w:r>
              <w:rPr>
                <w:rFonts w:ascii="Times New Roman"/>
                <w:spacing w:val="-1"/>
                <w:sz w:val="21"/>
              </w:rPr>
              <w:t>8,525,857</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pacing w:val="-1"/>
                <w:sz w:val="21"/>
              </w:rPr>
              <w:t>6,839,024</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93"/>
              <w:jc w:val="right"/>
              <w:rPr>
                <w:rFonts w:ascii="Times New Roman" w:hAnsi="Times New Roman" w:cs="Times New Roman" w:eastAsia="Times New Roman" w:hint="default"/>
                <w:sz w:val="21"/>
                <w:szCs w:val="21"/>
              </w:rPr>
            </w:pPr>
            <w:r>
              <w:rPr>
                <w:rFonts w:ascii="Times New Roman"/>
                <w:sz w:val="21"/>
              </w:rPr>
              <w:t>24.66%</w:t>
            </w:r>
          </w:p>
        </w:tc>
        <w:tc>
          <w:tcPr>
            <w:tcW w:w="167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2"/>
              <w:ind w:right="81"/>
              <w:jc w:val="right"/>
              <w:rPr>
                <w:rFonts w:ascii="Times New Roman" w:hAnsi="Times New Roman" w:cs="Times New Roman" w:eastAsia="Times New Roman" w:hint="default"/>
                <w:sz w:val="21"/>
                <w:szCs w:val="21"/>
              </w:rPr>
            </w:pPr>
            <w:r>
              <w:rPr>
                <w:rFonts w:ascii="Times New Roman"/>
                <w:spacing w:val="-2"/>
                <w:sz w:val="21"/>
              </w:rPr>
              <w:t>5,003,117</w:t>
            </w:r>
          </w:p>
        </w:tc>
      </w:tr>
      <w:tr>
        <w:trPr>
          <w:trHeight w:val="319" w:hRule="exact"/>
        </w:trPr>
        <w:tc>
          <w:tcPr>
            <w:tcW w:w="2530" w:type="dxa"/>
            <w:tcBorders>
              <w:top w:val="single" w:sz="8" w:space="0" w:color="000000"/>
              <w:left w:val="single" w:sz="17" w:space="0" w:color="000000"/>
              <w:bottom w:val="single" w:sz="8"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应付账款周转天数（天）</w:t>
            </w:r>
          </w:p>
        </w:tc>
        <w:tc>
          <w:tcPr>
            <w:tcW w:w="16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z w:val="21"/>
              </w:rPr>
              <w:t>36.46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34.42</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2.04</w:t>
            </w:r>
          </w:p>
        </w:tc>
        <w:tc>
          <w:tcPr>
            <w:tcW w:w="1678" w:type="dxa"/>
            <w:tcBorders>
              <w:top w:val="single" w:sz="8" w:space="0" w:color="000000"/>
              <w:left w:val="single" w:sz="8" w:space="0" w:color="000000"/>
              <w:bottom w:val="single" w:sz="8" w:space="0" w:color="000000"/>
              <w:right w:val="single" w:sz="17" w:space="0" w:color="000000"/>
            </w:tcBorders>
          </w:tcPr>
          <w:p>
            <w:pPr>
              <w:pStyle w:val="TableParagraph"/>
              <w:spacing w:line="240" w:lineRule="auto" w:before="24"/>
              <w:ind w:right="83"/>
              <w:jc w:val="right"/>
              <w:rPr>
                <w:rFonts w:ascii="Times New Roman" w:hAnsi="Times New Roman" w:cs="Times New Roman" w:eastAsia="Times New Roman" w:hint="default"/>
                <w:sz w:val="21"/>
                <w:szCs w:val="21"/>
              </w:rPr>
            </w:pPr>
            <w:r>
              <w:rPr>
                <w:rFonts w:ascii="Times New Roman"/>
                <w:sz w:val="21"/>
              </w:rPr>
              <w:t>32.</w:t>
            </w:r>
            <w:r>
              <w:rPr>
                <w:rFonts w:ascii="Times New Roman"/>
                <w:spacing w:val="2"/>
                <w:sz w:val="21"/>
              </w:rPr>
              <w:t> </w:t>
            </w:r>
            <w:r>
              <w:rPr>
                <w:rFonts w:ascii="Times New Roman"/>
                <w:sz w:val="21"/>
              </w:rPr>
              <w:t>32</w:t>
            </w:r>
          </w:p>
        </w:tc>
      </w:tr>
      <w:tr>
        <w:trPr>
          <w:trHeight w:val="334" w:hRule="exact"/>
        </w:trPr>
        <w:tc>
          <w:tcPr>
            <w:tcW w:w="2530" w:type="dxa"/>
            <w:tcBorders>
              <w:top w:val="single" w:sz="8" w:space="0" w:color="000000"/>
              <w:left w:val="single" w:sz="17" w:space="0" w:color="000000"/>
              <w:bottom w:val="single" w:sz="17" w:space="0" w:color="000000"/>
              <w:right w:val="single" w:sz="8" w:space="0" w:color="000000"/>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应收账款余额</w:t>
            </w:r>
          </w:p>
        </w:tc>
        <w:tc>
          <w:tcPr>
            <w:tcW w:w="167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4"/>
              <w:ind w:right="91"/>
              <w:jc w:val="right"/>
              <w:rPr>
                <w:rFonts w:ascii="Times New Roman" w:hAnsi="Times New Roman" w:cs="Times New Roman" w:eastAsia="Times New Roman" w:hint="default"/>
                <w:sz w:val="21"/>
                <w:szCs w:val="21"/>
              </w:rPr>
            </w:pPr>
            <w:r>
              <w:rPr>
                <w:rFonts w:ascii="Times New Roman"/>
                <w:spacing w:val="-1"/>
                <w:sz w:val="21"/>
              </w:rPr>
              <w:t>1,841,778</w:t>
            </w:r>
          </w:p>
        </w:tc>
        <w:tc>
          <w:tcPr>
            <w:tcW w:w="168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pacing w:val="-2"/>
                <w:sz w:val="21"/>
              </w:rPr>
              <w:t>1,104,611</w:t>
            </w:r>
          </w:p>
        </w:tc>
        <w:tc>
          <w:tcPr>
            <w:tcW w:w="168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sz w:val="21"/>
              </w:rPr>
              <w:t>66.74%</w:t>
            </w:r>
          </w:p>
        </w:tc>
        <w:tc>
          <w:tcPr>
            <w:tcW w:w="1678" w:type="dxa"/>
            <w:tcBorders>
              <w:top w:val="single" w:sz="8" w:space="0" w:color="000000"/>
              <w:left w:val="single" w:sz="8" w:space="0" w:color="000000"/>
              <w:bottom w:val="single" w:sz="17" w:space="0" w:color="000000"/>
              <w:right w:val="single" w:sz="17" w:space="0" w:color="000000"/>
            </w:tcBorders>
          </w:tcPr>
          <w:p>
            <w:pPr>
              <w:pStyle w:val="TableParagraph"/>
              <w:spacing w:line="240" w:lineRule="auto" w:before="24"/>
              <w:ind w:right="81"/>
              <w:jc w:val="right"/>
              <w:rPr>
                <w:rFonts w:ascii="Times New Roman" w:hAnsi="Times New Roman" w:cs="Times New Roman" w:eastAsia="Times New Roman" w:hint="default"/>
                <w:sz w:val="21"/>
                <w:szCs w:val="21"/>
              </w:rPr>
            </w:pPr>
            <w:r>
              <w:rPr>
                <w:rFonts w:ascii="Times New Roman"/>
                <w:spacing w:val="-1"/>
                <w:sz w:val="21"/>
              </w:rPr>
              <w:t>347,024</w:t>
            </w:r>
          </w:p>
        </w:tc>
      </w:tr>
    </w:tbl>
    <w:p>
      <w:pPr>
        <w:pStyle w:val="BodyText"/>
        <w:spacing w:line="333" w:lineRule="auto" w:before="79"/>
        <w:ind w:left="240" w:right="1436" w:firstLine="480"/>
        <w:jc w:val="left"/>
      </w:pPr>
      <w:r>
        <w:rPr>
          <w:spacing w:val="-3"/>
        </w:rPr>
        <w:t>报告期内，公司因运营需要，适当增加银行融资，另公司较多使用银行承兑汇票支</w:t>
      </w:r>
      <w:r>
        <w:rPr/>
        <w:t> 付货款，应付票据余额比年初有所增加。</w:t>
      </w:r>
    </w:p>
    <w:p>
      <w:pPr>
        <w:tabs>
          <w:tab w:pos="7324" w:val="left" w:leader="none"/>
        </w:tabs>
        <w:spacing w:before="29"/>
        <w:ind w:left="722"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）偿债能力分析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449"/>
        <w:gridCol w:w="1699"/>
        <w:gridCol w:w="1700"/>
        <w:gridCol w:w="1702"/>
        <w:gridCol w:w="1699"/>
      </w:tblGrid>
      <w:tr>
        <w:trPr>
          <w:trHeight w:val="420" w:hRule="exact"/>
        </w:trPr>
        <w:tc>
          <w:tcPr>
            <w:tcW w:w="244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28"/>
              <w:ind w:right="15"/>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7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1699"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28"/>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9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right="13"/>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-0.19</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
              <w:ind w:left="16" w:right="0"/>
              <w:jc w:val="center"/>
              <w:rPr>
                <w:rFonts w:ascii="Times New Roman" w:hAnsi="Times New Roman" w:cs="Times New Roman" w:eastAsia="Times New Roman" w:hint="default"/>
                <w:sz w:val="21"/>
                <w:szCs w:val="21"/>
              </w:rPr>
            </w:pPr>
            <w:r>
              <w:rPr>
                <w:rFonts w:ascii="Times New Roman"/>
                <w:sz w:val="21"/>
              </w:rPr>
              <w:t>1.46</w:t>
            </w:r>
          </w:p>
        </w:tc>
      </w:tr>
      <w:tr>
        <w:trPr>
          <w:trHeight w:val="295"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48" w:lineRule="exact"/>
              <w:ind w:right="13"/>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-0.18</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
              <w:ind w:left="16" w:right="0"/>
              <w:jc w:val="center"/>
              <w:rPr>
                <w:rFonts w:ascii="Times New Roman" w:hAnsi="Times New Roman" w:cs="Times New Roman" w:eastAsia="Times New Roman" w:hint="default"/>
                <w:sz w:val="21"/>
                <w:szCs w:val="21"/>
              </w:rPr>
            </w:pPr>
            <w:r>
              <w:rPr>
                <w:rFonts w:ascii="Times New Roman"/>
                <w:sz w:val="21"/>
              </w:rPr>
              <w:t>1.15</w:t>
            </w:r>
          </w:p>
        </w:tc>
      </w:tr>
      <w:tr>
        <w:trPr>
          <w:trHeight w:val="314" w:hRule="exact"/>
        </w:trPr>
        <w:tc>
          <w:tcPr>
            <w:tcW w:w="2449" w:type="dxa"/>
            <w:tcBorders>
              <w:top w:val="single" w:sz="4" w:space="0" w:color="000000"/>
              <w:left w:val="single" w:sz="17" w:space="0" w:color="000000"/>
              <w:bottom w:val="single" w:sz="17" w:space="0" w:color="000000"/>
              <w:right w:val="single" w:sz="4" w:space="0" w:color="000000"/>
            </w:tcBorders>
          </w:tcPr>
          <w:p>
            <w:pPr>
              <w:pStyle w:val="TableParagraph"/>
              <w:spacing w:line="248" w:lineRule="exact"/>
              <w:ind w:right="13"/>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61.48%</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57.08%</w:t>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4.40</w:t>
            </w:r>
          </w:p>
        </w:tc>
        <w:tc>
          <w:tcPr>
            <w:tcW w:w="169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5"/>
              <w:ind w:left="19" w:right="0"/>
              <w:jc w:val="center"/>
              <w:rPr>
                <w:rFonts w:ascii="Times New Roman" w:hAnsi="Times New Roman" w:cs="Times New Roman" w:eastAsia="Times New Roman" w:hint="default"/>
                <w:sz w:val="21"/>
                <w:szCs w:val="21"/>
              </w:rPr>
            </w:pPr>
            <w:r>
              <w:rPr>
                <w:rFonts w:ascii="Times New Roman"/>
                <w:sz w:val="21"/>
              </w:rPr>
              <w:t>58.36%</w:t>
            </w:r>
          </w:p>
        </w:tc>
      </w:tr>
    </w:tbl>
    <w:p>
      <w:pPr>
        <w:pStyle w:val="BodyText"/>
        <w:spacing w:line="240" w:lineRule="auto" w:before="79"/>
        <w:ind w:left="720" w:right="3386"/>
        <w:jc w:val="left"/>
      </w:pPr>
      <w:r>
        <w:rPr/>
        <w:t>报告期内，公司偿债能力较上年同期未发生较大变化。</w:t>
      </w:r>
    </w:p>
    <w:p>
      <w:pPr>
        <w:spacing w:after="0" w:line="240" w:lineRule="auto"/>
        <w:jc w:val="left"/>
        <w:sectPr>
          <w:pgSz w:w="11910" w:h="16840"/>
          <w:pgMar w:header="748" w:footer="857" w:top="980" w:bottom="1040" w:left="1200" w:right="0"/>
        </w:sectPr>
      </w:pPr>
    </w:p>
    <w:p>
      <w:pPr>
        <w:spacing w:line="240" w:lineRule="auto" w:before="6"/>
        <w:rPr>
          <w:rFonts w:ascii="宋体" w:hAnsi="宋体" w:cs="宋体" w:eastAsia="宋体" w:hint="default"/>
          <w:sz w:val="29"/>
          <w:szCs w:val="29"/>
        </w:rPr>
      </w:pPr>
    </w:p>
    <w:p>
      <w:pPr>
        <w:tabs>
          <w:tab w:pos="7324" w:val="left" w:leader="none"/>
        </w:tabs>
        <w:spacing w:before="26"/>
        <w:ind w:left="722"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6</w:t>
      </w:r>
      <w:r>
        <w:rPr>
          <w:rFonts w:ascii="宋体" w:hAnsi="宋体" w:cs="宋体" w:eastAsia="宋体" w:hint="default"/>
          <w:spacing w:val="-1"/>
          <w:sz w:val="24"/>
          <w:szCs w:val="24"/>
        </w:rPr>
        <w:t>）资产运营能力分析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449"/>
        <w:gridCol w:w="1699"/>
        <w:gridCol w:w="1700"/>
        <w:gridCol w:w="1700"/>
        <w:gridCol w:w="1699"/>
      </w:tblGrid>
      <w:tr>
        <w:trPr>
          <w:trHeight w:val="437" w:hRule="exact"/>
        </w:trPr>
        <w:tc>
          <w:tcPr>
            <w:tcW w:w="2449"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35"/>
              <w:ind w:right="15"/>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70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35"/>
              <w:ind w:left="42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699"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35"/>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4"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62.77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102.27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-39.50</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9"/>
              <w:ind w:right="83"/>
              <w:jc w:val="right"/>
              <w:rPr>
                <w:rFonts w:ascii="Times New Roman" w:hAnsi="Times New Roman" w:cs="Times New Roman" w:eastAsia="Times New Roman" w:hint="default"/>
                <w:sz w:val="21"/>
                <w:szCs w:val="21"/>
              </w:rPr>
            </w:pPr>
            <w:r>
              <w:rPr>
                <w:rFonts w:ascii="Times New Roman"/>
                <w:sz w:val="21"/>
              </w:rPr>
              <w:t>249.53</w:t>
            </w:r>
          </w:p>
        </w:tc>
      </w:tr>
      <w:tr>
        <w:trPr>
          <w:trHeight w:val="326"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7" w:lineRule="exact"/>
              <w:ind w:right="13"/>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6.62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7.84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-1.22</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1"/>
              <w:ind w:right="83"/>
              <w:jc w:val="right"/>
              <w:rPr>
                <w:rFonts w:ascii="Times New Roman" w:hAnsi="Times New Roman" w:cs="Times New Roman" w:eastAsia="Times New Roman" w:hint="default"/>
                <w:sz w:val="21"/>
                <w:szCs w:val="21"/>
              </w:rPr>
            </w:pPr>
            <w:r>
              <w:rPr>
                <w:rFonts w:ascii="Times New Roman"/>
                <w:sz w:val="21"/>
              </w:rPr>
              <w:t>8.56</w:t>
            </w:r>
          </w:p>
        </w:tc>
      </w:tr>
      <w:tr>
        <w:trPr>
          <w:trHeight w:val="324" w:hRule="exact"/>
        </w:trPr>
        <w:tc>
          <w:tcPr>
            <w:tcW w:w="2449" w:type="dxa"/>
            <w:tcBorders>
              <w:top w:val="single" w:sz="4" w:space="0" w:color="000000"/>
              <w:left w:val="single" w:sz="17"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hAnsi="宋体" w:cs="宋体" w:eastAsia="宋体" w:hint="default"/>
                <w:sz w:val="21"/>
                <w:szCs w:val="21"/>
              </w:rPr>
              <w:t>流动资产周转率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2.37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2.30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sz w:val="21"/>
              </w:rPr>
              <w:t>0.07</w:t>
            </w:r>
          </w:p>
        </w:tc>
        <w:tc>
          <w:tcPr>
            <w:tcW w:w="169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9"/>
              <w:ind w:right="83"/>
              <w:jc w:val="right"/>
              <w:rPr>
                <w:rFonts w:ascii="Times New Roman" w:hAnsi="Times New Roman" w:cs="Times New Roman" w:eastAsia="Times New Roman" w:hint="default"/>
                <w:sz w:val="21"/>
                <w:szCs w:val="21"/>
              </w:rPr>
            </w:pPr>
            <w:r>
              <w:rPr>
                <w:rFonts w:ascii="Times New Roman"/>
                <w:sz w:val="21"/>
              </w:rPr>
              <w:t>2.41</w:t>
            </w:r>
          </w:p>
        </w:tc>
      </w:tr>
      <w:tr>
        <w:trPr>
          <w:trHeight w:val="343" w:hRule="exact"/>
        </w:trPr>
        <w:tc>
          <w:tcPr>
            <w:tcW w:w="2449" w:type="dxa"/>
            <w:tcBorders>
              <w:top w:val="single" w:sz="4" w:space="0" w:color="000000"/>
              <w:left w:val="single" w:sz="17" w:space="0" w:color="000000"/>
              <w:bottom w:val="single" w:sz="17" w:space="0" w:color="000000"/>
              <w:right w:val="single" w:sz="4" w:space="0" w:color="000000"/>
            </w:tcBorders>
          </w:tcPr>
          <w:p>
            <w:pPr>
              <w:pStyle w:val="TableParagraph"/>
              <w:spacing w:line="267" w:lineRule="exact"/>
              <w:ind w:right="15"/>
              <w:jc w:val="center"/>
              <w:rPr>
                <w:rFonts w:ascii="宋体" w:hAnsi="宋体" w:cs="宋体" w:eastAsia="宋体" w:hint="default"/>
                <w:sz w:val="21"/>
                <w:szCs w:val="21"/>
              </w:rPr>
            </w:pPr>
            <w:r>
              <w:rPr>
                <w:rFonts w:ascii="宋体" w:hAnsi="宋体" w:cs="宋体" w:eastAsia="宋体" w:hint="default"/>
                <w:sz w:val="21"/>
                <w:szCs w:val="21"/>
              </w:rPr>
              <w:t>总资产周转率</w:t>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1.78</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1.86</w:t>
            </w:r>
          </w:p>
        </w:tc>
        <w:tc>
          <w:tcPr>
            <w:tcW w:w="17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-0.08</w:t>
            </w:r>
          </w:p>
        </w:tc>
        <w:tc>
          <w:tcPr>
            <w:tcW w:w="1699"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41"/>
              <w:ind w:right="83"/>
              <w:jc w:val="right"/>
              <w:rPr>
                <w:rFonts w:ascii="Times New Roman" w:hAnsi="Times New Roman" w:cs="Times New Roman" w:eastAsia="Times New Roman" w:hint="default"/>
                <w:sz w:val="21"/>
                <w:szCs w:val="21"/>
              </w:rPr>
            </w:pPr>
            <w:r>
              <w:rPr>
                <w:rFonts w:ascii="Times New Roman"/>
                <w:sz w:val="21"/>
              </w:rPr>
              <w:t>1.99</w:t>
            </w:r>
          </w:p>
        </w:tc>
      </w:tr>
    </w:tbl>
    <w:p>
      <w:pPr>
        <w:pStyle w:val="BodyText"/>
        <w:spacing w:line="348" w:lineRule="auto" w:before="79"/>
        <w:ind w:left="240" w:right="1433" w:firstLine="482"/>
        <w:jc w:val="both"/>
      </w:pPr>
      <w:r>
        <w:rPr>
          <w:rFonts w:ascii="Wingdings" w:hAnsi="Wingdings" w:cs="Wingdings" w:eastAsia="Wingdings" w:hint="default"/>
        </w:rPr>
        <w:t></w:t>
      </w:r>
      <w:r>
        <w:rPr>
          <w:rFonts w:ascii="Wingdings" w:hAnsi="Wingdings" w:cs="Wingdings" w:eastAsia="Wingdings" w:hint="default"/>
          <w:spacing w:val="-36"/>
        </w:rPr>
        <w:t></w:t>
      </w:r>
      <w:r>
        <w:rPr>
          <w:rFonts w:ascii="Times New Roman" w:hAnsi="Times New Roman" w:cs="Times New Roman" w:eastAsia="Times New Roman" w:hint="default"/>
          <w:spacing w:val="-36"/>
        </w:rPr>
      </w:r>
      <w:r>
        <w:rPr/>
        <w:t>报告期内，由于“家电下乡”和“以旧换新”政策的实施，在促进公司销售增 </w:t>
      </w:r>
      <w:r>
        <w:rPr>
          <w:spacing w:val="-3"/>
        </w:rPr>
        <w:t>长的同时，也带来公司代垫财政补贴款的增加；另由于工程、团购业务增加，应收客户</w:t>
      </w:r>
      <w:r>
        <w:rPr>
          <w:spacing w:val="-97"/>
        </w:rPr>
        <w:t> </w:t>
      </w:r>
      <w:r>
        <w:rPr>
          <w:spacing w:val="-97"/>
        </w:rPr>
      </w:r>
      <w:r>
        <w:rPr/>
        <w:t>款项增加，应收账款期末余额相应增加，从而导致应收账款周转率下降。</w:t>
      </w:r>
    </w:p>
    <w:p>
      <w:pPr>
        <w:pStyle w:val="BodyText"/>
        <w:spacing w:line="348" w:lineRule="auto" w:before="46"/>
        <w:ind w:left="240" w:right="1435" w:firstLine="482"/>
        <w:jc w:val="both"/>
      </w:pPr>
      <w:r>
        <w:rPr>
          <w:rFonts w:ascii="Wingdings" w:hAnsi="Wingdings" w:cs="Wingdings" w:eastAsia="Wingdings" w:hint="default"/>
        </w:rPr>
        <w:t></w:t>
      </w:r>
      <w:r>
        <w:rPr>
          <w:rFonts w:ascii="Wingdings" w:hAnsi="Wingdings" w:cs="Wingdings" w:eastAsia="Wingdings" w:hint="default"/>
          <w:spacing w:val="-38"/>
        </w:rPr>
        <w:t></w:t>
      </w:r>
      <w:r>
        <w:rPr>
          <w:rFonts w:ascii="Times New Roman" w:hAnsi="Times New Roman" w:cs="Times New Roman" w:eastAsia="Times New Roman" w:hint="default"/>
          <w:spacing w:val="-38"/>
        </w:rPr>
      </w:r>
      <w:r>
        <w:rPr/>
        <w:t>为应对元旦促销和春节前旺季销售，且由于连锁店数量增加以及电子商务业务 </w:t>
      </w:r>
      <w:r>
        <w:rPr>
          <w:spacing w:val="-3"/>
        </w:rPr>
        <w:t>的快速发展，带来报告期末库存增加，存货周转率略有下降。未来，通过公司物流平台</w:t>
      </w:r>
      <w:r>
        <w:rPr>
          <w:spacing w:val="-96"/>
        </w:rPr>
        <w:t> </w:t>
      </w:r>
      <w:r>
        <w:rPr>
          <w:spacing w:val="-96"/>
        </w:rPr>
      </w:r>
      <w:r>
        <w:rPr/>
        <w:t>的合理规划，以及公司供应链管理水平进一步提高，存货周转率将逐步改善。</w:t>
      </w:r>
    </w:p>
    <w:p>
      <w:pPr>
        <w:pStyle w:val="BodyText"/>
        <w:spacing w:line="338" w:lineRule="auto" w:before="46"/>
        <w:ind w:left="240" w:right="1440" w:firstLine="482"/>
        <w:jc w:val="both"/>
      </w:pPr>
      <w:r>
        <w:rPr>
          <w:rFonts w:ascii="Wingdings" w:hAnsi="Wingdings" w:cs="Wingdings" w:eastAsia="Wingdings" w:hint="default"/>
        </w:rPr>
        <w:t></w:t>
      </w:r>
      <w:r>
        <w:rPr>
          <w:rFonts w:ascii="Wingdings" w:hAnsi="Wingdings" w:cs="Wingdings" w:eastAsia="Wingdings" w:hint="default"/>
          <w:spacing w:val="-39"/>
        </w:rPr>
        <w:t></w:t>
      </w:r>
      <w:r>
        <w:rPr>
          <w:rFonts w:ascii="Times New Roman" w:hAnsi="Times New Roman" w:cs="Times New Roman" w:eastAsia="Times New Roman" w:hint="default"/>
          <w:spacing w:val="-39"/>
        </w:rPr>
      </w:r>
      <w:r>
        <w:rPr/>
        <w:t>报告期内，公司销售规模增长较快，由此带来流动资产周转率、总资产周转率 相对稳定。</w:t>
      </w:r>
    </w:p>
    <w:p>
      <w:pPr>
        <w:tabs>
          <w:tab w:pos="7321" w:val="left" w:leader="none"/>
        </w:tabs>
        <w:spacing w:before="55"/>
        <w:ind w:left="720" w:right="142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5</w:t>
      </w:r>
      <w:r>
        <w:rPr>
          <w:rFonts w:ascii="宋体" w:hAnsi="宋体" w:cs="宋体" w:eastAsia="宋体" w:hint="default"/>
          <w:spacing w:val="-1"/>
          <w:sz w:val="24"/>
          <w:szCs w:val="24"/>
        </w:rPr>
        <w:t>、现金流状况分析</w:t>
        <w:tab/>
      </w:r>
      <w:r>
        <w:rPr>
          <w:rFonts w:ascii="宋体" w:hAnsi="宋体" w:cs="宋体" w:eastAsia="宋体" w:hint="default"/>
          <w:spacing w:val="-1"/>
          <w:sz w:val="21"/>
          <w:szCs w:val="21"/>
        </w:rPr>
        <w:t>（单位：千元）</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536"/>
        <w:gridCol w:w="1904"/>
        <w:gridCol w:w="1904"/>
        <w:gridCol w:w="1903"/>
      </w:tblGrid>
      <w:tr>
        <w:trPr>
          <w:trHeight w:val="502" w:hRule="exact"/>
        </w:trPr>
        <w:tc>
          <w:tcPr>
            <w:tcW w:w="3536" w:type="dxa"/>
            <w:tcBorders>
              <w:top w:val="single" w:sz="17" w:space="0" w:color="000000"/>
              <w:left w:val="single" w:sz="17" w:space="0" w:color="000000"/>
              <w:bottom w:val="single" w:sz="4" w:space="0" w:color="000000"/>
              <w:right w:val="single" w:sz="4" w:space="0" w:color="000000"/>
            </w:tcBorders>
          </w:tcPr>
          <w:p>
            <w:pPr>
              <w:pStyle w:val="TableParagraph"/>
              <w:tabs>
                <w:tab w:pos="631" w:val="left" w:leader="none"/>
              </w:tabs>
              <w:spacing w:line="240" w:lineRule="auto" w:before="69"/>
              <w:ind w:right="1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0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9"/>
              <w:ind w:left="4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0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9"/>
              <w:ind w:left="4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903"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69"/>
              <w:ind w:left="16"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6,588,520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3,881,336</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69.75%</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109,891,721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88,671,641</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23.93%</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103,303,201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84,790,305</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21.83%</w:t>
            </w:r>
          </w:p>
        </w:tc>
      </w:tr>
      <w:tr>
        <w:trPr>
          <w:trHeight w:val="367"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-5,990,447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-5,660,872</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left="17" w:right="0"/>
              <w:jc w:val="center"/>
              <w:rPr>
                <w:rFonts w:ascii="Times New Roman" w:hAnsi="Times New Roman" w:cs="Times New Roman" w:eastAsia="Times New Roman" w:hint="default"/>
                <w:sz w:val="21"/>
                <w:szCs w:val="21"/>
              </w:rPr>
            </w:pPr>
            <w:r>
              <w:rPr>
                <w:rFonts w:ascii="Times New Roman"/>
                <w:sz w:val="21"/>
              </w:rPr>
              <w:t>5.82%</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992,986</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z w:val="21"/>
              </w:rPr>
              <w:t>2,695</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20" w:right="0"/>
              <w:jc w:val="center"/>
              <w:rPr>
                <w:rFonts w:ascii="Times New Roman" w:hAnsi="Times New Roman" w:cs="Times New Roman" w:eastAsia="Times New Roman" w:hint="default"/>
                <w:sz w:val="21"/>
                <w:szCs w:val="21"/>
              </w:rPr>
            </w:pPr>
            <w:r>
              <w:rPr>
                <w:rFonts w:ascii="Times New Roman"/>
                <w:sz w:val="21"/>
              </w:rPr>
              <w:t>36745.49%</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6,983,433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5,663,567</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23.30%</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21"/>
                <w:szCs w:val="21"/>
              </w:rPr>
            </w:pPr>
            <w:r>
              <w:rPr>
                <w:rFonts w:ascii="Times New Roman"/>
                <w:spacing w:val="-1"/>
                <w:sz w:val="21"/>
              </w:rPr>
              <w:t>679,401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21"/>
                <w:szCs w:val="21"/>
              </w:rPr>
            </w:pPr>
            <w:r>
              <w:rPr>
                <w:rFonts w:ascii="Times New Roman"/>
                <w:spacing w:val="-1"/>
                <w:sz w:val="21"/>
              </w:rPr>
              <w:t>123,450</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4"/>
              <w:ind w:left="17" w:right="0"/>
              <w:jc w:val="center"/>
              <w:rPr>
                <w:rFonts w:ascii="Times New Roman" w:hAnsi="Times New Roman" w:cs="Times New Roman" w:eastAsia="Times New Roman" w:hint="default"/>
                <w:sz w:val="21"/>
                <w:szCs w:val="21"/>
              </w:rPr>
            </w:pPr>
            <w:r>
              <w:rPr>
                <w:rFonts w:ascii="Times New Roman"/>
                <w:sz w:val="21"/>
              </w:rPr>
              <w:t>450.34%</w:t>
            </w:r>
          </w:p>
        </w:tc>
      </w:tr>
      <w:tr>
        <w:trPr>
          <w:trHeight w:val="367"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pacing w:val="-1"/>
                <w:sz w:val="21"/>
              </w:rPr>
              <w:t>1,430,451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454,109</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1"/>
              <w:ind w:left="17" w:right="0"/>
              <w:jc w:val="center"/>
              <w:rPr>
                <w:rFonts w:ascii="Times New Roman" w:hAnsi="Times New Roman" w:cs="Times New Roman" w:eastAsia="Times New Roman" w:hint="default"/>
                <w:sz w:val="21"/>
                <w:szCs w:val="21"/>
              </w:rPr>
            </w:pPr>
            <w:r>
              <w:rPr>
                <w:rFonts w:ascii="Times New Roman"/>
                <w:sz w:val="21"/>
              </w:rPr>
              <w:t>215.00%</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751,050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330,659</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127.14%</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86"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1,272,693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-1,648,563</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177.20%</w:t>
            </w:r>
          </w:p>
        </w:tc>
      </w:tr>
      <w:tr>
        <w:trPr>
          <w:trHeight w:val="370" w:hRule="exact"/>
        </w:trPr>
        <w:tc>
          <w:tcPr>
            <w:tcW w:w="3536"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2"/>
                <w:sz w:val="21"/>
              </w:rPr>
              <w:t>112,315,158</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89,135,968</w:t>
            </w:r>
          </w:p>
        </w:tc>
        <w:tc>
          <w:tcPr>
            <w:tcW w:w="1903"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3"/>
              <w:ind w:left="17" w:right="0"/>
              <w:jc w:val="center"/>
              <w:rPr>
                <w:rFonts w:ascii="Times New Roman" w:hAnsi="Times New Roman" w:cs="Times New Roman" w:eastAsia="Times New Roman" w:hint="default"/>
                <w:sz w:val="21"/>
                <w:szCs w:val="21"/>
              </w:rPr>
            </w:pPr>
            <w:r>
              <w:rPr>
                <w:rFonts w:ascii="Times New Roman"/>
                <w:sz w:val="21"/>
              </w:rPr>
              <w:t>26.00%</w:t>
            </w:r>
          </w:p>
        </w:tc>
      </w:tr>
      <w:tr>
        <w:trPr>
          <w:trHeight w:val="386" w:hRule="exact"/>
        </w:trPr>
        <w:tc>
          <w:tcPr>
            <w:tcW w:w="3536"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9"/>
              <w:ind w:left="717"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9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2"/>
                <w:sz w:val="21"/>
              </w:rPr>
              <w:t>111,037,684</w:t>
            </w:r>
          </w:p>
        </w:tc>
        <w:tc>
          <w:tcPr>
            <w:tcW w:w="190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1"/>
                <w:szCs w:val="21"/>
              </w:rPr>
            </w:pPr>
            <w:r>
              <w:rPr>
                <w:rFonts w:ascii="Times New Roman"/>
                <w:spacing w:val="-1"/>
                <w:sz w:val="21"/>
              </w:rPr>
              <w:t>90,784,531</w:t>
            </w:r>
          </w:p>
        </w:tc>
        <w:tc>
          <w:tcPr>
            <w:tcW w:w="1903"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51"/>
              <w:ind w:left="17" w:right="0"/>
              <w:jc w:val="center"/>
              <w:rPr>
                <w:rFonts w:ascii="Times New Roman" w:hAnsi="Times New Roman" w:cs="Times New Roman" w:eastAsia="Times New Roman" w:hint="default"/>
                <w:sz w:val="21"/>
                <w:szCs w:val="21"/>
              </w:rPr>
            </w:pPr>
            <w:r>
              <w:rPr>
                <w:rFonts w:ascii="Times New Roman"/>
                <w:sz w:val="21"/>
              </w:rPr>
              <w:t>22.31%</w:t>
            </w:r>
          </w:p>
        </w:tc>
      </w:tr>
    </w:tbl>
    <w:p>
      <w:pPr>
        <w:pStyle w:val="BodyText"/>
        <w:spacing w:line="291" w:lineRule="exact" w:before="0"/>
        <w:ind w:left="240" w:right="1328" w:firstLine="480"/>
        <w:jc w:val="left"/>
      </w:pPr>
      <w:r>
        <w:rPr>
          <w:rFonts w:ascii="Wingdings" w:hAnsi="Wingdings" w:cs="Wingdings" w:eastAsia="Wingdings" w:hint="default"/>
        </w:rPr>
        <w:t></w:t>
      </w:r>
      <w:r>
        <w:rPr>
          <w:rFonts w:ascii="Wingdings" w:hAnsi="Wingdings" w:cs="Wingdings" w:eastAsia="Wingdings" w:hint="default"/>
          <w:spacing w:val="-33"/>
        </w:rPr>
        <w:t></w:t>
      </w:r>
      <w:r>
        <w:rPr>
          <w:rFonts w:ascii="Times New Roman" w:hAnsi="Times New Roman" w:cs="Times New Roman" w:eastAsia="Times New Roman" w:hint="default"/>
          <w:spacing w:val="-33"/>
        </w:rPr>
      </w:r>
      <w:r>
        <w:rPr/>
        <w:t>报告期内，公司连锁规模扩大，终端销售能力进一步提升，电子商务也实现较</w:t>
      </w:r>
    </w:p>
    <w:p>
      <w:pPr>
        <w:pStyle w:val="BodyText"/>
        <w:spacing w:line="357" w:lineRule="auto" w:before="137"/>
        <w:ind w:left="240" w:right="1436"/>
        <w:jc w:val="both"/>
      </w:pPr>
      <w:r>
        <w:rPr>
          <w:spacing w:val="-3"/>
        </w:rPr>
        <w:t>快增长，带来报告期内经营性现金流入相应增加；同时，公司较为充分的运用银行信用</w:t>
      </w:r>
      <w:r>
        <w:rPr>
          <w:spacing w:val="-99"/>
        </w:rPr>
        <w:t> </w:t>
      </w:r>
      <w:r>
        <w:rPr>
          <w:spacing w:val="-99"/>
        </w:rPr>
      </w:r>
      <w:r>
        <w:rPr>
          <w:spacing w:val="-3"/>
        </w:rPr>
        <w:t>政策，适当降低了银行承兑保证金比率，由此带来公司经营活动产生的现金流量净额较</w:t>
      </w:r>
      <w:r>
        <w:rPr>
          <w:spacing w:val="-98"/>
        </w:rPr>
        <w:t> </w:t>
      </w:r>
      <w:r>
        <w:rPr>
          <w:spacing w:val="-98"/>
        </w:rPr>
      </w:r>
      <w:r>
        <w:rPr/>
        <w:t>上年同期增加</w:t>
      </w:r>
      <w:r>
        <w:rPr>
          <w:spacing w:val="-62"/>
        </w:rPr>
        <w:t> </w:t>
      </w:r>
      <w:r>
        <w:rPr>
          <w:rFonts w:ascii="Times New Roman" w:hAnsi="Times New Roman" w:cs="Times New Roman" w:eastAsia="Times New Roman" w:hint="default"/>
        </w:rPr>
        <w:t>69.75%</w:t>
      </w:r>
      <w:r>
        <w:rPr/>
        <w:t>。</w:t>
      </w:r>
    </w:p>
    <w:p>
      <w:pPr>
        <w:pStyle w:val="BodyText"/>
        <w:spacing w:line="338" w:lineRule="auto" w:before="5"/>
        <w:ind w:left="240" w:right="1427" w:firstLine="480"/>
        <w:jc w:val="left"/>
      </w:pPr>
      <w:r>
        <w:rPr>
          <w:rFonts w:ascii="Wingdings" w:hAnsi="Wingdings" w:cs="Wingdings" w:eastAsia="Wingdings" w:hint="default"/>
        </w:rPr>
        <w:t></w:t>
      </w:r>
      <w:r>
        <w:rPr>
          <w:rFonts w:ascii="Wingdings" w:hAnsi="Wingdings" w:cs="Wingdings" w:eastAsia="Wingdings" w:hint="default"/>
          <w:spacing w:val="-38"/>
        </w:rPr>
        <w:t></w:t>
      </w:r>
      <w:r>
        <w:rPr>
          <w:rFonts w:ascii="Times New Roman" w:hAnsi="Times New Roman" w:cs="Times New Roman" w:eastAsia="Times New Roman" w:hint="default"/>
          <w:spacing w:val="-38"/>
        </w:rPr>
      </w:r>
      <w:r>
        <w:rPr/>
        <w:t>报告期内，公司收回银行到期保本固定收益产品，投资活动现金流入增加，投 </w:t>
      </w:r>
      <w:r>
        <w:rPr>
          <w:spacing w:val="3"/>
        </w:rPr>
        <w:t>资活动产生的现金流入量同比上升</w:t>
      </w:r>
      <w:r>
        <w:rPr>
          <w:spacing w:val="16"/>
        </w:rPr>
        <w:t> </w:t>
      </w:r>
      <w:r>
        <w:rPr>
          <w:rFonts w:ascii="Times New Roman" w:hAnsi="Times New Roman" w:cs="Times New Roman" w:eastAsia="Times New Roman" w:hint="default"/>
          <w:spacing w:val="2"/>
        </w:rPr>
        <w:t>36745.49%</w:t>
      </w:r>
      <w:r>
        <w:rPr>
          <w:spacing w:val="2"/>
        </w:rPr>
        <w:t>，公司按既定规划加快推进物流基地建</w:t>
      </w:r>
    </w:p>
    <w:p>
      <w:pPr>
        <w:spacing w:after="0" w:line="338" w:lineRule="auto"/>
        <w:jc w:val="left"/>
        <w:sectPr>
          <w:pgSz w:w="11910" w:h="16840"/>
          <w:pgMar w:header="748" w:footer="857" w:top="980" w:bottom="1040" w:left="1200" w:right="0"/>
        </w:sectPr>
      </w:pPr>
    </w:p>
    <w:p>
      <w:pPr>
        <w:spacing w:line="240" w:lineRule="auto" w:before="6"/>
        <w:rPr>
          <w:rFonts w:ascii="宋体" w:hAnsi="宋体" w:cs="宋体" w:eastAsia="宋体" w:hint="default"/>
          <w:sz w:val="29"/>
          <w:szCs w:val="29"/>
        </w:rPr>
      </w:pPr>
    </w:p>
    <w:p>
      <w:pPr>
        <w:pStyle w:val="BodyText"/>
        <w:spacing w:line="240" w:lineRule="auto" w:before="26"/>
        <w:ind w:left="240" w:right="1422"/>
        <w:jc w:val="left"/>
      </w:pPr>
      <w:r>
        <w:rPr/>
        <w:t>设，并审慎实施自建店、购置店项目，使得投资活动的现金流出量同比增长</w:t>
      </w:r>
      <w:r>
        <w:rPr>
          <w:spacing w:val="-61"/>
        </w:rPr>
        <w:t> </w:t>
      </w:r>
      <w:r>
        <w:rPr>
          <w:rFonts w:ascii="Times New Roman" w:hAnsi="Times New Roman" w:cs="Times New Roman" w:eastAsia="Times New Roman" w:hint="default"/>
        </w:rPr>
        <w:t>23.38%</w:t>
      </w:r>
      <w:r>
        <w:rPr/>
        <w:t>。</w:t>
      </w:r>
    </w:p>
    <w:p>
      <w:pPr>
        <w:pStyle w:val="BodyText"/>
        <w:spacing w:line="345" w:lineRule="auto"/>
        <w:ind w:left="240" w:right="1434" w:firstLine="480"/>
        <w:jc w:val="both"/>
        <w:rPr>
          <w:rFonts w:ascii="Times New Roman" w:hAnsi="Times New Roman" w:cs="Times New Roman" w:eastAsia="Times New Roman" w:hint="default"/>
        </w:rPr>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spacing w:val="-5"/>
        </w:rPr>
        <w:t>报告期内，公司实施完成</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3"/>
        </w:rPr>
        <w:t>年度利润分配方案，由此带来筹资活动现金流出</w:t>
      </w:r>
      <w:r>
        <w:rPr/>
        <w:t> 量较上年同期增加</w:t>
      </w:r>
      <w:r>
        <w:rPr>
          <w:spacing w:val="-46"/>
        </w:rPr>
        <w:t> </w:t>
      </w:r>
      <w:r>
        <w:rPr>
          <w:rFonts w:ascii="Times New Roman" w:hAnsi="Times New Roman" w:cs="Times New Roman" w:eastAsia="Times New Roman" w:hint="default"/>
          <w:spacing w:val="-2"/>
        </w:rPr>
        <w:t>127.14%</w:t>
      </w:r>
      <w:r>
        <w:rPr>
          <w:spacing w:val="-2"/>
        </w:rPr>
        <w:t>，另外，报告期内，公司及子公司增加了银行融资，带来筹</w:t>
      </w:r>
      <w:r>
        <w:rPr/>
        <w:t> </w:t>
      </w:r>
      <w:r>
        <w:rPr>
          <w:spacing w:val="16"/>
        </w:rPr>
        <w:t>资活动现金流入同比增加</w:t>
      </w:r>
      <w:r>
        <w:rPr>
          <w:spacing w:val="43"/>
        </w:rPr>
        <w:t> </w:t>
      </w:r>
      <w:r>
        <w:rPr>
          <w:rFonts w:ascii="Times New Roman" w:hAnsi="Times New Roman" w:cs="Times New Roman" w:eastAsia="Times New Roman" w:hint="default"/>
          <w:spacing w:val="13"/>
        </w:rPr>
        <w:t>215.00%</w:t>
      </w:r>
      <w:r>
        <w:rPr>
          <w:spacing w:val="13"/>
        </w:rPr>
        <w:t>，由此筹资活动产生的现金流量净额同比增加</w:t>
      </w:r>
      <w:r>
        <w:rPr>
          <w:spacing w:val="-114"/>
        </w:rPr>
        <w:t> </w:t>
      </w:r>
      <w:r>
        <w:rPr>
          <w:spacing w:val="-114"/>
        </w:rPr>
      </w:r>
      <w:r>
        <w:rPr>
          <w:rFonts w:ascii="Times New Roman" w:hAnsi="Times New Roman" w:cs="Times New Roman" w:eastAsia="Times New Roman" w:hint="default"/>
        </w:rPr>
        <w:t>450.34%</w:t>
      </w:r>
    </w:p>
    <w:p>
      <w:pPr>
        <w:pStyle w:val="BodyText"/>
        <w:spacing w:line="338" w:lineRule="auto" w:before="0"/>
        <w:ind w:left="720" w:right="1422"/>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上述原因，带来报告期内现金及现金等价物净增加额同比增加</w:t>
      </w:r>
      <w:r>
        <w:rPr>
          <w:spacing w:val="-60"/>
        </w:rPr>
        <w:t> </w:t>
      </w:r>
      <w:r>
        <w:rPr>
          <w:rFonts w:ascii="Times New Roman" w:hAnsi="Times New Roman" w:cs="Times New Roman" w:eastAsia="Times New Roman" w:hint="default"/>
        </w:rPr>
        <w:t>177.20%</w:t>
      </w:r>
      <w:r>
        <w:rPr/>
        <w:t>。 </w:t>
      </w:r>
      <w:r>
        <w:rPr>
          <w:rFonts w:ascii="Times New Roman" w:hAnsi="Times New Roman" w:cs="Times New Roman" w:eastAsia="Times New Roman" w:hint="default"/>
        </w:rPr>
        <w:t>6</w:t>
      </w:r>
      <w:r>
        <w:rPr/>
        <w:t>、截止报告期末，公司不存在证券投资等交易性金融资产，不存在委托理财等财</w:t>
      </w:r>
    </w:p>
    <w:p>
      <w:pPr>
        <w:pStyle w:val="BodyText"/>
        <w:spacing w:line="240" w:lineRule="auto" w:before="27"/>
        <w:ind w:left="240" w:right="3386"/>
        <w:jc w:val="left"/>
      </w:pPr>
      <w:r>
        <w:rPr/>
        <w:t>务性投资或套期保值业务，也不存在对创业企业投资的情形。</w:t>
      </w:r>
    </w:p>
    <w:p>
      <w:pPr>
        <w:pStyle w:val="BodyText"/>
        <w:spacing w:line="240" w:lineRule="auto" w:before="154"/>
        <w:ind w:left="720" w:right="3386"/>
        <w:jc w:val="left"/>
      </w:pPr>
      <w:r>
        <w:rPr/>
        <w:t>（五）主要控股公司及参股公司的经营情况及业绩：</w:t>
      </w:r>
    </w:p>
    <w:p>
      <w:pPr>
        <w:pStyle w:val="BodyText"/>
        <w:spacing w:line="240" w:lineRule="auto" w:before="154"/>
        <w:ind w:left="720" w:right="3386"/>
        <w:jc w:val="left"/>
      </w:pPr>
      <w:r>
        <w:rPr>
          <w:rFonts w:ascii="Times New Roman" w:hAnsi="Times New Roman" w:cs="Times New Roman" w:eastAsia="Times New Roman" w:hint="default"/>
        </w:rPr>
        <w:t>1</w:t>
      </w:r>
      <w:r>
        <w:rPr/>
        <w:t>、净利润前</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位控股子公司经营情况如下：</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385"/>
        <w:gridCol w:w="1397"/>
        <w:gridCol w:w="1543"/>
        <w:gridCol w:w="1525"/>
        <w:gridCol w:w="1397"/>
      </w:tblGrid>
      <w:tr>
        <w:trPr>
          <w:trHeight w:val="576" w:hRule="exact"/>
        </w:trPr>
        <w:tc>
          <w:tcPr>
            <w:tcW w:w="3385" w:type="dxa"/>
            <w:tcBorders>
              <w:top w:val="single" w:sz="17" w:space="0" w:color="000000"/>
              <w:left w:val="single" w:sz="17" w:space="0" w:color="000000"/>
              <w:bottom w:val="single" w:sz="4" w:space="0" w:color="000000"/>
              <w:right w:val="single" w:sz="4" w:space="0" w:color="000000"/>
            </w:tcBorders>
          </w:tcPr>
          <w:p>
            <w:pPr>
              <w:pStyle w:val="TableParagraph"/>
              <w:spacing w:line="240" w:lineRule="auto" w:before="105"/>
              <w:ind w:left="1039" w:right="0"/>
              <w:jc w:val="left"/>
              <w:rPr>
                <w:rFonts w:ascii="宋体" w:hAnsi="宋体" w:cs="宋体" w:eastAsia="宋体" w:hint="default"/>
                <w:sz w:val="21"/>
                <w:szCs w:val="21"/>
              </w:rPr>
            </w:pPr>
            <w:r>
              <w:rPr>
                <w:rFonts w:ascii="宋体" w:hAnsi="宋体" w:cs="宋体" w:eastAsia="宋体" w:hint="default"/>
                <w:sz w:val="21"/>
                <w:szCs w:val="21"/>
              </w:rPr>
              <w:t>控股公司名称</w:t>
            </w:r>
          </w:p>
        </w:tc>
        <w:tc>
          <w:tcPr>
            <w:tcW w:w="1397" w:type="dxa"/>
            <w:tcBorders>
              <w:top w:val="single" w:sz="17"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4" w:lineRule="exact"/>
              <w:ind w:left="37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43"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5"/>
              <w:ind w:right="62"/>
              <w:jc w:val="right"/>
              <w:rPr>
                <w:rFonts w:ascii="宋体" w:hAnsi="宋体" w:cs="宋体" w:eastAsia="宋体" w:hint="default"/>
                <w:sz w:val="21"/>
                <w:szCs w:val="21"/>
              </w:rPr>
            </w:pPr>
            <w:r>
              <w:rPr>
                <w:rFonts w:ascii="宋体" w:hAnsi="宋体" w:cs="宋体" w:eastAsia="宋体" w:hint="default"/>
                <w:spacing w:val="-2"/>
                <w:sz w:val="21"/>
                <w:szCs w:val="21"/>
              </w:rPr>
              <w:t>总资产（元）</w:t>
            </w:r>
          </w:p>
        </w:tc>
        <w:tc>
          <w:tcPr>
            <w:tcW w:w="152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5"/>
              <w:ind w:left="208" w:right="0"/>
              <w:jc w:val="left"/>
              <w:rPr>
                <w:rFonts w:ascii="宋体" w:hAnsi="宋体" w:cs="宋体" w:eastAsia="宋体" w:hint="default"/>
                <w:sz w:val="21"/>
                <w:szCs w:val="21"/>
              </w:rPr>
            </w:pPr>
            <w:r>
              <w:rPr>
                <w:rFonts w:ascii="宋体" w:hAnsi="宋体" w:cs="宋体" w:eastAsia="宋体" w:hint="default"/>
                <w:sz w:val="21"/>
                <w:szCs w:val="21"/>
              </w:rPr>
              <w:t>净资产（元）</w:t>
            </w:r>
          </w:p>
        </w:tc>
        <w:tc>
          <w:tcPr>
            <w:tcW w:w="1397"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105"/>
              <w:ind w:left="208" w:right="-22"/>
              <w:jc w:val="left"/>
              <w:rPr>
                <w:rFonts w:ascii="宋体" w:hAnsi="宋体" w:cs="宋体" w:eastAsia="宋体" w:hint="default"/>
                <w:sz w:val="21"/>
                <w:szCs w:val="21"/>
              </w:rPr>
            </w:pPr>
            <w:r>
              <w:rPr>
                <w:rFonts w:ascii="宋体" w:hAnsi="宋体" w:cs="宋体" w:eastAsia="宋体" w:hint="default"/>
                <w:spacing w:val="-15"/>
                <w:sz w:val="21"/>
                <w:szCs w:val="21"/>
              </w:rPr>
              <w:t>净利润（元）</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北京苏宁电器有限公司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442,948,500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2,391,150,800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Times New Roman" w:hAnsi="Times New Roman" w:cs="Times New Roman" w:eastAsia="Times New Roman" w:hint="default"/>
                <w:sz w:val="22"/>
                <w:szCs w:val="22"/>
              </w:rPr>
            </w:pPr>
            <w:r>
              <w:rPr>
                <w:rFonts w:ascii="Times New Roman"/>
                <w:sz w:val="22"/>
              </w:rPr>
              <w:t>1,532,004,424</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182" w:right="0"/>
              <w:jc w:val="left"/>
              <w:rPr>
                <w:rFonts w:ascii="Times New Roman" w:hAnsi="Times New Roman" w:cs="Times New Roman" w:eastAsia="Times New Roman" w:hint="default"/>
                <w:sz w:val="22"/>
                <w:szCs w:val="22"/>
              </w:rPr>
            </w:pPr>
            <w:r>
              <w:rPr>
                <w:rFonts w:ascii="Times New Roman"/>
                <w:sz w:val="22"/>
              </w:rPr>
              <w:t>273,621,045</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重庆渝宁苏宁电器有限公司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381,449,700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1,360,520,688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851,041,325</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182" w:right="0"/>
              <w:jc w:val="left"/>
              <w:rPr>
                <w:rFonts w:ascii="Times New Roman" w:hAnsi="Times New Roman" w:cs="Times New Roman" w:eastAsia="Times New Roman" w:hint="default"/>
                <w:sz w:val="22"/>
                <w:szCs w:val="22"/>
              </w:rPr>
            </w:pPr>
            <w:r>
              <w:rPr>
                <w:rFonts w:ascii="Times New Roman"/>
                <w:sz w:val="22"/>
              </w:rPr>
              <w:t>225,584,651</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上海苏宁电器有限公司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457,180,000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3,584,371,232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Times New Roman" w:hAnsi="Times New Roman" w:cs="Times New Roman" w:eastAsia="Times New Roman" w:hint="default"/>
                <w:sz w:val="22"/>
                <w:szCs w:val="22"/>
              </w:rPr>
            </w:pPr>
            <w:r>
              <w:rPr>
                <w:rFonts w:ascii="Times New Roman"/>
                <w:sz w:val="22"/>
              </w:rPr>
              <w:t>1,206,384,673</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182" w:right="0"/>
              <w:jc w:val="left"/>
              <w:rPr>
                <w:rFonts w:ascii="Times New Roman" w:hAnsi="Times New Roman" w:cs="Times New Roman" w:eastAsia="Times New Roman" w:hint="default"/>
                <w:sz w:val="22"/>
                <w:szCs w:val="22"/>
              </w:rPr>
            </w:pPr>
            <w:r>
              <w:rPr>
                <w:rFonts w:ascii="Times New Roman"/>
                <w:sz w:val="22"/>
              </w:rPr>
              <w:t>148,004,576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四川苏宁电器有限公司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247,424,400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1,102,038,781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588,073,654</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182" w:right="0"/>
              <w:jc w:val="left"/>
              <w:rPr>
                <w:rFonts w:ascii="Times New Roman" w:hAnsi="Times New Roman" w:cs="Times New Roman" w:eastAsia="Times New Roman" w:hint="default"/>
                <w:sz w:val="22"/>
                <w:szCs w:val="22"/>
              </w:rPr>
            </w:pPr>
            <w:r>
              <w:rPr>
                <w:rFonts w:ascii="Times New Roman"/>
                <w:sz w:val="22"/>
              </w:rPr>
              <w:t>141,852,774</w:t>
            </w:r>
          </w:p>
        </w:tc>
      </w:tr>
      <w:tr>
        <w:trPr>
          <w:trHeight w:val="296"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陕西苏宁电器有限责任公司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2"/>
                <w:szCs w:val="22"/>
              </w:rPr>
            </w:pPr>
            <w:r>
              <w:rPr>
                <w:rFonts w:ascii="Times New Roman"/>
                <w:sz w:val="22"/>
              </w:rPr>
              <w:t>80,260,000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2"/>
                <w:szCs w:val="22"/>
              </w:rPr>
            </w:pPr>
            <w:r>
              <w:rPr>
                <w:rFonts w:ascii="Times New Roman"/>
                <w:spacing w:val="-1"/>
                <w:sz w:val="22"/>
              </w:rPr>
              <w:t>659,327,590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Times New Roman" w:hAnsi="Times New Roman" w:cs="Times New Roman" w:eastAsia="Times New Roman" w:hint="default"/>
                <w:sz w:val="22"/>
                <w:szCs w:val="22"/>
              </w:rPr>
            </w:pPr>
            <w:r>
              <w:rPr>
                <w:rFonts w:ascii="Times New Roman"/>
                <w:sz w:val="22"/>
              </w:rPr>
              <w:t>462,477,792</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left="292" w:right="0"/>
              <w:jc w:val="left"/>
              <w:rPr>
                <w:rFonts w:ascii="Times New Roman" w:hAnsi="Times New Roman" w:cs="Times New Roman" w:eastAsia="Times New Roman" w:hint="default"/>
                <w:sz w:val="22"/>
                <w:szCs w:val="22"/>
              </w:rPr>
            </w:pPr>
            <w:r>
              <w:rPr>
                <w:rFonts w:ascii="Times New Roman"/>
                <w:sz w:val="22"/>
              </w:rPr>
              <w:t>96,345,749</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南京白下苏宁电器有限公司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10,000,000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311,737,184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100,978,255</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79,907,707</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深圳市苏宁电器有限公司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110,640,000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1,191,442,742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453,816,370</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76,345,309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天津天宁苏宁电器有限公司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92,900,800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685,156,502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253,525,513</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73,485,636</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武汉苏宁电器有限公司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358,790,000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723,617,137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504,309,904</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45,373,959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上海长宁苏宁电器有限公司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558,186,000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1,043,496,683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700,895,391</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42,394,086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广东苏宁电器有限公司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304,000,000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1,185,279,615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456,352,746</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38,271,274</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浙江苏宁电器有限公司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308,093,500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968,410,906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Times New Roman" w:hAnsi="Times New Roman" w:cs="Times New Roman" w:eastAsia="Times New Roman" w:hint="default"/>
                <w:sz w:val="22"/>
                <w:szCs w:val="22"/>
              </w:rPr>
            </w:pPr>
            <w:r>
              <w:rPr>
                <w:rFonts w:ascii="Times New Roman"/>
                <w:sz w:val="22"/>
              </w:rPr>
              <w:t>556,538,311</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36,838,368</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南通苏宁电器有限公司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36,150,000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179,393,227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140,585,991</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34,404,665</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大连沈大苏宁电器有限公司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56,500,000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352,477,291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156,391,823</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32,630,515</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贵阳东方苏宁电器有限公司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2"/>
                <w:szCs w:val="22"/>
              </w:rPr>
            </w:pPr>
            <w:r>
              <w:rPr>
                <w:rFonts w:ascii="Times New Roman"/>
                <w:sz w:val="22"/>
              </w:rPr>
              <w:t>34,770,000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2"/>
                <w:szCs w:val="22"/>
              </w:rPr>
            </w:pPr>
            <w:r>
              <w:rPr>
                <w:rFonts w:ascii="Times New Roman"/>
                <w:spacing w:val="-1"/>
                <w:sz w:val="22"/>
              </w:rPr>
              <w:t>206,824,635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Times New Roman" w:hAnsi="Times New Roman" w:cs="Times New Roman" w:eastAsia="Times New Roman" w:hint="default"/>
                <w:sz w:val="22"/>
                <w:szCs w:val="22"/>
              </w:rPr>
            </w:pPr>
            <w:r>
              <w:rPr>
                <w:rFonts w:ascii="Times New Roman"/>
                <w:sz w:val="22"/>
              </w:rPr>
              <w:t>134,601,792</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left="292" w:right="0"/>
              <w:jc w:val="left"/>
              <w:rPr>
                <w:rFonts w:ascii="Times New Roman" w:hAnsi="Times New Roman" w:cs="Times New Roman" w:eastAsia="Times New Roman" w:hint="default"/>
                <w:sz w:val="22"/>
                <w:szCs w:val="22"/>
              </w:rPr>
            </w:pPr>
            <w:r>
              <w:rPr>
                <w:rFonts w:ascii="Times New Roman"/>
                <w:sz w:val="22"/>
              </w:rPr>
              <w:t>32,391,916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云南苏宁电器有限公司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18,620,000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388,793,719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142,055,500</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31,906,782</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沈阳苏宁电器有限公司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317,273,000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807,879,905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412,741,028</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31,165,844</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苏州苏宁电器有限公司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68,420,000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266,741,206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151,303,450</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300" w:right="0"/>
              <w:jc w:val="left"/>
              <w:rPr>
                <w:rFonts w:ascii="Times New Roman" w:hAnsi="Times New Roman" w:cs="Times New Roman" w:eastAsia="Times New Roman" w:hint="default"/>
                <w:sz w:val="22"/>
                <w:szCs w:val="22"/>
              </w:rPr>
            </w:pPr>
            <w:r>
              <w:rPr>
                <w:rFonts w:ascii="Times New Roman"/>
                <w:sz w:val="22"/>
              </w:rPr>
              <w:t>29,211,433</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福建苏宁电器有限公司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190,850,000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403,204,594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276,805,880</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27,428,556</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淮安苏宁电器有限责任公司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50,000,000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137,747,499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99,173,367</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26,486,135</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山东苏宁电器有限公司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17,820,000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323,491,940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85,207,996</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25,680,985</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佛山苏宁电器有限公司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48,150,000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209,172,977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131,050,474</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25,269,964</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湖南苏宁先锋电子有限公司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30,000,000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319,298,855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69,582,930</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24,243,720</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青岛鲁宁苏宁电器有限公司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47,150,000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170,805,925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101,351,725</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24,012,748</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新疆苏宁电器有限公司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81,005,000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206,667,224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Times New Roman" w:hAnsi="Times New Roman" w:cs="Times New Roman" w:eastAsia="Times New Roman" w:hint="default"/>
                <w:sz w:val="22"/>
                <w:szCs w:val="22"/>
              </w:rPr>
            </w:pPr>
            <w:r>
              <w:rPr>
                <w:rFonts w:ascii="Times New Roman"/>
                <w:sz w:val="22"/>
              </w:rPr>
              <w:t>164,111,534</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22,844,942</w:t>
            </w:r>
          </w:p>
        </w:tc>
      </w:tr>
      <w:tr>
        <w:trPr>
          <w:trHeight w:val="296"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徐州苏宁电器有限公司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2"/>
                <w:szCs w:val="22"/>
              </w:rPr>
            </w:pPr>
            <w:r>
              <w:rPr>
                <w:rFonts w:ascii="Times New Roman"/>
                <w:sz w:val="22"/>
              </w:rPr>
              <w:t>87,100,000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2"/>
                <w:szCs w:val="22"/>
              </w:rPr>
            </w:pPr>
            <w:r>
              <w:rPr>
                <w:rFonts w:ascii="Times New Roman"/>
                <w:spacing w:val="-1"/>
                <w:sz w:val="22"/>
              </w:rPr>
              <w:t>426,298,449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9" w:right="0"/>
              <w:jc w:val="left"/>
              <w:rPr>
                <w:rFonts w:ascii="Times New Roman" w:hAnsi="Times New Roman" w:cs="Times New Roman" w:eastAsia="Times New Roman" w:hint="default"/>
                <w:sz w:val="22"/>
                <w:szCs w:val="22"/>
              </w:rPr>
            </w:pPr>
            <w:r>
              <w:rPr>
                <w:rFonts w:ascii="Times New Roman"/>
                <w:sz w:val="22"/>
              </w:rPr>
              <w:t>147,499,739</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left="292" w:right="0"/>
              <w:jc w:val="left"/>
              <w:rPr>
                <w:rFonts w:ascii="Times New Roman" w:hAnsi="Times New Roman" w:cs="Times New Roman" w:eastAsia="Times New Roman" w:hint="default"/>
                <w:sz w:val="22"/>
                <w:szCs w:val="22"/>
              </w:rPr>
            </w:pPr>
            <w:r>
              <w:rPr>
                <w:rFonts w:ascii="Times New Roman"/>
                <w:sz w:val="22"/>
              </w:rPr>
              <w:t>22,087,071</w:t>
            </w:r>
          </w:p>
        </w:tc>
      </w:tr>
      <w:tr>
        <w:trPr>
          <w:trHeight w:val="298"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广西苏宁电器有限公司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37,400,000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236,200,145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9" w:right="0"/>
              <w:jc w:val="left"/>
              <w:rPr>
                <w:rFonts w:ascii="Times New Roman" w:hAnsi="Times New Roman" w:cs="Times New Roman" w:eastAsia="Times New Roman" w:hint="default"/>
                <w:sz w:val="22"/>
                <w:szCs w:val="22"/>
              </w:rPr>
            </w:pPr>
            <w:r>
              <w:rPr>
                <w:rFonts w:ascii="Times New Roman"/>
                <w:sz w:val="22"/>
              </w:rPr>
              <w:t>180,948,878</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21,806,757</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宁波甬宁苏宁电器有限公司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16,010,000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141,031,898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83,356,846</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21,743,019</w:t>
            </w:r>
          </w:p>
        </w:tc>
      </w:tr>
      <w:tr>
        <w:trPr>
          <w:trHeight w:val="295" w:hRule="exact"/>
        </w:trPr>
        <w:tc>
          <w:tcPr>
            <w:tcW w:w="3385" w:type="dxa"/>
            <w:tcBorders>
              <w:top w:val="single" w:sz="4" w:space="0" w:color="000000"/>
              <w:left w:val="single" w:sz="17" w:space="0" w:color="000000"/>
              <w:bottom w:val="single" w:sz="4"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西宁苏宁电器有限公司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24,000,000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2"/>
                <w:szCs w:val="22"/>
              </w:rPr>
            </w:pPr>
            <w:r>
              <w:rPr>
                <w:rFonts w:ascii="Times New Roman"/>
                <w:spacing w:val="-1"/>
                <w:sz w:val="22"/>
              </w:rPr>
              <w:t>110,098,867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91,087,269</w:t>
            </w:r>
          </w:p>
        </w:tc>
        <w:tc>
          <w:tcPr>
            <w:tcW w:w="13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21,100,285</w:t>
            </w:r>
          </w:p>
        </w:tc>
      </w:tr>
      <w:tr>
        <w:trPr>
          <w:trHeight w:val="314" w:hRule="exact"/>
        </w:trPr>
        <w:tc>
          <w:tcPr>
            <w:tcW w:w="3385" w:type="dxa"/>
            <w:tcBorders>
              <w:top w:val="single" w:sz="4" w:space="0" w:color="000000"/>
              <w:left w:val="single" w:sz="17" w:space="0" w:color="000000"/>
              <w:bottom w:val="single" w:sz="17" w:space="0" w:color="000000"/>
              <w:right w:val="single" w:sz="4" w:space="0" w:color="000000"/>
            </w:tcBorders>
          </w:tcPr>
          <w:p>
            <w:pPr>
              <w:pStyle w:val="TableParagraph"/>
              <w:spacing w:line="252" w:lineRule="exact"/>
              <w:ind w:left="86" w:right="0"/>
              <w:jc w:val="left"/>
              <w:rPr>
                <w:rFonts w:ascii="宋体" w:hAnsi="宋体" w:cs="宋体" w:eastAsia="宋体" w:hint="default"/>
                <w:sz w:val="22"/>
                <w:szCs w:val="22"/>
              </w:rPr>
            </w:pPr>
            <w:r>
              <w:rPr>
                <w:rFonts w:ascii="宋体" w:hAnsi="宋体" w:cs="宋体" w:eastAsia="宋体" w:hint="default"/>
                <w:sz w:val="22"/>
                <w:szCs w:val="22"/>
              </w:rPr>
              <w:t>南京雨花苏宁电器有限公司</w:t>
            </w:r>
          </w:p>
        </w:tc>
        <w:tc>
          <w:tcPr>
            <w:tcW w:w="13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2"/>
                <w:szCs w:val="22"/>
              </w:rPr>
            </w:pPr>
            <w:r>
              <w:rPr>
                <w:rFonts w:ascii="Times New Roman"/>
                <w:sz w:val="22"/>
              </w:rPr>
              <w:t>10,000,000</w:t>
            </w:r>
          </w:p>
        </w:tc>
        <w:tc>
          <w:tcPr>
            <w:tcW w:w="154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2"/>
                <w:szCs w:val="22"/>
              </w:rPr>
            </w:pPr>
            <w:r>
              <w:rPr>
                <w:rFonts w:ascii="Times New Roman"/>
                <w:spacing w:val="-1"/>
                <w:sz w:val="22"/>
              </w:rPr>
              <w:t>999,812,823</w:t>
            </w:r>
          </w:p>
        </w:tc>
        <w:tc>
          <w:tcPr>
            <w:tcW w:w="15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419" w:right="0"/>
              <w:jc w:val="left"/>
              <w:rPr>
                <w:rFonts w:ascii="Times New Roman" w:hAnsi="Times New Roman" w:cs="Times New Roman" w:eastAsia="Times New Roman" w:hint="default"/>
                <w:sz w:val="22"/>
                <w:szCs w:val="22"/>
              </w:rPr>
            </w:pPr>
            <w:r>
              <w:rPr>
                <w:rFonts w:ascii="Times New Roman"/>
                <w:sz w:val="22"/>
              </w:rPr>
              <w:t>29,622,958</w:t>
            </w:r>
          </w:p>
        </w:tc>
        <w:tc>
          <w:tcPr>
            <w:tcW w:w="1397"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0"/>
              <w:ind w:left="292" w:right="0"/>
              <w:jc w:val="left"/>
              <w:rPr>
                <w:rFonts w:ascii="Times New Roman" w:hAnsi="Times New Roman" w:cs="Times New Roman" w:eastAsia="Times New Roman" w:hint="default"/>
                <w:sz w:val="22"/>
                <w:szCs w:val="22"/>
              </w:rPr>
            </w:pPr>
            <w:r>
              <w:rPr>
                <w:rFonts w:ascii="Times New Roman"/>
                <w:sz w:val="22"/>
              </w:rPr>
              <w:t>19,622,958</w:t>
            </w:r>
          </w:p>
        </w:tc>
      </w:tr>
    </w:tbl>
    <w:p>
      <w:pPr>
        <w:spacing w:after="0" w:line="240" w:lineRule="auto"/>
        <w:jc w:val="left"/>
        <w:rPr>
          <w:rFonts w:ascii="Times New Roman" w:hAnsi="Times New Roman" w:cs="Times New Roman" w:eastAsia="Times New Roman" w:hint="default"/>
          <w:sz w:val="22"/>
          <w:szCs w:val="22"/>
        </w:rPr>
        <w:sectPr>
          <w:pgSz w:w="11910" w:h="16840"/>
          <w:pgMar w:header="748" w:footer="857" w:top="980" w:bottom="1040" w:left="1200" w:right="0"/>
        </w:sectPr>
      </w:pPr>
    </w:p>
    <w:p>
      <w:pPr>
        <w:spacing w:line="240" w:lineRule="auto" w:before="0"/>
        <w:rPr>
          <w:rFonts w:ascii="宋体" w:hAnsi="宋体" w:cs="宋体" w:eastAsia="宋体" w:hint="default"/>
          <w:sz w:val="20"/>
          <w:szCs w:val="20"/>
        </w:rPr>
      </w:pPr>
    </w:p>
    <w:p>
      <w:pPr>
        <w:pStyle w:val="BodyText"/>
        <w:spacing w:line="259" w:lineRule="auto" w:before="197"/>
        <w:ind w:left="240" w:right="1411" w:firstLine="480"/>
        <w:jc w:val="left"/>
      </w:pPr>
      <w:r>
        <w:rPr>
          <w:rFonts w:ascii="Times New Roman" w:hAnsi="Times New Roman" w:cs="Times New Roman" w:eastAsia="Times New Roman" w:hint="default"/>
        </w:rPr>
        <w:t>2</w:t>
      </w:r>
      <w:r>
        <w:rPr/>
        <w:t>、报告期内不存在单个参股公司的投资收益对净利润的影响</w:t>
      </w:r>
      <w:r>
        <w:rPr>
          <w:spacing w:val="-61"/>
        </w:rPr>
        <w:t> </w:t>
      </w:r>
      <w:r>
        <w:rPr>
          <w:rFonts w:ascii="Times New Roman" w:hAnsi="Times New Roman" w:cs="Times New Roman" w:eastAsia="Times New Roman" w:hint="default"/>
        </w:rPr>
        <w:t>10%</w:t>
      </w:r>
      <w:r>
        <w:rPr/>
        <w:t>以上（含</w:t>
      </w:r>
      <w:r>
        <w:rPr>
          <w:spacing w:val="-62"/>
        </w:rPr>
        <w:t> </w:t>
      </w:r>
      <w:r>
        <w:rPr>
          <w:rFonts w:ascii="Times New Roman" w:hAnsi="Times New Roman" w:cs="Times New Roman" w:eastAsia="Times New Roman" w:hint="default"/>
        </w:rPr>
        <w:t>10%</w:t>
      </w:r>
      <w:r>
        <w:rPr/>
        <w:t>） 的情况。</w:t>
      </w:r>
    </w:p>
    <w:p>
      <w:pPr>
        <w:pStyle w:val="BodyText"/>
        <w:spacing w:line="293" w:lineRule="exact" w:before="0"/>
        <w:ind w:left="720" w:right="3386"/>
        <w:jc w:val="left"/>
      </w:pPr>
      <w:r>
        <w:rPr/>
        <w:t>（六）主要供应商及客户情况</w:t>
      </w: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730"/>
        <w:gridCol w:w="1162"/>
        <w:gridCol w:w="1716"/>
        <w:gridCol w:w="1440"/>
        <w:gridCol w:w="1981"/>
        <w:gridCol w:w="1217"/>
      </w:tblGrid>
      <w:tr>
        <w:trPr>
          <w:trHeight w:val="581" w:hRule="exact"/>
        </w:trPr>
        <w:tc>
          <w:tcPr>
            <w:tcW w:w="17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9"/>
              <w:ind w:right="5"/>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6"/>
              <w:ind w:left="156"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36" w:right="0" w:hanging="20"/>
              <w:jc w:val="left"/>
              <w:rPr>
                <w:rFonts w:ascii="宋体" w:hAnsi="宋体" w:cs="宋体" w:eastAsia="宋体" w:hint="default"/>
                <w:sz w:val="21"/>
                <w:szCs w:val="21"/>
              </w:rPr>
            </w:pPr>
            <w:r>
              <w:rPr>
                <w:rFonts w:ascii="宋体" w:hAnsi="宋体" w:cs="宋体" w:eastAsia="宋体" w:hint="default"/>
                <w:sz w:val="21"/>
                <w:szCs w:val="21"/>
              </w:rPr>
              <w:t>占年度采购总金</w:t>
            </w:r>
          </w:p>
          <w:p>
            <w:pPr>
              <w:pStyle w:val="TableParagraph"/>
              <w:spacing w:line="240" w:lineRule="auto" w:before="6"/>
              <w:ind w:left="136"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90" w:right="0"/>
              <w:jc w:val="left"/>
              <w:rPr>
                <w:rFonts w:ascii="宋体" w:hAnsi="宋体" w:cs="宋体" w:eastAsia="宋体" w:hint="default"/>
                <w:sz w:val="21"/>
                <w:szCs w:val="21"/>
              </w:rPr>
            </w:pPr>
            <w:r>
              <w:rPr>
                <w:rFonts w:ascii="宋体" w:hAnsi="宋体" w:cs="宋体" w:eastAsia="宋体" w:hint="default"/>
                <w:sz w:val="21"/>
                <w:szCs w:val="21"/>
              </w:rPr>
              <w:t>预付账款余</w:t>
            </w:r>
          </w:p>
          <w:p>
            <w:pPr>
              <w:pStyle w:val="TableParagraph"/>
              <w:spacing w:line="240" w:lineRule="auto" w:before="6"/>
              <w:ind w:left="190" w:right="0"/>
              <w:jc w:val="left"/>
              <w:rPr>
                <w:rFonts w:ascii="宋体" w:hAnsi="宋体" w:cs="宋体" w:eastAsia="宋体" w:hint="default"/>
                <w:sz w:val="21"/>
                <w:szCs w:val="21"/>
              </w:rPr>
            </w:pPr>
            <w:r>
              <w:rPr>
                <w:rFonts w:ascii="宋体" w:hAnsi="宋体" w:cs="宋体" w:eastAsia="宋体" w:hint="default"/>
                <w:sz w:val="21"/>
                <w:szCs w:val="21"/>
              </w:rPr>
              <w:t>额（千元）</w:t>
            </w:r>
          </w:p>
        </w:tc>
        <w:tc>
          <w:tcPr>
            <w:tcW w:w="1981"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63" w:right="0" w:hanging="20"/>
              <w:jc w:val="left"/>
              <w:rPr>
                <w:rFonts w:ascii="宋体" w:hAnsi="宋体" w:cs="宋体" w:eastAsia="宋体" w:hint="default"/>
                <w:sz w:val="21"/>
                <w:szCs w:val="21"/>
              </w:rPr>
            </w:pPr>
            <w:r>
              <w:rPr>
                <w:rFonts w:ascii="宋体" w:hAnsi="宋体" w:cs="宋体" w:eastAsia="宋体" w:hint="default"/>
                <w:sz w:val="21"/>
                <w:szCs w:val="21"/>
              </w:rPr>
              <w:t>占公司预付账款总</w:t>
            </w:r>
          </w:p>
          <w:p>
            <w:pPr>
              <w:pStyle w:val="TableParagraph"/>
              <w:spacing w:line="240" w:lineRule="auto" w:before="6"/>
              <w:ind w:left="16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17" w:type="dxa"/>
            <w:tcBorders>
              <w:top w:val="single" w:sz="12" w:space="0" w:color="000000"/>
              <w:left w:val="single" w:sz="4" w:space="0" w:color="000000"/>
              <w:bottom w:val="single" w:sz="4" w:space="0" w:color="000000"/>
              <w:right w:val="single" w:sz="12"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40" w:lineRule="auto" w:before="6"/>
              <w:ind w:left="182"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22" w:hRule="exact"/>
        </w:trPr>
        <w:tc>
          <w:tcPr>
            <w:tcW w:w="17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0"/>
              <w:ind w:right="4"/>
              <w:jc w:val="center"/>
              <w:rPr>
                <w:rFonts w:ascii="宋体" w:hAnsi="宋体" w:cs="宋体" w:eastAsia="宋体" w:hint="default"/>
                <w:sz w:val="21"/>
                <w:szCs w:val="21"/>
              </w:rPr>
            </w:pPr>
            <w:r>
              <w:rPr>
                <w:rFonts w:ascii="宋体" w:hAnsi="宋体" w:cs="宋体" w:eastAsia="宋体" w:hint="default"/>
                <w:sz w:val="21"/>
                <w:szCs w:val="21"/>
              </w:rPr>
              <w:t>前五名供应商</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21"/>
                <w:szCs w:val="21"/>
              </w:rPr>
            </w:pPr>
            <w:r>
              <w:rPr>
                <w:rFonts w:ascii="Times New Roman"/>
                <w:sz w:val="21"/>
              </w:rPr>
              <w:t>21,510,489</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530" w:right="0"/>
              <w:jc w:val="left"/>
              <w:rPr>
                <w:rFonts w:ascii="Times New Roman" w:hAnsi="Times New Roman" w:cs="Times New Roman" w:eastAsia="Times New Roman" w:hint="default"/>
                <w:sz w:val="21"/>
                <w:szCs w:val="21"/>
              </w:rPr>
            </w:pPr>
            <w:r>
              <w:rPr>
                <w:rFonts w:ascii="Times New Roman"/>
                <w:sz w:val="21"/>
              </w:rPr>
              <w:t>26.96%</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251,841</w:t>
            </w:r>
          </w:p>
        </w:tc>
        <w:tc>
          <w:tcPr>
            <w:tcW w:w="1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6.91%</w:t>
            </w:r>
          </w:p>
        </w:tc>
        <w:tc>
          <w:tcPr>
            <w:tcW w:w="12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0"/>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78" w:hRule="exact"/>
        </w:trPr>
        <w:tc>
          <w:tcPr>
            <w:tcW w:w="173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17"/>
              <w:ind w:right="5"/>
              <w:jc w:val="center"/>
              <w:rPr>
                <w:rFonts w:ascii="宋体" w:hAnsi="宋体" w:cs="宋体" w:eastAsia="宋体" w:hint="default"/>
                <w:sz w:val="21"/>
                <w:szCs w:val="21"/>
              </w:rPr>
            </w:pPr>
            <w:r>
              <w:rPr>
                <w:rFonts w:ascii="宋体" w:hAnsi="宋体" w:cs="宋体" w:eastAsia="宋体" w:hint="default"/>
                <w:sz w:val="21"/>
                <w:szCs w:val="21"/>
              </w:rPr>
              <w:t>客户</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56" w:right="0"/>
              <w:jc w:val="left"/>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40" w:lineRule="auto" w:before="6"/>
              <w:ind w:left="156"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36" w:right="0" w:hanging="20"/>
              <w:jc w:val="left"/>
              <w:rPr>
                <w:rFonts w:ascii="宋体" w:hAnsi="宋体" w:cs="宋体" w:eastAsia="宋体" w:hint="default"/>
                <w:sz w:val="21"/>
                <w:szCs w:val="21"/>
              </w:rPr>
            </w:pPr>
            <w:r>
              <w:rPr>
                <w:rFonts w:ascii="宋体" w:hAnsi="宋体" w:cs="宋体" w:eastAsia="宋体" w:hint="default"/>
                <w:sz w:val="21"/>
                <w:szCs w:val="21"/>
              </w:rPr>
              <w:t>占年度销售总金</w:t>
            </w:r>
          </w:p>
          <w:p>
            <w:pPr>
              <w:pStyle w:val="TableParagraph"/>
              <w:spacing w:line="240" w:lineRule="auto" w:before="6"/>
              <w:ind w:left="136"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90" w:right="0"/>
              <w:jc w:val="left"/>
              <w:rPr>
                <w:rFonts w:ascii="宋体" w:hAnsi="宋体" w:cs="宋体" w:eastAsia="宋体" w:hint="default"/>
                <w:sz w:val="21"/>
                <w:szCs w:val="21"/>
              </w:rPr>
            </w:pPr>
            <w:r>
              <w:rPr>
                <w:rFonts w:ascii="宋体" w:hAnsi="宋体" w:cs="宋体" w:eastAsia="宋体" w:hint="default"/>
                <w:sz w:val="21"/>
                <w:szCs w:val="21"/>
              </w:rPr>
              <w:t>应收账款余</w:t>
            </w:r>
          </w:p>
          <w:p>
            <w:pPr>
              <w:pStyle w:val="TableParagraph"/>
              <w:spacing w:line="240" w:lineRule="auto" w:before="6"/>
              <w:ind w:left="190" w:right="0"/>
              <w:jc w:val="left"/>
              <w:rPr>
                <w:rFonts w:ascii="宋体" w:hAnsi="宋体" w:cs="宋体" w:eastAsia="宋体" w:hint="default"/>
                <w:sz w:val="21"/>
                <w:szCs w:val="21"/>
              </w:rPr>
            </w:pPr>
            <w:r>
              <w:rPr>
                <w:rFonts w:ascii="宋体" w:hAnsi="宋体" w:cs="宋体" w:eastAsia="宋体" w:hint="default"/>
                <w:sz w:val="21"/>
                <w:szCs w:val="21"/>
              </w:rPr>
              <w:t>额（千元）</w:t>
            </w:r>
          </w:p>
        </w:tc>
        <w:tc>
          <w:tcPr>
            <w:tcW w:w="1981"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163" w:right="0" w:hanging="20"/>
              <w:jc w:val="left"/>
              <w:rPr>
                <w:rFonts w:ascii="宋体" w:hAnsi="宋体" w:cs="宋体" w:eastAsia="宋体" w:hint="default"/>
                <w:sz w:val="21"/>
                <w:szCs w:val="21"/>
              </w:rPr>
            </w:pPr>
            <w:r>
              <w:rPr>
                <w:rFonts w:ascii="宋体" w:hAnsi="宋体" w:cs="宋体" w:eastAsia="宋体" w:hint="default"/>
                <w:sz w:val="21"/>
                <w:szCs w:val="21"/>
              </w:rPr>
              <w:t>占公司应收账款总</w:t>
            </w:r>
          </w:p>
          <w:p>
            <w:pPr>
              <w:pStyle w:val="TableParagraph"/>
              <w:spacing w:line="240" w:lineRule="auto" w:before="6"/>
              <w:ind w:left="163" w:right="0"/>
              <w:jc w:val="left"/>
              <w:rPr>
                <w:rFonts w:ascii="宋体" w:hAnsi="宋体" w:cs="宋体" w:eastAsia="宋体" w:hint="default"/>
                <w:sz w:val="21"/>
                <w:szCs w:val="21"/>
              </w:rPr>
            </w:pPr>
            <w:r>
              <w:rPr>
                <w:rFonts w:ascii="宋体" w:hAnsi="宋体" w:cs="宋体" w:eastAsia="宋体" w:hint="default"/>
                <w:sz w:val="21"/>
                <w:szCs w:val="21"/>
              </w:rPr>
              <w:t>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17" w:type="dxa"/>
            <w:tcBorders>
              <w:top w:val="single" w:sz="12" w:space="0" w:color="000000"/>
              <w:left w:val="single" w:sz="4" w:space="0" w:color="000000"/>
              <w:bottom w:val="single" w:sz="4" w:space="0" w:color="000000"/>
              <w:right w:val="single" w:sz="12" w:space="0" w:color="000000"/>
            </w:tcBorders>
          </w:tcPr>
          <w:p>
            <w:pPr>
              <w:pStyle w:val="TableParagraph"/>
              <w:spacing w:line="253" w:lineRule="exact"/>
              <w:ind w:left="182" w:right="0"/>
              <w:jc w:val="left"/>
              <w:rPr>
                <w:rFonts w:ascii="宋体" w:hAnsi="宋体" w:cs="宋体" w:eastAsia="宋体" w:hint="default"/>
                <w:sz w:val="21"/>
                <w:szCs w:val="21"/>
              </w:rPr>
            </w:pPr>
            <w:r>
              <w:rPr>
                <w:rFonts w:ascii="宋体" w:hAnsi="宋体" w:cs="宋体" w:eastAsia="宋体" w:hint="default"/>
                <w:sz w:val="21"/>
                <w:szCs w:val="21"/>
              </w:rPr>
              <w:t>是否存在</w:t>
            </w:r>
          </w:p>
          <w:p>
            <w:pPr>
              <w:pStyle w:val="TableParagraph"/>
              <w:spacing w:line="240" w:lineRule="auto" w:before="6"/>
              <w:ind w:left="182"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92" w:hRule="exact"/>
        </w:trPr>
        <w:tc>
          <w:tcPr>
            <w:tcW w:w="17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前五名销售客户</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829,160</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583" w:right="0"/>
              <w:jc w:val="left"/>
              <w:rPr>
                <w:rFonts w:ascii="Times New Roman" w:hAnsi="Times New Roman" w:cs="Times New Roman" w:eastAsia="Times New Roman" w:hint="default"/>
                <w:sz w:val="21"/>
                <w:szCs w:val="21"/>
              </w:rPr>
            </w:pPr>
            <w:r>
              <w:rPr>
                <w:rFonts w:ascii="Times New Roman"/>
                <w:sz w:val="21"/>
              </w:rPr>
              <w:t>0.90%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7,068</w:t>
            </w:r>
          </w:p>
        </w:tc>
        <w:tc>
          <w:tcPr>
            <w:tcW w:w="1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21"/>
                <w:szCs w:val="21"/>
              </w:rPr>
            </w:pPr>
            <w:r>
              <w:rPr>
                <w:rFonts w:ascii="Times New Roman"/>
                <w:sz w:val="21"/>
              </w:rPr>
              <w:t>0.38%</w:t>
            </w:r>
          </w:p>
        </w:tc>
        <w:tc>
          <w:tcPr>
            <w:tcW w:w="12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62" w:lineRule="exact" w:before="119"/>
        <w:ind w:left="240" w:right="1433" w:firstLine="0"/>
        <w:jc w:val="both"/>
        <w:rPr>
          <w:rFonts w:ascii="宋体" w:hAnsi="宋体" w:cs="宋体" w:eastAsia="宋体" w:hint="default"/>
          <w:sz w:val="21"/>
          <w:szCs w:val="21"/>
        </w:rPr>
      </w:pPr>
      <w:r>
        <w:rPr>
          <w:rFonts w:ascii="宋体" w:hAnsi="宋体" w:cs="宋体" w:eastAsia="宋体" w:hint="default"/>
          <w:spacing w:val="-2"/>
          <w:sz w:val="21"/>
          <w:szCs w:val="21"/>
        </w:rPr>
        <w:t>注：前五名供应商品牌为三星、海尔、索尼、海信、美的；前五名销售客户主要为公司对公销售客</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户；前五名供应商预付账款余额为应付、预付抵消后净额。</w:t>
      </w:r>
    </w:p>
    <w:p>
      <w:pPr>
        <w:pStyle w:val="BodyText"/>
        <w:spacing w:line="348" w:lineRule="auto" w:before="77"/>
        <w:ind w:left="720" w:right="1436"/>
        <w:jc w:val="left"/>
      </w:pPr>
      <w:r>
        <w:rPr/>
        <w:t>（七）经营中出现的问题与困难及解决方案： </w:t>
      </w:r>
      <w:r>
        <w:rPr>
          <w:rFonts w:ascii="Times New Roman" w:hAnsi="Times New Roman" w:cs="Times New Roman" w:eastAsia="Times New Roman" w:hint="default"/>
        </w:rPr>
        <w:t>1</w:t>
      </w:r>
      <w:r>
        <w:rPr/>
        <w:t>、专业人才的缺乏对公司业务发展的影响 </w:t>
      </w:r>
      <w:r>
        <w:rPr>
          <w:spacing w:val="-3"/>
        </w:rPr>
        <w:t>随着公司转型变革工作的深入，特别是三、四级市场的逐步下沉以及电子商务业务</w:t>
      </w:r>
    </w:p>
    <w:p>
      <w:pPr>
        <w:pStyle w:val="BodyText"/>
        <w:spacing w:line="357" w:lineRule="auto" w:before="46"/>
        <w:ind w:left="240" w:right="1437"/>
        <w:jc w:val="both"/>
      </w:pPr>
      <w:r>
        <w:rPr>
          <w:spacing w:val="-3"/>
        </w:rPr>
        <w:t>的迅速扩张，对公司的管控能力、商品研究能力、消费者信息挖掘能力等提出了较高的</w:t>
      </w:r>
      <w:r>
        <w:rPr>
          <w:spacing w:val="-102"/>
        </w:rPr>
        <w:t> </w:t>
      </w:r>
      <w:r>
        <w:rPr>
          <w:spacing w:val="-102"/>
        </w:rPr>
      </w:r>
      <w:r>
        <w:rPr>
          <w:spacing w:val="-3"/>
        </w:rPr>
        <w:t>要求，电子商务业务更是要求公司必须具备符合互联网业务规律的系统开发、运营能力</w:t>
      </w:r>
      <w:r>
        <w:rPr>
          <w:spacing w:val="-98"/>
        </w:rPr>
        <w:t> </w:t>
      </w:r>
      <w:r>
        <w:rPr>
          <w:spacing w:val="-98"/>
        </w:rPr>
      </w:r>
      <w:r>
        <w:rPr/>
        <w:t>等，而目前，相关专业人才的缺乏已对公司的发展产生了一定的影响。</w:t>
      </w:r>
    </w:p>
    <w:p>
      <w:pPr>
        <w:pStyle w:val="BodyText"/>
        <w:spacing w:line="357" w:lineRule="auto" w:before="36"/>
        <w:ind w:left="240" w:right="1422" w:firstLine="480"/>
        <w:jc w:val="left"/>
      </w:pPr>
      <w:r>
        <w:rPr>
          <w:spacing w:val="-3"/>
        </w:rPr>
        <w:t>为了解决该问题，公司将通过继续完善内部干部培养选拔机制，并加大社会专业人</w:t>
      </w:r>
      <w:r>
        <w:rPr/>
        <w:t> 才引进力度，为公司未来发展培养和输送所需要的人才：</w:t>
      </w:r>
    </w:p>
    <w:p>
      <w:pPr>
        <w:pStyle w:val="BodyText"/>
        <w:spacing w:line="338" w:lineRule="auto" w:before="36"/>
        <w:ind w:left="240" w:right="1426" w:firstLine="540"/>
        <w:jc w:val="left"/>
      </w:pPr>
      <w:r>
        <w:rPr>
          <w:rFonts w:ascii="Wingdings" w:hAnsi="Wingdings" w:cs="Wingdings" w:eastAsia="Wingdings" w:hint="default"/>
        </w:rPr>
        <w:t></w:t>
      </w:r>
      <w:r>
        <w:rPr>
          <w:rFonts w:ascii="Wingdings" w:hAnsi="Wingdings" w:cs="Wingdings" w:eastAsia="Wingdings" w:hint="default"/>
          <w:spacing w:val="-97"/>
        </w:rPr>
        <w:t></w:t>
      </w:r>
      <w:r>
        <w:rPr>
          <w:rFonts w:ascii="Times New Roman" w:hAnsi="Times New Roman" w:cs="Times New Roman" w:eastAsia="Times New Roman" w:hint="default"/>
          <w:spacing w:val="-97"/>
        </w:rPr>
      </w:r>
      <w:r>
        <w:rPr/>
        <w:t>持续推进“店长工程”，加大引进、培训力度，提前储备。制定针对性的激励 考核机制，提高积极性，促进销售。</w:t>
      </w:r>
    </w:p>
    <w:p>
      <w:pPr>
        <w:pStyle w:val="BodyText"/>
        <w:spacing w:line="338" w:lineRule="auto" w:before="55"/>
        <w:ind w:left="240" w:right="1427" w:firstLine="540"/>
        <w:jc w:val="left"/>
      </w:pPr>
      <w:r>
        <w:rPr>
          <w:rFonts w:ascii="Wingdings" w:hAnsi="Wingdings" w:cs="Wingdings" w:eastAsia="Wingdings" w:hint="default"/>
        </w:rPr>
        <w:t></w:t>
      </w:r>
      <w:r>
        <w:rPr>
          <w:rFonts w:ascii="Wingdings" w:hAnsi="Wingdings" w:cs="Wingdings" w:eastAsia="Wingdings" w:hint="default"/>
          <w:spacing w:val="-98"/>
        </w:rPr>
        <w:t></w:t>
      </w:r>
      <w:r>
        <w:rPr>
          <w:rFonts w:ascii="Times New Roman" w:hAnsi="Times New Roman" w:cs="Times New Roman" w:eastAsia="Times New Roman" w:hint="default"/>
          <w:spacing w:val="-98"/>
        </w:rPr>
      </w:r>
      <w:r>
        <w:rPr/>
        <w:t>电子商务平台独立运营，公司化运作，进一步调整组织架构，按照互联网企业 标准建立人员引进机制，并提供具有市场竞争力的薪酬激励政策。</w:t>
      </w:r>
    </w:p>
    <w:p>
      <w:pPr>
        <w:pStyle w:val="BodyText"/>
        <w:spacing w:line="338" w:lineRule="auto" w:before="56"/>
        <w:ind w:left="240" w:right="1427" w:firstLine="540"/>
        <w:jc w:val="left"/>
      </w:pPr>
      <w:r>
        <w:rPr>
          <w:rFonts w:ascii="Wingdings" w:hAnsi="Wingdings" w:cs="Wingdings" w:eastAsia="Wingdings" w:hint="default"/>
        </w:rPr>
        <w:t></w:t>
      </w:r>
      <w:r>
        <w:rPr>
          <w:rFonts w:ascii="Wingdings" w:hAnsi="Wingdings" w:cs="Wingdings" w:eastAsia="Wingdings" w:hint="default"/>
          <w:spacing w:val="-98"/>
        </w:rPr>
        <w:t></w:t>
      </w:r>
      <w:r>
        <w:rPr>
          <w:rFonts w:ascii="Times New Roman" w:hAnsi="Times New Roman" w:cs="Times New Roman" w:eastAsia="Times New Roman" w:hint="default"/>
          <w:spacing w:val="-98"/>
        </w:rPr>
      </w:r>
      <w:r>
        <w:rPr/>
        <w:t>建立科学系统的人员绩效评估体系，将干部任用真正建立在科学评估的基础之 上，结合梯队选拔、晋升培训、任期轮岗等制度构建人员培养体系，培育核心团队。</w:t>
      </w:r>
    </w:p>
    <w:p>
      <w:pPr>
        <w:pStyle w:val="BodyText"/>
        <w:spacing w:line="338" w:lineRule="auto" w:before="55"/>
        <w:ind w:left="720" w:right="1436"/>
        <w:jc w:val="left"/>
      </w:pPr>
      <w:r>
        <w:rPr>
          <w:rFonts w:ascii="Times New Roman" w:hAnsi="Times New Roman" w:cs="Times New Roman" w:eastAsia="Times New Roman" w:hint="default"/>
        </w:rPr>
        <w:t>2</w:t>
      </w:r>
      <w:r>
        <w:rPr/>
        <w:t>、物流平台建设的相对滞后，小件商品物流管理有待进一步提高 </w:t>
      </w:r>
      <w:r>
        <w:rPr>
          <w:spacing w:val="-3"/>
        </w:rPr>
        <w:t>随着三、四级市场连锁网络的快速扩张，物流平台建设的相对滞后一定程度上限制</w:t>
      </w:r>
    </w:p>
    <w:p>
      <w:pPr>
        <w:pStyle w:val="BodyText"/>
        <w:spacing w:line="348" w:lineRule="auto" w:before="55"/>
        <w:ind w:left="240" w:right="1433"/>
        <w:jc w:val="both"/>
      </w:pPr>
      <w:r>
        <w:rPr/>
        <w:t>了公司整合区域资源、提升采购及配套服务的能力。此外，公司加快发展</w:t>
      </w:r>
      <w:r>
        <w:rPr>
          <w:spacing w:val="-66"/>
        </w:rPr>
        <w:t> </w:t>
      </w:r>
      <w:r>
        <w:rPr>
          <w:rFonts w:ascii="Times New Roman" w:hAnsi="Times New Roman" w:cs="Times New Roman" w:eastAsia="Times New Roman" w:hint="default"/>
        </w:rPr>
        <w:t>3C</w:t>
      </w:r>
      <w:r>
        <w:rPr>
          <w:rFonts w:ascii="Times New Roman" w:hAnsi="Times New Roman" w:cs="Times New Roman" w:eastAsia="Times New Roman" w:hint="default"/>
          <w:spacing w:val="-6"/>
        </w:rPr>
        <w:t> </w:t>
      </w:r>
      <w:r>
        <w:rPr/>
        <w:t>产品以及 </w:t>
      </w:r>
      <w:r>
        <w:rPr>
          <w:spacing w:val="-3"/>
        </w:rPr>
        <w:t>电子商务业务，对提升小件商品的存储、调拨、配送效率提出了新的要求，目前小件商</w:t>
      </w:r>
      <w:r>
        <w:rPr>
          <w:spacing w:val="-97"/>
        </w:rPr>
        <w:t> </w:t>
      </w:r>
      <w:r>
        <w:rPr>
          <w:spacing w:val="-97"/>
        </w:rPr>
      </w:r>
      <w:r>
        <w:rPr/>
        <w:t>品的物流管理能力正在逐步提高。</w:t>
      </w:r>
    </w:p>
    <w:p>
      <w:pPr>
        <w:pStyle w:val="BodyText"/>
        <w:spacing w:line="338" w:lineRule="auto" w:before="46"/>
        <w:ind w:left="240" w:right="1420" w:firstLine="480"/>
        <w:jc w:val="left"/>
      </w:pPr>
      <w:r>
        <w:rPr/>
        <w:t>公司已在稳步推进 </w:t>
      </w:r>
      <w:r>
        <w:rPr>
          <w:rFonts w:ascii="Times New Roman" w:hAnsi="Times New Roman" w:cs="Times New Roman" w:eastAsia="Times New Roman" w:hint="default"/>
        </w:rPr>
        <w:t>60</w:t>
      </w:r>
      <w:r>
        <w:rPr>
          <w:rFonts w:ascii="Times New Roman" w:hAnsi="Times New Roman" w:cs="Times New Roman" w:eastAsia="Times New Roman" w:hint="default"/>
          <w:spacing w:val="-32"/>
        </w:rPr>
        <w:t> </w:t>
      </w:r>
      <w:r>
        <w:rPr/>
        <w:t>个第三代物流基地的规划建设，同时加快建立小件商品自动 化仓库配送体系：</w:t>
      </w:r>
    </w:p>
    <w:p>
      <w:pPr>
        <w:pStyle w:val="BodyText"/>
        <w:spacing w:line="240" w:lineRule="auto" w:before="55"/>
        <w:ind w:left="780" w:right="1422"/>
        <w:jc w:val="left"/>
        <w:rPr>
          <w:rFonts w:ascii="Times New Roman" w:hAnsi="Times New Roman" w:cs="Times New Roman" w:eastAsia="Times New Roman" w:hint="default"/>
        </w:rPr>
      </w:pPr>
      <w:r>
        <w:rPr>
          <w:rFonts w:ascii="Wingdings" w:hAnsi="Wingdings" w:cs="Wingdings" w:eastAsia="Wingdings" w:hint="default"/>
        </w:rPr>
        <w:t></w:t>
      </w:r>
      <w:r>
        <w:rPr>
          <w:rFonts w:ascii="Wingdings" w:hAnsi="Wingdings" w:cs="Wingdings" w:eastAsia="Wingdings" w:hint="default"/>
          <w:spacing w:val="-107"/>
        </w:rPr>
        <w:t></w:t>
      </w:r>
      <w:r>
        <w:rPr>
          <w:rFonts w:ascii="Times New Roman" w:hAnsi="Times New Roman" w:cs="Times New Roman" w:eastAsia="Times New Roman" w:hint="default"/>
          <w:spacing w:val="-107"/>
        </w:rPr>
      </w:r>
      <w:r>
        <w:rPr>
          <w:spacing w:val="3"/>
        </w:rPr>
        <w:t>进一步完善物流基地的规划、设计、建设标准化，推进快速复制，确保</w:t>
      </w:r>
      <w:r>
        <w:rPr>
          <w:spacing w:val="19"/>
        </w:rPr>
        <w:t> </w:t>
      </w:r>
      <w:r>
        <w:rPr>
          <w:rFonts w:ascii="Times New Roman" w:hAnsi="Times New Roman" w:cs="Times New Roman" w:eastAsia="Times New Roman" w:hint="default"/>
        </w:rPr>
        <w:t>2015</w:t>
      </w:r>
    </w:p>
    <w:p>
      <w:pPr>
        <w:spacing w:after="0" w:line="240" w:lineRule="auto"/>
        <w:jc w:val="left"/>
        <w:rPr>
          <w:rFonts w:ascii="Times New Roman" w:hAnsi="Times New Roman" w:cs="Times New Roman" w:eastAsia="Times New Roman" w:hint="default"/>
        </w:rPr>
        <w:sectPr>
          <w:pgSz w:w="11910" w:h="16840"/>
          <w:pgMar w:header="748" w:footer="857" w:top="980" w:bottom="1040" w:left="120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0"/>
        <w:jc w:val="both"/>
      </w:pPr>
      <w:r>
        <w:rPr/>
        <w:t>年前完成</w:t>
      </w:r>
      <w:r>
        <w:rPr>
          <w:spacing w:val="-61"/>
        </w:rPr>
        <w:t> </w:t>
      </w:r>
      <w:r>
        <w:rPr>
          <w:rFonts w:ascii="Times New Roman" w:hAnsi="Times New Roman" w:cs="Times New Roman" w:eastAsia="Times New Roman" w:hint="default"/>
        </w:rPr>
        <w:t>60 </w:t>
      </w:r>
      <w:r>
        <w:rPr/>
        <w:t>个物流基地的建设。</w:t>
      </w:r>
    </w:p>
    <w:p>
      <w:pPr>
        <w:pStyle w:val="BodyText"/>
        <w:spacing w:line="338" w:lineRule="auto"/>
        <w:ind w:right="1436" w:firstLine="540"/>
        <w:jc w:val="both"/>
      </w:pPr>
      <w:r>
        <w:rPr>
          <w:rFonts w:ascii="Wingdings" w:hAnsi="Wingdings" w:cs="Wingdings" w:eastAsia="Wingdings" w:hint="default"/>
        </w:rPr>
        <w:t></w:t>
      </w:r>
      <w:r>
        <w:rPr>
          <w:rFonts w:ascii="Wingdings" w:hAnsi="Wingdings" w:cs="Wingdings" w:eastAsia="Wingdings" w:hint="default"/>
          <w:spacing w:val="-95"/>
        </w:rPr>
        <w:t></w:t>
      </w:r>
      <w:r>
        <w:rPr>
          <w:rFonts w:ascii="Times New Roman" w:hAnsi="Times New Roman" w:cs="Times New Roman" w:eastAsia="Times New Roman" w:hint="default"/>
          <w:spacing w:val="-95"/>
        </w:rPr>
      </w:r>
      <w:r>
        <w:rPr/>
        <w:t>以南京雨花小件商品自动拣选仓库为模板，加快在北京、上海、广州等区域枢 纽城市建设小件商品仓库，最终形成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个小件商品自动拣选仓库的商品仓储体系，全 面提升小件商品的配送范围和准时度。</w:t>
      </w:r>
    </w:p>
    <w:p>
      <w:pPr>
        <w:pStyle w:val="BodyText"/>
        <w:spacing w:line="338" w:lineRule="auto" w:before="55"/>
        <w:ind w:left="620" w:right="1436"/>
        <w:jc w:val="left"/>
      </w:pPr>
      <w:r>
        <w:rPr>
          <w:rFonts w:ascii="Times New Roman" w:hAnsi="Times New Roman" w:cs="Times New Roman" w:eastAsia="Times New Roman" w:hint="default"/>
        </w:rPr>
        <w:t>3</w:t>
      </w:r>
      <w:r>
        <w:rPr/>
        <w:t>、实体店面租金成本上涨及优质物业资源的日渐稀缺 </w:t>
      </w:r>
      <w:r>
        <w:rPr>
          <w:spacing w:val="-3"/>
        </w:rPr>
        <w:t>公司现有实体店面以租赁方式开设为主，随着宏观经济稳定增长，城市租赁成本上</w:t>
      </w:r>
    </w:p>
    <w:p>
      <w:pPr>
        <w:pStyle w:val="BodyText"/>
        <w:spacing w:line="350" w:lineRule="auto" w:before="55"/>
        <w:ind w:right="1433"/>
        <w:jc w:val="both"/>
      </w:pPr>
      <w:r>
        <w:rPr>
          <w:spacing w:val="-3"/>
        </w:rPr>
        <w:t>涨趋势日益显现，尤其在通胀压力较大时期，租金成本上涨更加迅速。公司早期开设的</w:t>
      </w:r>
      <w:r>
        <w:rPr>
          <w:spacing w:val="-101"/>
        </w:rPr>
        <w:t> </w:t>
      </w:r>
      <w:r>
        <w:rPr>
          <w:spacing w:val="-101"/>
        </w:rPr>
      </w:r>
      <w:r>
        <w:rPr>
          <w:spacing w:val="-4"/>
        </w:rPr>
        <w:t>连锁店将陆续到期，面临期满后续租租金较大幅度上涨，或到期不能续租的压力和风险</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55"/>
        </w:rPr>
        <w:t> </w:t>
      </w:r>
      <w:r>
        <w:rPr>
          <w:spacing w:val="-3"/>
        </w:rPr>
        <w:t>此外，随着消费市场的日益繁荣，核心优质物业资源的竞争日益加剧，同时受限于租赁</w:t>
      </w:r>
      <w:r>
        <w:rPr>
          <w:spacing w:val="-101"/>
        </w:rPr>
        <w:t> </w:t>
      </w:r>
      <w:r>
        <w:rPr>
          <w:spacing w:val="-101"/>
        </w:rPr>
      </w:r>
      <w:r>
        <w:rPr/>
        <w:t>物业的硬件条件，也给公司贯彻落实连锁店标准化建设带来较大的困难。</w:t>
      </w:r>
    </w:p>
    <w:p>
      <w:pPr>
        <w:pStyle w:val="BodyText"/>
        <w:spacing w:line="240" w:lineRule="auto" w:before="43"/>
        <w:ind w:left="620" w:right="1314"/>
        <w:jc w:val="left"/>
      </w:pPr>
      <w:r>
        <w:rPr/>
        <w:t>针对上述问题，公司将持续推进如下措施：</w:t>
      </w:r>
    </w:p>
    <w:p>
      <w:pPr>
        <w:pStyle w:val="BodyText"/>
        <w:tabs>
          <w:tab w:pos="1040" w:val="left" w:leader="none"/>
        </w:tabs>
        <w:spacing w:line="338" w:lineRule="auto" w:before="154"/>
        <w:ind w:right="1434"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全面规划公司在城市核心商圈、新兴商圈的自建店布局，不断改进和完善自建</w:t>
      </w:r>
      <w:r>
        <w:rPr/>
        <w:t> 店标准手册，大力推进自建店项目标准化建设，筹备公司长远发展的战略资源。</w:t>
      </w:r>
    </w:p>
    <w:p>
      <w:pPr>
        <w:pStyle w:val="BodyText"/>
        <w:tabs>
          <w:tab w:pos="1040" w:val="left" w:leader="none"/>
        </w:tabs>
        <w:spacing w:line="340" w:lineRule="auto" w:before="55"/>
        <w:ind w:right="1437" w:firstLine="420"/>
        <w:jc w:val="left"/>
      </w:pPr>
      <w:r>
        <w:rPr>
          <w:rFonts w:ascii="Wingdings" w:hAnsi="Wingdings" w:cs="Wingdings" w:eastAsia="Wingdings" w:hint="default"/>
        </w:rPr>
        <w:t></w:t>
      </w:r>
      <w:r>
        <w:rPr>
          <w:rFonts w:ascii="Times New Roman" w:hAnsi="Times New Roman" w:cs="Times New Roman" w:eastAsia="Times New Roman" w:hint="default"/>
        </w:rPr>
        <w:tab/>
      </w:r>
      <w:r>
        <w:rPr>
          <w:spacing w:val="-1"/>
        </w:rPr>
        <w:t>进一步加强与全国性开发商的战略合作，共同分析商圈、店面规划，以定制开</w:t>
      </w:r>
      <w:r>
        <w:rPr/>
        <w:t> 发方式，建立长期性合作，占领市场先机。</w:t>
      </w:r>
    </w:p>
    <w:p>
      <w:pPr>
        <w:pStyle w:val="BodyText"/>
        <w:tabs>
          <w:tab w:pos="1040" w:val="left" w:leader="none"/>
        </w:tabs>
        <w:spacing w:line="338" w:lineRule="auto" w:before="53"/>
        <w:ind w:right="1405" w:firstLine="420"/>
        <w:jc w:val="left"/>
      </w:pPr>
      <w:r>
        <w:rPr>
          <w:rFonts w:ascii="Wingdings" w:hAnsi="Wingdings" w:cs="Wingdings" w:eastAsia="Wingdings" w:hint="default"/>
        </w:rPr>
        <w:t></w:t>
      </w:r>
      <w:r>
        <w:rPr>
          <w:rFonts w:ascii="Times New Roman" w:hAnsi="Times New Roman" w:cs="Times New Roman" w:eastAsia="Times New Roman" w:hint="default"/>
        </w:rPr>
        <w:tab/>
      </w:r>
      <w:r>
        <w:rPr/>
        <w:t>在消费市场较为成熟的区域，加快苏宁易购的发展，利用线上销售的“无形” </w:t>
      </w:r>
      <w:r>
        <w:rPr>
          <w:spacing w:val="-5"/>
        </w:rPr>
        <w:t>突破线下开店的“有形”，实现与实体店面的有效互补。</w:t>
      </w:r>
    </w:p>
    <w:p>
      <w:pPr>
        <w:pStyle w:val="BodyText"/>
        <w:spacing w:line="338" w:lineRule="auto" w:before="55"/>
        <w:ind w:right="1405" w:firstLine="420"/>
        <w:jc w:val="both"/>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建立店面评估系统加强对店面运营质量的分析，一方面，加大店面调整力度， 置换</w:t>
      </w:r>
      <w:r>
        <w:rPr>
          <w:rFonts w:ascii="Times New Roman" w:hAnsi="Times New Roman" w:cs="Times New Roman" w:eastAsia="Times New Roman" w:hint="default"/>
        </w:rPr>
        <w:t>/</w:t>
      </w:r>
      <w:r>
        <w:rPr/>
        <w:t>关闭经营效益不符合要求的店面；另一方面，充分利用店面物业资源，加大闲置</w:t>
      </w:r>
      <w:r>
        <w:rPr>
          <w:spacing w:val="-48"/>
        </w:rPr>
        <w:t> </w:t>
      </w:r>
      <w:r>
        <w:rPr>
          <w:spacing w:val="-48"/>
        </w:rPr>
      </w:r>
      <w:r>
        <w:rPr/>
        <w:t>物业的转租力度，进一步控制单店租售比，提升店面盈利水平。</w:t>
      </w:r>
    </w:p>
    <w:p>
      <w:pPr>
        <w:pStyle w:val="BodyText"/>
        <w:spacing w:line="338" w:lineRule="auto" w:before="56"/>
        <w:ind w:right="1314" w:firstLine="480"/>
        <w:jc w:val="left"/>
      </w:pPr>
      <w:r>
        <w:rPr>
          <w:rFonts w:ascii="Times New Roman" w:hAnsi="Times New Roman" w:cs="Times New Roman" w:eastAsia="Times New Roman" w:hint="default"/>
        </w:rPr>
        <w:t>4</w:t>
      </w:r>
      <w:r>
        <w:rPr/>
        <w:t>、互联网的快速发展对公司提升创新能力提出了新的要求，公司将充分发挥年轻 管理队伍的创造才能，不断强化对内容和增值服务的开发能力。</w:t>
      </w:r>
    </w:p>
    <w:p>
      <w:pPr>
        <w:pStyle w:val="BodyText"/>
        <w:spacing w:line="240" w:lineRule="auto" w:before="55"/>
        <w:ind w:left="620" w:right="1314"/>
        <w:jc w:val="left"/>
      </w:pPr>
      <w:r>
        <w:rPr/>
        <w:t>三、</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年的展望及前景</w:t>
      </w:r>
    </w:p>
    <w:p>
      <w:pPr>
        <w:pStyle w:val="BodyText"/>
        <w:spacing w:line="240" w:lineRule="auto"/>
        <w:ind w:left="620" w:right="1314"/>
        <w:jc w:val="left"/>
      </w:pPr>
      <w:r>
        <w:rPr/>
        <w:t>（一）</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年发展规划</w:t>
      </w:r>
    </w:p>
    <w:p>
      <w:pPr>
        <w:pStyle w:val="BodyText"/>
        <w:spacing w:line="348" w:lineRule="auto"/>
        <w:ind w:right="1314"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年国家进一步将“扩大内需、改善民生”作为重点工作予以推进，家电行业 </w:t>
      </w:r>
      <w:r>
        <w:rPr>
          <w:spacing w:val="-6"/>
        </w:rPr>
        <w:t>虽然面临政策退出、宏观调控政策持续的影响，但长远来看，仍然拥有良好的外部环境，</w:t>
      </w:r>
      <w:r>
        <w:rPr>
          <w:spacing w:val="-99"/>
        </w:rPr>
        <w:t> </w:t>
      </w:r>
      <w:r>
        <w:rPr>
          <w:spacing w:val="-99"/>
        </w:rPr>
      </w:r>
      <w:r>
        <w:rPr/>
        <w:t>行业发展长期向好趋势不变，苏宁仍拥有良好的发展空间。</w:t>
      </w:r>
    </w:p>
    <w:p>
      <w:pPr>
        <w:pStyle w:val="BodyText"/>
        <w:spacing w:line="348" w:lineRule="auto" w:before="46"/>
        <w:ind w:right="1299"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1"/>
        </w:rPr>
        <w:t> </w:t>
      </w:r>
      <w:r>
        <w:rPr/>
        <w:t>年是苏宁践行新十年发展规划的第二年，也是苏宁转型发展至关重要的一年， </w:t>
      </w:r>
      <w:r>
        <w:rPr>
          <w:spacing w:val="-3"/>
        </w:rPr>
        <w:t>在这一年里，公司首要发展目标是搭建起符合新十年规划的业务框架体系，步入新的发</w:t>
      </w:r>
      <w:r>
        <w:rPr>
          <w:spacing w:val="-99"/>
        </w:rPr>
        <w:t> </w:t>
      </w:r>
      <w:r>
        <w:rPr>
          <w:spacing w:val="-99"/>
        </w:rPr>
      </w:r>
      <w:r>
        <w:rPr/>
        <w:t>展轨道。</w:t>
      </w:r>
    </w:p>
    <w:p>
      <w:pPr>
        <w:spacing w:after="0" w:line="348" w:lineRule="auto"/>
        <w:jc w:val="left"/>
        <w:sectPr>
          <w:footerReference w:type="default" r:id="rId42"/>
          <w:pgSz w:w="11910" w:h="16840"/>
          <w:pgMar w:footer="1117" w:header="748" w:top="980" w:bottom="1300" w:left="1300" w:right="0"/>
          <w:pgNumType w:start="56"/>
        </w:sectPr>
      </w:pPr>
    </w:p>
    <w:p>
      <w:pPr>
        <w:spacing w:line="240" w:lineRule="auto" w:before="6"/>
        <w:rPr>
          <w:rFonts w:ascii="宋体" w:hAnsi="宋体" w:cs="宋体" w:eastAsia="宋体" w:hint="default"/>
          <w:sz w:val="29"/>
          <w:szCs w:val="29"/>
        </w:rPr>
      </w:pPr>
    </w:p>
    <w:p>
      <w:pPr>
        <w:pStyle w:val="BodyText"/>
        <w:spacing w:line="357" w:lineRule="auto" w:before="26"/>
        <w:ind w:right="1314"/>
        <w:jc w:val="left"/>
      </w:pPr>
      <w:r>
        <w:rPr>
          <w:spacing w:val="-3"/>
        </w:rPr>
        <w:t>期持续发展的一个重要措施，其战略动因无外乎内生增长与外延拓展两个方面。对苏宁</w:t>
      </w:r>
      <w:r>
        <w:rPr>
          <w:spacing w:val="-98"/>
        </w:rPr>
        <w:t> </w:t>
      </w:r>
      <w:r>
        <w:rPr>
          <w:spacing w:val="-98"/>
        </w:rPr>
      </w:r>
      <w:r>
        <w:rPr>
          <w:spacing w:val="-6"/>
        </w:rPr>
        <w:t>来说，从内生增长来看，必须要实现商品供应链效率的提升、客户运营服务能力的提升、</w:t>
      </w:r>
      <w:r>
        <w:rPr>
          <w:spacing w:val="-97"/>
        </w:rPr>
        <w:t> </w:t>
      </w:r>
      <w:r>
        <w:rPr>
          <w:spacing w:val="-97"/>
        </w:rPr>
      </w:r>
      <w:r>
        <w:rPr>
          <w:spacing w:val="-3"/>
        </w:rPr>
        <w:t>内部管理绩效的提升；从外延拓展来看，必须要实现产品线的不断延伸、区域线的不断</w:t>
      </w:r>
      <w:r>
        <w:rPr>
          <w:spacing w:val="-100"/>
        </w:rPr>
        <w:t> </w:t>
      </w:r>
      <w:r>
        <w:rPr>
          <w:spacing w:val="-100"/>
        </w:rPr>
      </w:r>
      <w:r>
        <w:rPr>
          <w:spacing w:val="-3"/>
        </w:rPr>
        <w:t>延伸、渠道线的不断延伸。而实现企业前台发展的前提则是不断巩固企业的后台竞争能</w:t>
      </w:r>
      <w:r>
        <w:rPr>
          <w:spacing w:val="-99"/>
        </w:rPr>
        <w:t> </w:t>
      </w:r>
      <w:r>
        <w:rPr>
          <w:spacing w:val="-99"/>
        </w:rPr>
      </w:r>
      <w:r>
        <w:rPr>
          <w:spacing w:val="-3"/>
        </w:rPr>
        <w:t>力，也就是我们这么多年一直坚持的物流服务平台的建设、信息平台的建设以及人力资</w:t>
      </w:r>
      <w:r>
        <w:rPr>
          <w:spacing w:val="-98"/>
        </w:rPr>
        <w:t> </w:t>
      </w:r>
      <w:r>
        <w:rPr>
          <w:spacing w:val="-98"/>
        </w:rPr>
      </w:r>
      <w:r>
        <w:rPr/>
        <w:t>源平台的建设，必须要进行持续的、超前的投入。</w:t>
      </w:r>
    </w:p>
    <w:p>
      <w:pPr>
        <w:pStyle w:val="BodyText"/>
        <w:spacing w:line="350" w:lineRule="auto" w:before="36"/>
        <w:ind w:right="1434" w:firstLine="480"/>
        <w:jc w:val="both"/>
      </w:pPr>
      <w:r>
        <w:rPr/>
        <w:t>基于以上的发展理念，</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年公司将会搭建起依托于逐步强大的采购平台、物流 </w:t>
      </w:r>
      <w:r>
        <w:rPr>
          <w:spacing w:val="-3"/>
        </w:rPr>
        <w:t>平台、信息平台、人力资源平台基础之上的“苏宁连锁，乐购仕连锁、苏宁易购”三个</w:t>
      </w:r>
      <w:r>
        <w:rPr>
          <w:spacing w:val="-98"/>
        </w:rPr>
        <w:t> </w:t>
      </w:r>
      <w:r>
        <w:rPr>
          <w:spacing w:val="-98"/>
        </w:rPr>
      </w:r>
      <w:r>
        <w:rPr>
          <w:spacing w:val="-3"/>
        </w:rPr>
        <w:t>战略业务单元协同发展的框架。在新的框架之下，公司将会从以下几个方面实现商业模</w:t>
      </w:r>
      <w:r>
        <w:rPr>
          <w:spacing w:val="-98"/>
        </w:rPr>
        <w:t> </w:t>
      </w:r>
      <w:r>
        <w:rPr>
          <w:spacing w:val="-98"/>
        </w:rPr>
      </w:r>
      <w:r>
        <w:rPr/>
        <w:t>式的升级和盈利模式的优化，将从以下几个方面展开：</w:t>
      </w:r>
    </w:p>
    <w:p>
      <w:pPr>
        <w:pStyle w:val="BodyText"/>
        <w:spacing w:line="352" w:lineRule="auto" w:before="43"/>
        <w:ind w:right="1433" w:firstLine="480"/>
        <w:jc w:val="both"/>
      </w:pPr>
      <w:r>
        <w:rPr/>
        <w:t>从产品线上来看，公司的经营品类将在经历了从空调到综合电器、再到</w:t>
      </w:r>
      <w:r>
        <w:rPr>
          <w:spacing w:val="-64"/>
        </w:rPr>
        <w:t> </w:t>
      </w:r>
      <w:r>
        <w:rPr>
          <w:rFonts w:ascii="Times New Roman" w:hAnsi="Times New Roman" w:cs="Times New Roman" w:eastAsia="Times New Roman" w:hint="default"/>
        </w:rPr>
        <w:t>3C</w:t>
      </w:r>
      <w:r>
        <w:rPr>
          <w:rFonts w:ascii="Times New Roman" w:hAnsi="Times New Roman" w:cs="Times New Roman" w:eastAsia="Times New Roman" w:hint="default"/>
          <w:spacing w:val="-5"/>
        </w:rPr>
        <w:t> </w:t>
      </w:r>
      <w:r>
        <w:rPr/>
        <w:t>产品的 </w:t>
      </w:r>
      <w:r>
        <w:rPr>
          <w:spacing w:val="-3"/>
        </w:rPr>
        <w:t>基础上向百货、日用品、图书、虚拟产品、金融产品等全品类迈进，逐步步入综合零售</w:t>
      </w:r>
      <w:r>
        <w:rPr>
          <w:spacing w:val="-104"/>
        </w:rPr>
        <w:t> </w:t>
      </w:r>
      <w:r>
        <w:rPr>
          <w:spacing w:val="-104"/>
        </w:rPr>
      </w:r>
      <w:r>
        <w:rPr>
          <w:spacing w:val="-3"/>
        </w:rPr>
        <w:t>商的发展之路。公司将优先借助苏宁易购的平台开展多品类经营，在成熟的前提下，向</w:t>
      </w:r>
      <w:r>
        <w:rPr>
          <w:spacing w:val="-102"/>
        </w:rPr>
        <w:t> </w:t>
      </w:r>
      <w:r>
        <w:rPr>
          <w:spacing w:val="-102"/>
        </w:rPr>
      </w:r>
      <w:r>
        <w:rPr>
          <w:spacing w:val="-3"/>
        </w:rPr>
        <w:t>乐购仕连锁、苏宁连锁依次推广。从这个意义上来看，苏宁易购有效地突破了实体经营</w:t>
      </w:r>
      <w:r>
        <w:rPr>
          <w:spacing w:val="-102"/>
        </w:rPr>
        <w:t> </w:t>
      </w:r>
      <w:r>
        <w:rPr>
          <w:spacing w:val="-102"/>
        </w:rPr>
      </w:r>
      <w:r>
        <w:rPr>
          <w:spacing w:val="-3"/>
        </w:rPr>
        <w:t>的局限，充分地挖掘了公司二十年来所积累的前后台能力，快速地实现品类的拓展，有</w:t>
      </w:r>
      <w:r>
        <w:rPr>
          <w:spacing w:val="-103"/>
        </w:rPr>
        <w:t> </w:t>
      </w:r>
      <w:r>
        <w:rPr>
          <w:spacing w:val="-103"/>
        </w:rPr>
      </w:r>
      <w:r>
        <w:rPr/>
        <w:t>效地提升了企业经营的边际效应。</w:t>
      </w:r>
    </w:p>
    <w:p>
      <w:pPr>
        <w:pStyle w:val="BodyText"/>
        <w:spacing w:line="357" w:lineRule="auto" w:before="41"/>
        <w:ind w:right="1300" w:firstLine="480"/>
        <w:jc w:val="left"/>
      </w:pPr>
      <w:r>
        <w:rPr>
          <w:spacing w:val="-3"/>
        </w:rPr>
        <w:t>从区域线上来看，各战略业务单元按照自己所面临的市场、客户特点，逐步的从一</w:t>
      </w:r>
      <w:r>
        <w:rPr/>
        <w:t> </w:t>
      </w:r>
      <w:r>
        <w:rPr>
          <w:spacing w:val="-6"/>
        </w:rPr>
        <w:t>二级市场向三四级市场坚定地推进，并循序发展海外市场。在实体连锁由于选址、人员、</w:t>
      </w:r>
      <w:r>
        <w:rPr>
          <w:spacing w:val="-96"/>
        </w:rPr>
        <w:t> </w:t>
      </w:r>
      <w:r>
        <w:rPr>
          <w:spacing w:val="-96"/>
        </w:rPr>
      </w:r>
      <w:r>
        <w:rPr>
          <w:spacing w:val="-3"/>
        </w:rPr>
        <w:t>开店周期等客观因素暂时不能覆盖的市场或者经营能力有待提升的市场，苏宁易购可以</w:t>
      </w:r>
      <w:r>
        <w:rPr>
          <w:spacing w:val="-98"/>
        </w:rPr>
        <w:t> </w:t>
      </w:r>
      <w:r>
        <w:rPr>
          <w:spacing w:val="-98"/>
        </w:rPr>
      </w:r>
      <w:r>
        <w:rPr/>
        <w:t>打破时间和空间的局限</w:t>
      </w:r>
      <w:r>
        <w:rPr>
          <w:spacing w:val="20"/>
        </w:rPr>
        <w:t> </w:t>
      </w:r>
      <w:r>
        <w:rPr>
          <w:spacing w:val="-4"/>
        </w:rPr>
        <w:t>，形成与实体店有效的互补，有助于地区综合竞争策略的实现。</w:t>
      </w:r>
    </w:p>
    <w:p>
      <w:pPr>
        <w:pStyle w:val="BodyText"/>
        <w:spacing w:line="357" w:lineRule="auto" w:before="37"/>
        <w:ind w:right="1434" w:firstLine="480"/>
        <w:jc w:val="both"/>
      </w:pPr>
      <w:r>
        <w:rPr>
          <w:spacing w:val="-3"/>
        </w:rPr>
        <w:t>从用户体验上来看，随着互联网、智能技术的发展，用户体验的需求不断升级，单</w:t>
      </w:r>
      <w:r>
        <w:rPr/>
        <w:t> </w:t>
      </w:r>
      <w:r>
        <w:rPr>
          <w:spacing w:val="-3"/>
        </w:rPr>
        <w:t>一的店面体验，或者单一的互联网体验都不能满足消费者日益增加的用户体验需求。互</w:t>
      </w:r>
      <w:r>
        <w:rPr>
          <w:spacing w:val="-98"/>
        </w:rPr>
        <w:t> </w:t>
      </w:r>
      <w:r>
        <w:rPr>
          <w:spacing w:val="-98"/>
        </w:rPr>
      </w:r>
      <w:r>
        <w:rPr>
          <w:spacing w:val="-3"/>
        </w:rPr>
        <w:t>联网对于便捷的信息获取比较、交易支付、互动交流以及智能终端使用体验，促进购买</w:t>
      </w:r>
      <w:r>
        <w:rPr>
          <w:spacing w:val="-100"/>
        </w:rPr>
        <w:t> </w:t>
      </w:r>
      <w:r>
        <w:rPr>
          <w:spacing w:val="-100"/>
        </w:rPr>
      </w:r>
      <w:r>
        <w:rPr>
          <w:spacing w:val="-3"/>
        </w:rPr>
        <w:t>行为有非常大的优势，但是门店在消费者直观体验商品、提货验收、试用商品、售后服</w:t>
      </w:r>
      <w:r>
        <w:rPr>
          <w:spacing w:val="-96"/>
        </w:rPr>
        <w:t> </w:t>
      </w:r>
      <w:r>
        <w:rPr>
          <w:spacing w:val="-96"/>
        </w:rPr>
      </w:r>
      <w:r>
        <w:rPr>
          <w:spacing w:val="-3"/>
        </w:rPr>
        <w:t>务、随即购买立即使用等方面也有不可替代的作用，同时不断升级的店面业态也将不断</w:t>
      </w:r>
      <w:r>
        <w:rPr>
          <w:spacing w:val="-98"/>
        </w:rPr>
        <w:t> </w:t>
      </w:r>
      <w:r>
        <w:rPr>
          <w:spacing w:val="-98"/>
        </w:rPr>
      </w:r>
      <w:r>
        <w:rPr>
          <w:spacing w:val="3"/>
        </w:rPr>
        <w:t>满足未来消费人群对购物休闲场所的需求。所以消费者的用户体验一定是贯穿线上线</w:t>
      </w:r>
      <w:r>
        <w:rPr>
          <w:spacing w:val="-108"/>
        </w:rPr>
        <w:t> </w:t>
      </w:r>
      <w:r>
        <w:rPr>
          <w:spacing w:val="-108"/>
        </w:rPr>
      </w:r>
      <w:r>
        <w:rPr/>
        <w:t>下，包含售前、售中、售后的完整的用户体验。</w:t>
      </w:r>
    </w:p>
    <w:p>
      <w:pPr>
        <w:pStyle w:val="BodyText"/>
        <w:spacing w:line="357" w:lineRule="auto" w:before="36"/>
        <w:ind w:right="1435" w:firstLine="480"/>
        <w:jc w:val="both"/>
      </w:pPr>
      <w:r>
        <w:rPr>
          <w:spacing w:val="-3"/>
        </w:rPr>
        <w:t>从服务内容上来看，公司一直重视为消费者提供服务，培养客户的忠诚度以及差异</w:t>
      </w:r>
      <w:r>
        <w:rPr/>
        <w:t> </w:t>
      </w:r>
      <w:r>
        <w:rPr>
          <w:spacing w:val="-3"/>
        </w:rPr>
        <w:t>化的竞争能力。前期公司主要提供的是店面、物流、安装、维修等基础型服务，借助于</w:t>
      </w:r>
      <w:r>
        <w:rPr>
          <w:spacing w:val="-104"/>
        </w:rPr>
        <w:t> </w:t>
      </w:r>
      <w:r>
        <w:rPr>
          <w:spacing w:val="-104"/>
        </w:rPr>
      </w:r>
      <w:r>
        <w:rPr>
          <w:spacing w:val="-3"/>
        </w:rPr>
        <w:t>互联网、智能终端的平台，公司将可以向个人、家庭、中小企业以及供应商合作伙伴提</w:t>
      </w:r>
    </w:p>
    <w:p>
      <w:pPr>
        <w:spacing w:after="0" w:line="357" w:lineRule="auto"/>
        <w:jc w:val="both"/>
        <w:sectPr>
          <w:footerReference w:type="default" r:id="rId43"/>
          <w:pgSz w:w="11910" w:h="16840"/>
          <w:pgMar w:footer="1117" w:header="748" w:top="980" w:bottom="1300" w:left="1300" w:right="0"/>
          <w:pgNumType w:start="57"/>
        </w:sectPr>
      </w:pPr>
    </w:p>
    <w:p>
      <w:pPr>
        <w:spacing w:line="240" w:lineRule="auto" w:before="6"/>
        <w:rPr>
          <w:rFonts w:ascii="宋体" w:hAnsi="宋体" w:cs="宋体" w:eastAsia="宋体" w:hint="default"/>
          <w:sz w:val="29"/>
          <w:szCs w:val="29"/>
        </w:rPr>
      </w:pPr>
    </w:p>
    <w:p>
      <w:pPr>
        <w:pStyle w:val="BodyText"/>
        <w:spacing w:line="357" w:lineRule="auto" w:before="26"/>
        <w:ind w:right="1328"/>
        <w:jc w:val="left"/>
      </w:pPr>
      <w:r>
        <w:rPr/>
        <w:t>云计算技术，公司的服务战略将得以更加充分的实现，我们将这一模式称为“云服务” 模式，这是苏宁“科技转型、智慧升级”的核心路径。</w:t>
      </w:r>
    </w:p>
    <w:p>
      <w:pPr>
        <w:pStyle w:val="BodyText"/>
        <w:spacing w:line="357" w:lineRule="auto" w:before="36"/>
        <w:ind w:right="1314" w:firstLine="480"/>
        <w:jc w:val="left"/>
      </w:pPr>
      <w:r>
        <w:rPr>
          <w:spacing w:val="-3"/>
        </w:rPr>
        <w:t>从供应链上来看，供应链效率的提高是零售行业发展的关键。公司将依托苏宁易购</w:t>
      </w:r>
      <w:r>
        <w:rPr/>
        <w:t> </w:t>
      </w:r>
      <w:r>
        <w:rPr>
          <w:spacing w:val="-6"/>
        </w:rPr>
        <w:t>打造一个完全开放的平台，形成一个互为依托的企业发展生态圈。通过开放平台的建设，</w:t>
      </w:r>
      <w:r>
        <w:rPr>
          <w:spacing w:val="-98"/>
        </w:rPr>
        <w:t> </w:t>
      </w:r>
      <w:r>
        <w:rPr>
          <w:spacing w:val="-98"/>
        </w:rPr>
      </w:r>
      <w:r>
        <w:rPr>
          <w:spacing w:val="-3"/>
        </w:rPr>
        <w:t>消费者的需求、零供交易体系、供应商产品研发推广都将在一个极为透明、高效的信息</w:t>
      </w:r>
      <w:r>
        <w:rPr>
          <w:spacing w:val="-102"/>
        </w:rPr>
        <w:t> </w:t>
      </w:r>
      <w:r>
        <w:rPr>
          <w:spacing w:val="-102"/>
        </w:rPr>
      </w:r>
      <w:r>
        <w:rPr>
          <w:spacing w:val="-3"/>
        </w:rPr>
        <w:t>平台上进行展示和运行，供应链效益将会得到极大的提高。同时，在产品供应链不断完</w:t>
      </w:r>
      <w:r>
        <w:rPr>
          <w:spacing w:val="-100"/>
        </w:rPr>
        <w:t> </w:t>
      </w:r>
      <w:r>
        <w:rPr>
          <w:spacing w:val="-100"/>
        </w:rPr>
      </w:r>
      <w:r>
        <w:rPr>
          <w:spacing w:val="-3"/>
        </w:rPr>
        <w:t>善的同时，苏宁的内容供应链也将不断完善，这对服务的发展、虚拟产品的发展可以进</w:t>
      </w:r>
      <w:r>
        <w:rPr>
          <w:spacing w:val="-102"/>
        </w:rPr>
        <w:t> </w:t>
      </w:r>
      <w:r>
        <w:rPr>
          <w:spacing w:val="-102"/>
        </w:rPr>
      </w:r>
      <w:r>
        <w:rPr/>
        <w:t>行有效地支撑。</w:t>
      </w:r>
    </w:p>
    <w:p>
      <w:pPr>
        <w:pStyle w:val="BodyText"/>
        <w:spacing w:line="352" w:lineRule="auto" w:before="36"/>
        <w:ind w:right="1310" w:firstLine="480"/>
        <w:jc w:val="left"/>
      </w:pPr>
      <w:r>
        <w:rPr>
          <w:spacing w:val="-6"/>
        </w:rPr>
        <w:t>综上，从商业模式上来看，新的战略业务单元的组合形成了实体与线上“虚实互动”</w:t>
      </w:r>
      <w:r>
        <w:rPr/>
        <w:t> </w:t>
      </w:r>
      <w:r>
        <w:rPr>
          <w:spacing w:val="-6"/>
        </w:rPr>
        <w:t>的业务发展模式，而不是简单的互相竞争。从盈利模式上看，“旗舰店</w:t>
      </w:r>
      <w:r>
        <w:rPr>
          <w:rFonts w:ascii="Times New Roman" w:hAnsi="Times New Roman" w:cs="Times New Roman" w:eastAsia="Times New Roman" w:hint="default"/>
          <w:spacing w:val="-6"/>
        </w:rPr>
        <w:t>+</w:t>
      </w:r>
      <w:r>
        <w:rPr>
          <w:spacing w:val="-6"/>
        </w:rPr>
        <w:t>电子商务”的模</w:t>
      </w:r>
      <w:r>
        <w:rPr>
          <w:spacing w:val="-114"/>
        </w:rPr>
        <w:t> </w:t>
      </w:r>
      <w:r>
        <w:rPr>
          <w:spacing w:val="-114"/>
        </w:rPr>
      </w:r>
      <w:r>
        <w:rPr>
          <w:spacing w:val="-3"/>
        </w:rPr>
        <w:t>式可以有效地减少店面租金和人员费用等社会成本上升带来的压力，相比现有大量社区</w:t>
      </w:r>
      <w:r>
        <w:rPr>
          <w:spacing w:val="-98"/>
        </w:rPr>
        <w:t> </w:t>
      </w:r>
      <w:r>
        <w:rPr>
          <w:spacing w:val="-98"/>
        </w:rPr>
      </w:r>
      <w:r>
        <w:rPr>
          <w:spacing w:val="-3"/>
        </w:rPr>
        <w:t>店形成的销售规模，更具有规模效应和投入产出；而产品线的拓展也有效的提升了边际</w:t>
      </w:r>
      <w:r>
        <w:rPr>
          <w:spacing w:val="-98"/>
        </w:rPr>
        <w:t> </w:t>
      </w:r>
      <w:r>
        <w:rPr>
          <w:spacing w:val="-98"/>
        </w:rPr>
      </w:r>
      <w:r>
        <w:rPr/>
        <w:t>效应；同时服务内容的增加将会极大提高公司经营的附加值，提升盈利能力。</w:t>
      </w:r>
    </w:p>
    <w:p>
      <w:pPr>
        <w:pStyle w:val="BodyText"/>
        <w:spacing w:line="357" w:lineRule="auto" w:before="41"/>
        <w:ind w:right="1433" w:firstLine="480"/>
        <w:jc w:val="both"/>
      </w:pPr>
      <w:r>
        <w:rPr>
          <w:spacing w:val="-3"/>
        </w:rPr>
        <w:t>因此，苏宁易购的发展，并非因市场竞争因素被动实施，而是基于企业转型变革的</w:t>
      </w:r>
      <w:r>
        <w:rPr/>
        <w:t> </w:t>
      </w:r>
      <w:r>
        <w:rPr>
          <w:spacing w:val="-9"/>
        </w:rPr>
        <w:t>战略规划顺势而为，互联网的发展为公司提供了转型升级的机遇和平台。我们认为，“虚</w:t>
      </w:r>
      <w:r>
        <w:rPr>
          <w:spacing w:val="-99"/>
        </w:rPr>
        <w:t> </w:t>
      </w:r>
      <w:r>
        <w:rPr>
          <w:spacing w:val="-99"/>
        </w:rPr>
      </w:r>
      <w:r>
        <w:rPr>
          <w:spacing w:val="-3"/>
        </w:rPr>
        <w:t>实互动”的发展模式也是中国零售业转型升级的趋势，是中国乃至全球的所有行业都必</w:t>
      </w:r>
      <w:r>
        <w:rPr>
          <w:spacing w:val="-98"/>
        </w:rPr>
        <w:t> </w:t>
      </w:r>
      <w:r>
        <w:rPr>
          <w:spacing w:val="-98"/>
        </w:rPr>
      </w:r>
      <w:r>
        <w:rPr/>
        <w:t>须思考的问题。</w:t>
      </w:r>
    </w:p>
    <w:p>
      <w:pPr>
        <w:pStyle w:val="BodyText"/>
        <w:spacing w:line="352" w:lineRule="auto" w:before="36"/>
        <w:ind w:right="1296" w:firstLine="480"/>
        <w:jc w:val="left"/>
      </w:pPr>
      <w:r>
        <w:rPr>
          <w:spacing w:val="-3"/>
        </w:rPr>
        <w:t>短期来看，今年的家电市场环境不容乐观，对企业短期效益的实现也会带来一定的</w:t>
      </w:r>
      <w:r>
        <w:rPr/>
        <w:t> 压力。但企业的发展更应该立足长远。</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年，公司将更专注于新的业务架构的建设， </w:t>
      </w:r>
      <w:r>
        <w:rPr>
          <w:spacing w:val="-3"/>
        </w:rPr>
        <w:t>努力将公司带入新的发展轨道，以此打开苏宁全新的发展空间。苏宁的发展战略需要全</w:t>
      </w:r>
      <w:r>
        <w:rPr>
          <w:spacing w:val="-98"/>
        </w:rPr>
        <w:t> </w:t>
      </w:r>
      <w:r>
        <w:rPr>
          <w:spacing w:val="-98"/>
        </w:rPr>
      </w:r>
      <w:r>
        <w:rPr>
          <w:spacing w:val="-3"/>
        </w:rPr>
        <w:t>体苏宁员工团结一致努力拼搏，更需要广大合作伙伴的理解和参与，也需要投资者的信</w:t>
      </w:r>
      <w:r>
        <w:rPr>
          <w:spacing w:val="-98"/>
        </w:rPr>
        <w:t> </w:t>
      </w:r>
      <w:r>
        <w:rPr>
          <w:spacing w:val="-98"/>
        </w:rPr>
      </w:r>
      <w:r>
        <w:rPr>
          <w:spacing w:val="-3"/>
        </w:rPr>
        <w:t>任与支持，共同打造一个有利于苏宁长远发展、有利于合作伙伴合作共赢、有利于股东</w:t>
      </w:r>
      <w:r>
        <w:rPr>
          <w:spacing w:val="-103"/>
        </w:rPr>
        <w:t> </w:t>
      </w:r>
      <w:r>
        <w:rPr>
          <w:spacing w:val="-103"/>
        </w:rPr>
      </w:r>
      <w:r>
        <w:rPr/>
        <w:t>长期回报的生态圈。</w:t>
      </w:r>
    </w:p>
    <w:p>
      <w:pPr>
        <w:pStyle w:val="BodyText"/>
        <w:spacing w:line="338" w:lineRule="auto" w:before="41"/>
        <w:ind w:right="1314"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年，苏宁将继续践行公司规划，审时度势，积极进取，按以下的年度计划开 展工作：</w:t>
      </w:r>
    </w:p>
    <w:p>
      <w:pPr>
        <w:pStyle w:val="BodyText"/>
        <w:spacing w:line="240" w:lineRule="auto" w:before="55"/>
        <w:ind w:left="620" w:right="1314"/>
        <w:jc w:val="left"/>
      </w:pPr>
      <w:r>
        <w:rPr>
          <w:rFonts w:ascii="Times New Roman" w:hAnsi="Times New Roman" w:cs="Times New Roman" w:eastAsia="Times New Roman" w:hint="default"/>
        </w:rPr>
        <w:t>1</w:t>
      </w:r>
      <w:r>
        <w:rPr/>
        <w:t>、实体店平台开发</w:t>
      </w:r>
    </w:p>
    <w:p>
      <w:pPr>
        <w:pStyle w:val="BodyText"/>
        <w:spacing w:line="340" w:lineRule="auto"/>
        <w:ind w:left="620" w:right="1314" w:firstLine="6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大陆市场 </w:t>
      </w:r>
      <w:r>
        <w:rPr>
          <w:spacing w:val="-3"/>
        </w:rPr>
        <w:t>公司继续运用“租、建、购、并”并行的连锁发展策略，充分研究市场特点，继续</w:t>
      </w:r>
    </w:p>
    <w:p>
      <w:pPr>
        <w:pStyle w:val="BodyText"/>
        <w:spacing w:line="357" w:lineRule="auto" w:before="53"/>
        <w:ind w:right="1314"/>
        <w:jc w:val="left"/>
      </w:pPr>
      <w:r>
        <w:rPr>
          <w:spacing w:val="-6"/>
        </w:rPr>
        <w:t>推进“旗舰店战略”，加快核心区域自建店布局建设，推进乐购仕生活广场的快速开发，</w:t>
      </w:r>
      <w:r>
        <w:rPr>
          <w:spacing w:val="-100"/>
        </w:rPr>
        <w:t> </w:t>
      </w:r>
      <w:r>
        <w:rPr>
          <w:spacing w:val="-100"/>
        </w:rPr>
      </w:r>
      <w:r>
        <w:rPr/>
        <w:t>计划</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年公司新进入</w:t>
      </w:r>
      <w:r>
        <w:rPr>
          <w:spacing w:val="-58"/>
        </w:rPr>
        <w:t> </w:t>
      </w:r>
      <w:r>
        <w:rPr>
          <w:rFonts w:ascii="Times New Roman" w:hAnsi="Times New Roman" w:cs="Times New Roman" w:eastAsia="Times New Roman" w:hint="default"/>
        </w:rPr>
        <w:t>39</w:t>
      </w:r>
      <w:r>
        <w:rPr>
          <w:rFonts w:ascii="Times New Roman" w:hAnsi="Times New Roman" w:cs="Times New Roman" w:eastAsia="Times New Roman" w:hint="default"/>
          <w:spacing w:val="2"/>
        </w:rPr>
        <w:t> </w:t>
      </w:r>
      <w:r>
        <w:rPr>
          <w:spacing w:val="-4"/>
        </w:rPr>
        <w:t>个地级城市，新开各类连锁店</w:t>
      </w:r>
      <w:r>
        <w:rPr>
          <w:spacing w:val="-58"/>
        </w:rPr>
        <w:t> </w:t>
      </w:r>
      <w:r>
        <w:rPr>
          <w:rFonts w:ascii="Times New Roman" w:hAnsi="Times New Roman" w:cs="Times New Roman" w:eastAsia="Times New Roman" w:hint="default"/>
        </w:rPr>
        <w:t>416</w:t>
      </w:r>
      <w:r>
        <w:rPr>
          <w:rFonts w:ascii="Times New Roman" w:hAnsi="Times New Roman" w:cs="Times New Roman" w:eastAsia="Times New Roman" w:hint="default"/>
          <w:spacing w:val="2"/>
        </w:rPr>
        <w:t> </w:t>
      </w:r>
      <w:r>
        <w:rPr>
          <w:spacing w:val="-5"/>
        </w:rPr>
        <w:t>家。在继续保持较快开店</w:t>
      </w:r>
    </w:p>
    <w:p>
      <w:pPr>
        <w:spacing w:after="0" w:line="357" w:lineRule="auto"/>
        <w:jc w:val="left"/>
        <w:sectPr>
          <w:footerReference w:type="default" r:id="rId44"/>
          <w:pgSz w:w="11910" w:h="16840"/>
          <w:pgMar w:footer="1117" w:header="748" w:top="980" w:bottom="1300" w:left="1300" w:right="0"/>
          <w:pgNumType w:start="58"/>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质量的提升。</w:t>
      </w:r>
    </w:p>
    <w:p>
      <w:pPr>
        <w:pStyle w:val="BodyText"/>
        <w:tabs>
          <w:tab w:pos="1040" w:val="left" w:leader="none"/>
        </w:tabs>
        <w:spacing w:line="338" w:lineRule="auto" w:before="154"/>
        <w:ind w:left="620" w:right="143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Expo</w:t>
      </w:r>
      <w:r>
        <w:rPr>
          <w:rFonts w:ascii="Times New Roman" w:hAnsi="Times New Roman" w:cs="Times New Roman" w:eastAsia="Times New Roman" w:hint="default"/>
          <w:spacing w:val="1"/>
        </w:rPr>
        <w:t> </w:t>
      </w:r>
      <w:r>
        <w:rPr/>
        <w:t>超级旗舰店开发 一二级市场消费升级趋势明显，公司将继续加大一、二级市场核心区域</w:t>
      </w:r>
      <w:r>
        <w:rPr>
          <w:spacing w:val="-60"/>
        </w:rPr>
        <w:t> </w:t>
      </w:r>
      <w:r>
        <w:rPr>
          <w:rFonts w:ascii="Times New Roman" w:hAnsi="Times New Roman" w:cs="Times New Roman" w:eastAsia="Times New Roman" w:hint="default"/>
        </w:rPr>
        <w:t>Expo </w:t>
      </w:r>
      <w:r>
        <w:rPr/>
        <w:t>超级</w:t>
      </w:r>
    </w:p>
    <w:p>
      <w:pPr>
        <w:pStyle w:val="BodyText"/>
        <w:spacing w:line="338" w:lineRule="auto" w:before="27"/>
        <w:ind w:right="1433"/>
        <w:jc w:val="both"/>
      </w:pPr>
      <w:r>
        <w:rPr/>
        <w:t>旗舰店的开设，并对已有经营成熟的潜力店面进行升级改造，促进</w:t>
      </w:r>
      <w:r>
        <w:rPr>
          <w:spacing w:val="-59"/>
        </w:rPr>
        <w:t> </w:t>
      </w:r>
      <w:r>
        <w:rPr>
          <w:rFonts w:ascii="Times New Roman" w:hAnsi="Times New Roman" w:cs="Times New Roman" w:eastAsia="Times New Roman" w:hint="default"/>
        </w:rPr>
        <w:t>Expo </w:t>
      </w:r>
      <w:r>
        <w:rPr/>
        <w:t>超级旗舰店标 准的推广。</w:t>
      </w:r>
    </w:p>
    <w:p>
      <w:pPr>
        <w:pStyle w:val="BodyText"/>
        <w:tabs>
          <w:tab w:pos="1040" w:val="left" w:leader="none"/>
        </w:tabs>
        <w:spacing w:line="338" w:lineRule="auto" w:before="55"/>
        <w:ind w:left="620" w:right="143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常规店、县镇店开发 </w:t>
      </w:r>
      <w:r>
        <w:rPr>
          <w:spacing w:val="-10"/>
        </w:rPr>
        <w:t>常规店开发继续实施“地区攻略”、“旗舰店攻略”，加大对一二级市场空白商圈和</w:t>
      </w:r>
    </w:p>
    <w:p>
      <w:pPr>
        <w:pStyle w:val="BodyText"/>
        <w:spacing w:line="357" w:lineRule="auto" w:before="56"/>
        <w:ind w:right="1440"/>
        <w:jc w:val="both"/>
      </w:pPr>
      <w:r>
        <w:rPr>
          <w:spacing w:val="-3"/>
        </w:rPr>
        <w:t>新兴商圈的覆盖，重点加强旗舰店开发和升级改造，在北京、上海、广州、深圳等特大</w:t>
      </w:r>
      <w:r>
        <w:rPr>
          <w:spacing w:val="-103"/>
        </w:rPr>
        <w:t> </w:t>
      </w:r>
      <w:r>
        <w:rPr>
          <w:spacing w:val="-103"/>
        </w:rPr>
      </w:r>
      <w:r>
        <w:rPr/>
        <w:t>型城市，合理有效的控制社区店的发展。</w:t>
      </w:r>
    </w:p>
    <w:p>
      <w:pPr>
        <w:pStyle w:val="BodyText"/>
        <w:spacing w:line="357" w:lineRule="auto" w:before="36"/>
        <w:ind w:right="1436" w:firstLine="480"/>
        <w:jc w:val="left"/>
      </w:pPr>
      <w:r>
        <w:rPr>
          <w:spacing w:val="-3"/>
        </w:rPr>
        <w:t>实施组织扁平化，提升二级市场公司的管理能力，结合区域特点、物流服务能力等</w:t>
      </w:r>
      <w:r>
        <w:rPr/>
        <w:t> 采用常规店与县镇店相结合的模式推进三、四级市场连锁拓展。</w:t>
      </w:r>
    </w:p>
    <w:p>
      <w:pPr>
        <w:pStyle w:val="BodyText"/>
        <w:tabs>
          <w:tab w:pos="1040" w:val="left" w:leader="none"/>
        </w:tabs>
        <w:spacing w:line="338" w:lineRule="auto" w:before="36"/>
        <w:ind w:left="610" w:right="1434" w:firstLine="9"/>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自建店开发 </w:t>
      </w:r>
      <w:r>
        <w:rPr>
          <w:spacing w:val="-3"/>
        </w:rPr>
        <w:t>加快落实已有自建店项目建设，严格根据项目开发规划、设计、施工、装潢等各项</w:t>
      </w:r>
    </w:p>
    <w:p>
      <w:pPr>
        <w:pStyle w:val="BodyText"/>
        <w:spacing w:line="357" w:lineRule="auto" w:before="55"/>
        <w:ind w:right="1433"/>
        <w:jc w:val="both"/>
      </w:pPr>
      <w:r>
        <w:rPr>
          <w:spacing w:val="-3"/>
        </w:rPr>
        <w:t>标准推进项目进度，并在人力、资金、物资等方面保障自建店项目的资源需求。与此同</w:t>
      </w:r>
      <w:r>
        <w:rPr>
          <w:spacing w:val="-96"/>
        </w:rPr>
        <w:t> </w:t>
      </w:r>
      <w:r>
        <w:rPr>
          <w:spacing w:val="-96"/>
        </w:rPr>
      </w:r>
      <w:r>
        <w:rPr>
          <w:spacing w:val="-3"/>
        </w:rPr>
        <w:t>时，继续加强与全国性商业地产公司在定制开发等方面的合作力度，加快储备优质连锁</w:t>
      </w:r>
      <w:r>
        <w:rPr>
          <w:spacing w:val="-99"/>
        </w:rPr>
        <w:t> </w:t>
      </w:r>
      <w:r>
        <w:rPr>
          <w:spacing w:val="-99"/>
        </w:rPr>
      </w:r>
      <w:r>
        <w:rPr/>
        <w:t>店资源。</w:t>
      </w:r>
    </w:p>
    <w:p>
      <w:pPr>
        <w:pStyle w:val="BodyText"/>
        <w:tabs>
          <w:tab w:pos="1040" w:val="left" w:leader="none"/>
        </w:tabs>
        <w:spacing w:line="240" w:lineRule="auto" w:before="36"/>
        <w:ind w:left="620" w:right="1314"/>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乐购仕生活广场开发</w:t>
      </w:r>
    </w:p>
    <w:p>
      <w:pPr>
        <w:pStyle w:val="BodyText"/>
        <w:spacing w:line="350" w:lineRule="auto" w:before="137"/>
        <w:ind w:right="1435"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年，乐购仕将在南京银河店成功开设的基础上，向一线核心城市迅速推广综 </w:t>
      </w:r>
      <w:r>
        <w:rPr>
          <w:spacing w:val="-3"/>
        </w:rPr>
        <w:t>合购物广场模式，继续积累公司在新品牌、新业态运作方面的经验，促进公司对店面运</w:t>
      </w:r>
      <w:r>
        <w:rPr>
          <w:spacing w:val="-102"/>
        </w:rPr>
        <w:t> </w:t>
      </w:r>
      <w:r>
        <w:rPr>
          <w:spacing w:val="-102"/>
        </w:rPr>
      </w:r>
      <w:r>
        <w:rPr>
          <w:spacing w:val="-3"/>
        </w:rPr>
        <w:t>营、商品规划、服务品质等方面能力的提升。全年计划在北京、上海、广州、杭州等城</w:t>
      </w:r>
      <w:r>
        <w:rPr>
          <w:spacing w:val="-99"/>
        </w:rPr>
        <w:t> </w:t>
      </w:r>
      <w:r>
        <w:rPr>
          <w:spacing w:val="-99"/>
        </w:rPr>
      </w:r>
      <w:r>
        <w:rPr/>
        <w:t>市新开</w:t>
      </w:r>
      <w:r>
        <w:rPr>
          <w:spacing w:val="-61"/>
        </w:rPr>
        <w:t> </w:t>
      </w:r>
      <w:r>
        <w:rPr>
          <w:rFonts w:ascii="Times New Roman" w:hAnsi="Times New Roman" w:cs="Times New Roman" w:eastAsia="Times New Roman" w:hint="default"/>
        </w:rPr>
        <w:t>18 </w:t>
      </w:r>
      <w:r>
        <w:rPr/>
        <w:t>家乐购仕生活广场店，迅速抢占发达城市差异化市场需求。</w:t>
      </w:r>
    </w:p>
    <w:p>
      <w:pPr>
        <w:pStyle w:val="BodyText"/>
        <w:spacing w:line="240" w:lineRule="auto" w:before="13"/>
        <w:ind w:left="680" w:right="1314"/>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海外市场</w:t>
      </w:r>
    </w:p>
    <w:p>
      <w:pPr>
        <w:pStyle w:val="BodyText"/>
        <w:spacing w:line="240" w:lineRule="auto" w:before="137"/>
        <w:ind w:left="680" w:right="1314"/>
        <w:jc w:val="left"/>
      </w:pPr>
      <w:r>
        <w:rPr>
          <w:rFonts w:ascii="Wingdings" w:hAnsi="Wingdings" w:cs="Wingdings" w:eastAsia="Wingdings" w:hint="default"/>
        </w:rPr>
        <w:t></w:t>
      </w:r>
      <w:r>
        <w:rPr>
          <w:rFonts w:ascii="Wingdings" w:hAnsi="Wingdings" w:cs="Wingdings" w:eastAsia="Wingdings" w:hint="default"/>
          <w:spacing w:val="-132"/>
        </w:rPr>
        <w:t></w:t>
      </w:r>
      <w:r>
        <w:rPr>
          <w:rFonts w:ascii="Times New Roman" w:hAnsi="Times New Roman" w:cs="Times New Roman" w:eastAsia="Times New Roman" w:hint="default"/>
          <w:spacing w:val="-132"/>
        </w:rPr>
      </w:r>
      <w:r>
        <w:rPr/>
        <w:t>香港地区发展展望</w:t>
      </w:r>
    </w:p>
    <w:p>
      <w:pPr>
        <w:pStyle w:val="BodyText"/>
        <w:spacing w:line="338" w:lineRule="auto" w:before="137"/>
        <w:ind w:right="1313"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年，香港地区在进一步加强与总部管理协同的基础上，将继续优化产品结构， 提升毛利率水平，增强单店经营效率；</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年，公司香港地区计划全年新开店面</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家， 进一步完善香港地区的连锁网络，提升销售规模和市场份额。</w:t>
      </w:r>
    </w:p>
    <w:p>
      <w:pPr>
        <w:pStyle w:val="BodyText"/>
        <w:spacing w:line="240" w:lineRule="auto" w:before="55"/>
        <w:ind w:left="680" w:right="1314"/>
        <w:jc w:val="left"/>
      </w:pPr>
      <w:r>
        <w:rPr>
          <w:rFonts w:ascii="Wingdings" w:hAnsi="Wingdings" w:cs="Wingdings" w:eastAsia="Wingdings" w:hint="default"/>
        </w:rPr>
        <w:t></w:t>
      </w:r>
      <w:r>
        <w:rPr>
          <w:rFonts w:ascii="Wingdings" w:hAnsi="Wingdings" w:cs="Wingdings" w:eastAsia="Wingdings" w:hint="default"/>
          <w:spacing w:val="-132"/>
        </w:rPr>
        <w:t></w:t>
      </w:r>
      <w:r>
        <w:rPr>
          <w:rFonts w:ascii="Times New Roman" w:hAnsi="Times New Roman" w:cs="Times New Roman" w:eastAsia="Times New Roman" w:hint="default"/>
          <w:spacing w:val="-132"/>
        </w:rPr>
      </w:r>
      <w:r>
        <w:rPr/>
        <w:t>日本市场发展展望</w:t>
      </w:r>
    </w:p>
    <w:p>
      <w:pPr>
        <w:pStyle w:val="BodyText"/>
        <w:spacing w:line="240" w:lineRule="auto" w:before="137"/>
        <w:ind w:left="620" w:right="1314"/>
        <w:jc w:val="left"/>
      </w:pP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LAOX</w:t>
      </w:r>
      <w:r>
        <w:rPr>
          <w:rFonts w:ascii="Times New Roman" w:hAnsi="Times New Roman" w:cs="Times New Roman" w:eastAsia="Times New Roman" w:hint="default"/>
          <w:spacing w:val="20"/>
        </w:rPr>
        <w:t> </w:t>
      </w:r>
      <w:r>
        <w:rPr/>
        <w:t>公司将进一步优化连锁店布局，增加连锁店数量以提升家电市场</w:t>
      </w:r>
    </w:p>
    <w:p>
      <w:pPr>
        <w:pStyle w:val="BodyText"/>
        <w:spacing w:line="240" w:lineRule="auto"/>
        <w:ind w:right="0"/>
        <w:jc w:val="both"/>
      </w:pPr>
      <w:r>
        <w:rPr/>
        <w:t>份额，全年规划新开店面</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w:t>
      </w:r>
    </w:p>
    <w:p>
      <w:pPr>
        <w:pStyle w:val="BodyText"/>
        <w:spacing w:line="240" w:lineRule="auto"/>
        <w:ind w:left="620" w:right="1314"/>
        <w:jc w:val="left"/>
      </w:pPr>
      <w:r>
        <w:rPr>
          <w:rFonts w:ascii="Times New Roman" w:hAnsi="Times New Roman" w:cs="Times New Roman" w:eastAsia="Times New Roman" w:hint="default"/>
        </w:rPr>
        <w:t>2</w:t>
      </w:r>
      <w:r>
        <w:rPr/>
        <w:t>、苏宁易购平台发展</w:t>
      </w:r>
    </w:p>
    <w:p>
      <w:pPr>
        <w:pStyle w:val="BodyText"/>
        <w:spacing w:line="240" w:lineRule="auto"/>
        <w:ind w:left="560" w:right="131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3"/>
        </w:rPr>
        <w:t>年，苏宁易购升级为与公司六大管理总部平行的战略业务单元，将继续优化组</w:t>
      </w:r>
    </w:p>
    <w:p>
      <w:pPr>
        <w:spacing w:after="0" w:line="240" w:lineRule="auto"/>
        <w:jc w:val="left"/>
        <w:sectPr>
          <w:footerReference w:type="default" r:id="rId45"/>
          <w:pgSz w:w="11910" w:h="16840"/>
          <w:pgMar w:footer="844" w:header="748" w:top="980" w:bottom="1040" w:left="1300" w:right="0"/>
          <w:pgNumType w:start="59"/>
        </w:sectPr>
      </w:pPr>
    </w:p>
    <w:p>
      <w:pPr>
        <w:spacing w:line="240" w:lineRule="auto" w:before="6"/>
        <w:rPr>
          <w:rFonts w:ascii="宋体" w:hAnsi="宋体" w:cs="宋体" w:eastAsia="宋体" w:hint="default"/>
          <w:sz w:val="29"/>
          <w:szCs w:val="29"/>
        </w:rPr>
      </w:pPr>
    </w:p>
    <w:p>
      <w:pPr>
        <w:pStyle w:val="BodyText"/>
        <w:spacing w:line="348" w:lineRule="auto" w:before="26"/>
        <w:ind w:left="100" w:right="1433"/>
        <w:jc w:val="both"/>
      </w:pPr>
      <w:r>
        <w:rPr/>
        <w:t>织架构，加大专业人才的引进力度，进行信息平台升级、做好用户体验细节，拓展产品</w:t>
      </w:r>
      <w:r>
        <w:rPr>
          <w:spacing w:val="-45"/>
        </w:rPr>
        <w:t> </w:t>
      </w:r>
      <w:r>
        <w:rPr/>
        <w:t>品类及服务内容，打造“让网购更享受”的综合网络购物平台。</w:t>
      </w:r>
      <w:r>
        <w:rPr>
          <w:rFonts w:ascii="Times New Roman" w:hAnsi="Times New Roman" w:cs="Times New Roman" w:eastAsia="Times New Roman" w:hint="default"/>
        </w:rPr>
        <w:t>2012</w:t>
      </w:r>
      <w:r>
        <w:rPr>
          <w:rFonts w:ascii="Times New Roman" w:hAnsi="Times New Roman" w:cs="Times New Roman" w:eastAsia="Times New Roman" w:hint="default"/>
          <w:spacing w:val="31"/>
        </w:rPr>
        <w:t> </w:t>
      </w:r>
      <w:r>
        <w:rPr/>
        <w:t>年力争实现销售规 模</w:t>
      </w:r>
      <w:r>
        <w:rPr>
          <w:spacing w:val="-61"/>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亿元，冲刺</w:t>
      </w:r>
      <w:r>
        <w:rPr>
          <w:spacing w:val="-61"/>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亿元。</w:t>
      </w:r>
    </w:p>
    <w:p>
      <w:pPr>
        <w:pStyle w:val="BodyText"/>
        <w:spacing w:line="240" w:lineRule="auto" w:before="16"/>
        <w:ind w:left="760" w:right="0"/>
        <w:jc w:val="left"/>
      </w:pPr>
      <w:r>
        <w:rPr>
          <w:rFonts w:ascii="Times New Roman" w:hAnsi="Times New Roman" w:cs="Times New Roman" w:eastAsia="Times New Roman" w:hint="default"/>
        </w:rPr>
        <w:t>3</w:t>
      </w:r>
      <w:r>
        <w:rPr/>
        <w:t>、营销创新</w:t>
      </w:r>
    </w:p>
    <w:p>
      <w:pPr>
        <w:pStyle w:val="BodyText"/>
        <w:spacing w:line="240" w:lineRule="auto"/>
        <w:ind w:left="820" w:right="0"/>
        <w:jc w:val="left"/>
      </w:pP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构建大采购平台、优化采购职能</w:t>
      </w:r>
    </w:p>
    <w:p>
      <w:pPr>
        <w:pStyle w:val="BodyText"/>
        <w:spacing w:line="338" w:lineRule="auto" w:before="137"/>
        <w:ind w:left="280" w:right="1437" w:firstLine="540"/>
        <w:jc w:val="both"/>
      </w:pPr>
      <w:r>
        <w:rPr>
          <w:rFonts w:ascii="Wingdings" w:hAnsi="Wingdings" w:cs="Wingdings" w:eastAsia="Wingdings" w:hint="default"/>
        </w:rPr>
        <w:t></w:t>
      </w:r>
      <w:r>
        <w:rPr>
          <w:rFonts w:ascii="Wingdings" w:hAnsi="Wingdings" w:cs="Wingdings" w:eastAsia="Wingdings" w:hint="default"/>
          <w:spacing w:val="-107"/>
        </w:rPr>
        <w:t></w:t>
      </w:r>
      <w:r>
        <w:rPr>
          <w:rFonts w:ascii="Times New Roman" w:hAnsi="Times New Roman" w:cs="Times New Roman" w:eastAsia="Times New Roman" w:hint="default"/>
          <w:spacing w:val="-107"/>
        </w:rPr>
      </w:r>
      <w:r>
        <w:rPr/>
        <w:t>依托规模化和专业化的云资源网络，打造信息、渠道、服务、推广四大功能模 块，整合自有资源和社会资源，打造大采购平台，充分挖掘平台资源。</w:t>
      </w:r>
    </w:p>
    <w:p>
      <w:pPr>
        <w:pStyle w:val="BodyText"/>
        <w:spacing w:line="338" w:lineRule="auto" w:before="56"/>
        <w:ind w:left="280" w:right="1436" w:firstLine="540"/>
        <w:jc w:val="both"/>
      </w:pPr>
      <w:r>
        <w:rPr>
          <w:rFonts w:ascii="Wingdings" w:hAnsi="Wingdings" w:cs="Wingdings" w:eastAsia="Wingdings" w:hint="default"/>
        </w:rPr>
        <w:t></w:t>
      </w:r>
      <w:r>
        <w:rPr>
          <w:rFonts w:ascii="Wingdings" w:hAnsi="Wingdings" w:cs="Wingdings" w:eastAsia="Wingdings" w:hint="default"/>
          <w:spacing w:val="-106"/>
        </w:rPr>
        <w:t></w:t>
      </w:r>
      <w:r>
        <w:rPr>
          <w:rFonts w:ascii="Times New Roman" w:hAnsi="Times New Roman" w:cs="Times New Roman" w:eastAsia="Times New Roman" w:hint="default"/>
          <w:spacing w:val="-106"/>
        </w:rPr>
      </w:r>
      <w:r>
        <w:rPr/>
        <w:t>以商品研究为核心，深入研究行业及消费品特性，区别市场、细分顾客，提供 消费者需要的商品，强化采购经营能力。</w:t>
      </w:r>
    </w:p>
    <w:p>
      <w:pPr>
        <w:pStyle w:val="BodyText"/>
        <w:spacing w:line="348" w:lineRule="auto" w:before="55"/>
        <w:ind w:left="280" w:right="1436" w:firstLine="540"/>
        <w:jc w:val="both"/>
      </w:pPr>
      <w:r>
        <w:rPr>
          <w:rFonts w:ascii="Wingdings" w:hAnsi="Wingdings" w:cs="Wingdings" w:eastAsia="Wingdings" w:hint="default"/>
        </w:rPr>
        <w:t></w:t>
      </w:r>
      <w:r>
        <w:rPr>
          <w:rFonts w:ascii="Wingdings" w:hAnsi="Wingdings" w:cs="Wingdings" w:eastAsia="Wingdings" w:hint="default"/>
          <w:spacing w:val="-106"/>
        </w:rPr>
        <w:t></w:t>
      </w:r>
      <w:r>
        <w:rPr>
          <w:rFonts w:ascii="Times New Roman" w:hAnsi="Times New Roman" w:cs="Times New Roman" w:eastAsia="Times New Roman" w:hint="default"/>
          <w:spacing w:val="-106"/>
        </w:rPr>
      </w:r>
      <w:r>
        <w:rPr/>
        <w:t>以组织架构调整为契机，增设百货和图书、虚拟和金融、商业项目、行政和售 </w:t>
      </w:r>
      <w:r>
        <w:rPr>
          <w:spacing w:val="-3"/>
        </w:rPr>
        <w:t>后、新品类拓展等多事业群，建立完整的产品拓展思路，制定统一的流程和标准进行管</w:t>
      </w:r>
      <w:r>
        <w:rPr>
          <w:spacing w:val="-101"/>
        </w:rPr>
        <w:t> </w:t>
      </w:r>
      <w:r>
        <w:rPr>
          <w:spacing w:val="-101"/>
        </w:rPr>
      </w:r>
      <w:r>
        <w:rPr/>
        <w:t>理。</w:t>
      </w:r>
    </w:p>
    <w:p>
      <w:pPr>
        <w:pStyle w:val="BodyText"/>
        <w:spacing w:line="348" w:lineRule="auto" w:before="46"/>
        <w:ind w:left="280" w:right="1436" w:firstLine="540"/>
        <w:jc w:val="both"/>
      </w:pPr>
      <w:r>
        <w:rPr>
          <w:rFonts w:ascii="Wingdings" w:hAnsi="Wingdings" w:cs="Wingdings" w:eastAsia="Wingdings" w:hint="default"/>
        </w:rPr>
        <w:t></w:t>
      </w:r>
      <w:r>
        <w:rPr>
          <w:rFonts w:ascii="Wingdings" w:hAnsi="Wingdings" w:cs="Wingdings" w:eastAsia="Wingdings" w:hint="default"/>
          <w:spacing w:val="-108"/>
        </w:rPr>
        <w:t></w:t>
      </w:r>
      <w:r>
        <w:rPr>
          <w:rFonts w:ascii="Times New Roman" w:hAnsi="Times New Roman" w:cs="Times New Roman" w:eastAsia="Times New Roman" w:hint="default"/>
          <w:spacing w:val="-108"/>
        </w:rPr>
      </w:r>
      <w:r>
        <w:rPr/>
        <w:t>以销售达成为目的，实施采销分离，提升专业性的同时加强合作。采购是运营 </w:t>
      </w:r>
      <w:r>
        <w:rPr>
          <w:spacing w:val="-4"/>
        </w:rPr>
        <w:t>的上游，服务于运营，同时从品类趋势、品牌策略、单品销售等方面统领指导运营，建</w:t>
      </w:r>
      <w:r>
        <w:rPr>
          <w:spacing w:val="-84"/>
        </w:rPr>
        <w:t> </w:t>
      </w:r>
      <w:r>
        <w:rPr>
          <w:spacing w:val="-84"/>
        </w:rPr>
      </w:r>
      <w:r>
        <w:rPr/>
        <w:t>立统领运营能力。</w:t>
      </w:r>
    </w:p>
    <w:p>
      <w:pPr>
        <w:pStyle w:val="BodyText"/>
        <w:spacing w:line="240" w:lineRule="auto" w:before="166"/>
        <w:ind w:left="820"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建立高效协同的供应链管理</w:t>
      </w:r>
    </w:p>
    <w:p>
      <w:pPr>
        <w:pStyle w:val="BodyText"/>
        <w:spacing w:line="338" w:lineRule="auto" w:before="137"/>
        <w:ind w:left="280" w:right="1302" w:firstLine="540"/>
        <w:jc w:val="left"/>
      </w:pPr>
      <w:r>
        <w:rPr>
          <w:rFonts w:ascii="Wingdings" w:hAnsi="Wingdings" w:cs="Wingdings" w:eastAsia="Wingdings" w:hint="default"/>
        </w:rPr>
        <w:t></w:t>
      </w:r>
      <w:r>
        <w:rPr>
          <w:rFonts w:ascii="Wingdings" w:hAnsi="Wingdings" w:cs="Wingdings" w:eastAsia="Wingdings" w:hint="default"/>
          <w:spacing w:val="-119"/>
        </w:rPr>
        <w:t></w:t>
      </w:r>
      <w:r>
        <w:rPr>
          <w:rFonts w:ascii="Times New Roman" w:hAnsi="Times New Roman" w:cs="Times New Roman" w:eastAsia="Times New Roman" w:hint="default"/>
          <w:spacing w:val="-119"/>
        </w:rPr>
      </w:r>
      <w:r>
        <w:rPr>
          <w:spacing w:val="-3"/>
        </w:rPr>
        <w:t>建立与供应商高层定期互访和营销团队定期沟通机制，通过采购利润增长计划，</w:t>
      </w:r>
      <w:r>
        <w:rPr/>
        <w:t> 培育战略性零供合作，同时加强与供应商的联合交流和培训。</w:t>
      </w:r>
    </w:p>
    <w:p>
      <w:pPr>
        <w:pStyle w:val="BodyText"/>
        <w:spacing w:line="338" w:lineRule="auto" w:before="55"/>
        <w:ind w:left="280" w:right="1423" w:firstLine="540"/>
        <w:jc w:val="left"/>
      </w:pPr>
      <w:r>
        <w:rPr>
          <w:rFonts w:ascii="Wingdings" w:hAnsi="Wingdings" w:cs="Wingdings" w:eastAsia="Wingdings" w:hint="default"/>
        </w:rPr>
        <w:t></w:t>
      </w:r>
      <w:r>
        <w:rPr>
          <w:rFonts w:ascii="Wingdings" w:hAnsi="Wingdings" w:cs="Wingdings" w:eastAsia="Wingdings" w:hint="default"/>
          <w:spacing w:val="-133"/>
        </w:rPr>
        <w:t></w:t>
      </w:r>
      <w:r>
        <w:rPr>
          <w:rFonts w:ascii="Times New Roman" w:hAnsi="Times New Roman" w:cs="Times New Roman" w:eastAsia="Times New Roman" w:hint="default"/>
          <w:spacing w:val="-133"/>
        </w:rPr>
      </w:r>
      <w:r>
        <w:rPr/>
        <w:t>通过系统直连、</w:t>
      </w:r>
      <w:r>
        <w:rPr>
          <w:rFonts w:ascii="Times New Roman" w:hAnsi="Times New Roman" w:cs="Times New Roman" w:eastAsia="Times New Roman" w:hint="default"/>
        </w:rPr>
        <w:t>SCS</w:t>
      </w:r>
      <w:r>
        <w:rPr>
          <w:rFonts w:ascii="Times New Roman" w:hAnsi="Times New Roman" w:cs="Times New Roman" w:eastAsia="Times New Roman" w:hint="default"/>
          <w:spacing w:val="21"/>
        </w:rPr>
        <w:t> </w:t>
      </w:r>
      <w:r>
        <w:rPr/>
        <w:t>平台等系统对接，强化数据信息开放共享，积极推进协同 预测系统，整合上下游供应链资源，提升货源供应的精准度和供应链协同效率。</w:t>
      </w:r>
    </w:p>
    <w:p>
      <w:pPr>
        <w:pStyle w:val="BodyText"/>
        <w:spacing w:line="338" w:lineRule="auto" w:before="56"/>
        <w:ind w:left="280" w:right="1301" w:firstLine="540"/>
        <w:jc w:val="left"/>
      </w:pPr>
      <w:r>
        <w:rPr>
          <w:rFonts w:ascii="Wingdings" w:hAnsi="Wingdings" w:cs="Wingdings" w:eastAsia="Wingdings" w:hint="default"/>
        </w:rPr>
        <w:t></w:t>
      </w:r>
      <w:r>
        <w:rPr>
          <w:rFonts w:ascii="Wingdings" w:hAnsi="Wingdings" w:cs="Wingdings" w:eastAsia="Wingdings" w:hint="default"/>
          <w:spacing w:val="-118"/>
        </w:rPr>
        <w:t></w:t>
      </w:r>
      <w:r>
        <w:rPr>
          <w:rFonts w:ascii="Times New Roman" w:hAnsi="Times New Roman" w:cs="Times New Roman" w:eastAsia="Times New Roman" w:hint="default"/>
          <w:spacing w:val="-118"/>
        </w:rPr>
      </w:r>
      <w:r>
        <w:rPr>
          <w:spacing w:val="-3"/>
        </w:rPr>
        <w:t>进一步完善新供应商及品牌引进标准、流程，推进供应商及品牌评估机制建立，</w:t>
      </w:r>
      <w:r>
        <w:rPr/>
        <w:t> 推进供应商引进系统上线，实现公开化、流程化、标准化操作。</w:t>
      </w:r>
    </w:p>
    <w:p>
      <w:pPr>
        <w:pStyle w:val="BodyText"/>
        <w:spacing w:line="240" w:lineRule="auto" w:before="175"/>
        <w:ind w:left="820" w:right="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提升自主营销能力</w:t>
      </w:r>
    </w:p>
    <w:p>
      <w:pPr>
        <w:pStyle w:val="BodyText"/>
        <w:spacing w:line="338" w:lineRule="auto" w:before="137"/>
        <w:ind w:left="280" w:right="1426" w:firstLine="540"/>
        <w:jc w:val="left"/>
      </w:pPr>
      <w:r>
        <w:rPr>
          <w:rFonts w:ascii="Wingdings" w:hAnsi="Wingdings" w:cs="Wingdings" w:eastAsia="Wingdings" w:hint="default"/>
        </w:rPr>
        <w:t></w:t>
      </w:r>
      <w:r>
        <w:rPr>
          <w:rFonts w:ascii="Wingdings" w:hAnsi="Wingdings" w:cs="Wingdings" w:eastAsia="Wingdings" w:hint="default"/>
          <w:spacing w:val="-108"/>
        </w:rPr>
        <w:t></w:t>
      </w:r>
      <w:r>
        <w:rPr>
          <w:rFonts w:ascii="Times New Roman" w:hAnsi="Times New Roman" w:cs="Times New Roman" w:eastAsia="Times New Roman" w:hint="default"/>
          <w:spacing w:val="-108"/>
        </w:rPr>
      </w:r>
      <w:r>
        <w:rPr/>
        <w:t>以市场开拓为方向，逐步建立自主采购、自主销售的能力，不断开拓新业务， 开辟新市场，开创商品采购多元化格局，建立采购创新能力。</w:t>
      </w:r>
    </w:p>
    <w:p>
      <w:pPr>
        <w:pStyle w:val="BodyText"/>
        <w:spacing w:line="338" w:lineRule="auto" w:before="55"/>
        <w:ind w:left="280" w:right="1427" w:firstLine="540"/>
        <w:jc w:val="left"/>
      </w:pPr>
      <w:r>
        <w:rPr>
          <w:rFonts w:ascii="Wingdings" w:hAnsi="Wingdings" w:cs="Wingdings" w:eastAsia="Wingdings" w:hint="default"/>
        </w:rPr>
        <w:t></w:t>
      </w:r>
      <w:r>
        <w:rPr>
          <w:rFonts w:ascii="Wingdings" w:hAnsi="Wingdings" w:cs="Wingdings" w:eastAsia="Wingdings" w:hint="default"/>
          <w:spacing w:val="-109"/>
        </w:rPr>
        <w:t></w:t>
      </w:r>
      <w:r>
        <w:rPr>
          <w:rFonts w:ascii="Times New Roman" w:hAnsi="Times New Roman" w:cs="Times New Roman" w:eastAsia="Times New Roman" w:hint="default"/>
          <w:spacing w:val="-109"/>
        </w:rPr>
      </w:r>
      <w:r>
        <w:rPr/>
        <w:t>严格把控从产品标准、质量控制到产品质检和供应商管理的各个环节，提升质 量管控意识和管控能力，推进产品质量提升。</w:t>
      </w:r>
    </w:p>
    <w:p>
      <w:pPr>
        <w:pStyle w:val="BodyText"/>
        <w:spacing w:line="338" w:lineRule="auto" w:before="56"/>
        <w:ind w:left="280" w:right="1427" w:firstLine="540"/>
        <w:jc w:val="left"/>
      </w:pPr>
      <w:r>
        <w:rPr>
          <w:rFonts w:ascii="Wingdings" w:hAnsi="Wingdings" w:cs="Wingdings" w:eastAsia="Wingdings" w:hint="default"/>
        </w:rPr>
        <w:t></w:t>
      </w:r>
      <w:r>
        <w:rPr>
          <w:rFonts w:ascii="Wingdings" w:hAnsi="Wingdings" w:cs="Wingdings" w:eastAsia="Wingdings" w:hint="default"/>
          <w:spacing w:val="-109"/>
        </w:rPr>
        <w:t></w:t>
      </w:r>
      <w:r>
        <w:rPr>
          <w:rFonts w:ascii="Times New Roman" w:hAnsi="Times New Roman" w:cs="Times New Roman" w:eastAsia="Times New Roman" w:hint="default"/>
          <w:spacing w:val="-109"/>
        </w:rPr>
      </w:r>
      <w:r>
        <w:rPr/>
        <w:t>自主产品配合连锁发展，根据产品差异、地域差异进行有针对性地进店，并做 好自主产品销售人员的招聘、培训和管理，全面提升自主产品的推广能力。</w:t>
      </w:r>
    </w:p>
    <w:p>
      <w:pPr>
        <w:pStyle w:val="BodyText"/>
        <w:spacing w:line="240" w:lineRule="auto" w:before="55"/>
        <w:ind w:left="820" w:right="0"/>
        <w:jc w:val="left"/>
      </w:pPr>
      <w:r>
        <w:rPr>
          <w:rFonts w:ascii="Wingdings" w:hAnsi="Wingdings" w:cs="Wingdings" w:eastAsia="Wingdings" w:hint="default"/>
        </w:rPr>
        <w:t></w:t>
      </w:r>
      <w:r>
        <w:rPr>
          <w:rFonts w:ascii="Wingdings" w:hAnsi="Wingdings" w:cs="Wingdings" w:eastAsia="Wingdings" w:hint="default"/>
          <w:spacing w:val="-106"/>
        </w:rPr>
        <w:t></w:t>
      </w:r>
      <w:r>
        <w:rPr>
          <w:rFonts w:ascii="Times New Roman" w:hAnsi="Times New Roman" w:cs="Times New Roman" w:eastAsia="Times New Roman" w:hint="default"/>
          <w:spacing w:val="-106"/>
        </w:rPr>
      </w:r>
      <w:r>
        <w:rPr/>
        <w:t>从展台形象、品牌推广等方面全面提升自主产品品牌形象，结合产品促销推广</w:t>
      </w:r>
    </w:p>
    <w:p>
      <w:pPr>
        <w:spacing w:after="0" w:line="240" w:lineRule="auto"/>
        <w:jc w:val="left"/>
        <w:sectPr>
          <w:footerReference w:type="default" r:id="rId46"/>
          <w:pgSz w:w="11910" w:h="16840"/>
          <w:pgMar w:footer="955" w:header="748" w:top="980" w:bottom="1140" w:left="1160" w:right="0"/>
          <w:pgNumType w:start="60"/>
        </w:sectPr>
      </w:pPr>
    </w:p>
    <w:p>
      <w:pPr>
        <w:spacing w:line="240" w:lineRule="auto" w:before="6"/>
        <w:rPr>
          <w:rFonts w:ascii="宋体" w:hAnsi="宋体" w:cs="宋体" w:eastAsia="宋体" w:hint="default"/>
          <w:sz w:val="29"/>
          <w:szCs w:val="29"/>
        </w:rPr>
      </w:pPr>
    </w:p>
    <w:p>
      <w:pPr>
        <w:pStyle w:val="BodyText"/>
        <w:spacing w:line="240" w:lineRule="auto" w:before="26"/>
        <w:ind w:right="1314"/>
        <w:jc w:val="left"/>
      </w:pPr>
      <w:r>
        <w:rPr/>
        <w:t>工作，快速提升品牌的市场认知度和消费者认可度。</w:t>
      </w:r>
    </w:p>
    <w:p>
      <w:pPr>
        <w:pStyle w:val="BodyText"/>
        <w:spacing w:line="240" w:lineRule="auto" w:before="154"/>
        <w:ind w:left="620" w:right="1314"/>
        <w:jc w:val="left"/>
      </w:pPr>
      <w:r>
        <w:rPr>
          <w:rFonts w:ascii="Times New Roman" w:hAnsi="Times New Roman" w:cs="Times New Roman" w:eastAsia="Times New Roman" w:hint="default"/>
        </w:rPr>
        <w:t>4</w:t>
      </w:r>
      <w:r>
        <w:rPr/>
        <w:t>、运营体系</w:t>
      </w:r>
    </w:p>
    <w:p>
      <w:pPr>
        <w:pStyle w:val="BodyText"/>
        <w:spacing w:line="348" w:lineRule="auto"/>
        <w:ind w:right="1437" w:firstLine="480"/>
        <w:jc w:val="both"/>
      </w:pPr>
      <w:r>
        <w:rPr>
          <w:rFonts w:ascii="Wingdings" w:hAnsi="Wingdings" w:cs="Wingdings" w:eastAsia="Wingdings" w:hint="default"/>
        </w:rPr>
        <w:t></w:t>
      </w:r>
      <w:r>
        <w:rPr>
          <w:rFonts w:ascii="Wingdings" w:hAnsi="Wingdings" w:cs="Wingdings" w:eastAsia="Wingdings" w:hint="default"/>
          <w:spacing w:val="-47"/>
        </w:rPr>
        <w:t></w:t>
      </w:r>
      <w:r>
        <w:rPr>
          <w:rFonts w:ascii="Times New Roman" w:hAnsi="Times New Roman" w:cs="Times New Roman" w:eastAsia="Times New Roman" w:hint="default"/>
          <w:spacing w:val="-47"/>
        </w:rPr>
      </w:r>
      <w:r>
        <w:rPr/>
        <w:t>市场推广方面，加强对媒介环境进行分析及趋势预测，进一步调整优化媒介结 </w:t>
      </w:r>
      <w:r>
        <w:rPr>
          <w:spacing w:val="-3"/>
        </w:rPr>
        <w:t>构占比，广告资源向电视与户外倾斜，强化微博、视频网络和无线网络等新兴媒体的运</w:t>
      </w:r>
      <w:r>
        <w:rPr>
          <w:spacing w:val="-103"/>
        </w:rPr>
        <w:t> </w:t>
      </w:r>
      <w:r>
        <w:rPr>
          <w:spacing w:val="-103"/>
        </w:rPr>
      </w:r>
      <w:r>
        <w:rPr/>
        <w:t>用，实现广告资源的合理分配和精准投放，提高投入产出比。</w:t>
      </w:r>
    </w:p>
    <w:p>
      <w:pPr>
        <w:pStyle w:val="BodyText"/>
        <w:spacing w:line="338" w:lineRule="auto" w:before="46"/>
        <w:ind w:right="1438" w:firstLine="480"/>
        <w:jc w:val="both"/>
      </w:pPr>
      <w:r>
        <w:rPr>
          <w:rFonts w:ascii="Wingdings" w:hAnsi="Wingdings" w:cs="Wingdings" w:eastAsia="Wingdings" w:hint="default"/>
        </w:rPr>
        <w:t></w:t>
      </w:r>
      <w:r>
        <w:rPr>
          <w:rFonts w:ascii="Wingdings" w:hAnsi="Wingdings" w:cs="Wingdings" w:eastAsia="Wingdings" w:hint="default"/>
          <w:spacing w:val="-48"/>
        </w:rPr>
        <w:t></w:t>
      </w:r>
      <w:r>
        <w:rPr>
          <w:rFonts w:ascii="Times New Roman" w:hAnsi="Times New Roman" w:cs="Times New Roman" w:eastAsia="Times New Roman" w:hint="default"/>
          <w:spacing w:val="-48"/>
        </w:rPr>
      </w:r>
      <w:r>
        <w:rPr/>
        <w:t>连锁店管理方面，强化连锁店核心岗位销售激励与考核，真正实现管理人员重 经营、一线人员重销售。强化连锁店商品管理职能，提高终端出样商品市场适应性。</w:t>
      </w:r>
    </w:p>
    <w:p>
      <w:pPr>
        <w:pStyle w:val="BodyText"/>
        <w:spacing w:line="338" w:lineRule="auto" w:before="56"/>
        <w:ind w:right="1301" w:firstLine="480"/>
        <w:jc w:val="left"/>
      </w:pPr>
      <w:r>
        <w:rPr>
          <w:rFonts w:ascii="Wingdings" w:hAnsi="Wingdings" w:cs="Wingdings" w:eastAsia="Wingdings" w:hint="default"/>
        </w:rPr>
        <w:t></w:t>
      </w:r>
      <w:r>
        <w:rPr>
          <w:rFonts w:ascii="Wingdings" w:hAnsi="Wingdings" w:cs="Wingdings" w:eastAsia="Wingdings" w:hint="default"/>
          <w:spacing w:val="-58"/>
        </w:rPr>
        <w:t></w:t>
      </w:r>
      <w:r>
        <w:rPr>
          <w:rFonts w:ascii="Times New Roman" w:hAnsi="Times New Roman" w:cs="Times New Roman" w:eastAsia="Times New Roman" w:hint="default"/>
          <w:spacing w:val="-58"/>
        </w:rPr>
      </w:r>
      <w:r>
        <w:rPr>
          <w:spacing w:val="-3"/>
        </w:rPr>
        <w:t>终端自营方面，重点从门店自营、品类自营和品牌自营三个维度开展相关工作。</w:t>
      </w:r>
      <w:r>
        <w:rPr/>
        <w:t> 重点针对</w:t>
      </w:r>
      <w:r>
        <w:rPr>
          <w:spacing w:val="-65"/>
        </w:rPr>
        <w:t> </w:t>
      </w:r>
      <w:r>
        <w:rPr>
          <w:rFonts w:ascii="Times New Roman" w:hAnsi="Times New Roman" w:cs="Times New Roman" w:eastAsia="Times New Roman" w:hint="default"/>
        </w:rPr>
        <w:t>3C</w:t>
      </w:r>
      <w:r>
        <w:rPr>
          <w:rFonts w:ascii="Times New Roman" w:hAnsi="Times New Roman" w:cs="Times New Roman" w:eastAsia="Times New Roman" w:hint="default"/>
          <w:spacing w:val="-4"/>
        </w:rPr>
        <w:t> </w:t>
      </w:r>
      <w:r>
        <w:rPr/>
        <w:t>产品、运营商等品类，加强终端人员配套、产品陈列、销售推广等，逐步 建立自营操作标准，提高自营工作成效。</w:t>
      </w:r>
    </w:p>
    <w:p>
      <w:pPr>
        <w:pStyle w:val="BodyText"/>
        <w:spacing w:line="348" w:lineRule="auto" w:before="55"/>
        <w:ind w:right="1437" w:firstLine="480"/>
        <w:jc w:val="both"/>
      </w:pPr>
      <w:r>
        <w:rPr>
          <w:rFonts w:ascii="Wingdings" w:hAnsi="Wingdings" w:cs="Wingdings" w:eastAsia="Wingdings" w:hint="default"/>
        </w:rPr>
        <w:t></w:t>
      </w:r>
      <w:r>
        <w:rPr>
          <w:rFonts w:ascii="Wingdings" w:hAnsi="Wingdings" w:cs="Wingdings" w:eastAsia="Wingdings" w:hint="default"/>
          <w:spacing w:val="-45"/>
        </w:rPr>
        <w:t></w:t>
      </w:r>
      <w:r>
        <w:rPr>
          <w:rFonts w:ascii="Times New Roman" w:hAnsi="Times New Roman" w:cs="Times New Roman" w:eastAsia="Times New Roman" w:hint="default"/>
          <w:spacing w:val="-45"/>
        </w:rPr>
      </w:r>
      <w:r>
        <w:rPr/>
        <w:t>店面培训重点围绕核心岗位人才梯队培养、在职绩效提升培训、重点业务支持 </w:t>
      </w:r>
      <w:r>
        <w:rPr>
          <w:spacing w:val="-3"/>
        </w:rPr>
        <w:t>培训三个方面工作展开，同时推进自主产品、重点自营项目、销售突击队的业务支持培</w:t>
      </w:r>
      <w:r>
        <w:rPr>
          <w:spacing w:val="-99"/>
        </w:rPr>
        <w:t> </w:t>
      </w:r>
      <w:r>
        <w:rPr>
          <w:spacing w:val="-99"/>
        </w:rPr>
      </w:r>
      <w:r>
        <w:rPr/>
        <w:t>训，有效加强公司在热点及专业商品销售方面的优势。</w:t>
      </w:r>
    </w:p>
    <w:p>
      <w:pPr>
        <w:pStyle w:val="BodyText"/>
        <w:spacing w:line="240" w:lineRule="auto" w:before="46"/>
        <w:ind w:left="620" w:right="1314"/>
        <w:jc w:val="left"/>
      </w:pPr>
      <w:r>
        <w:rPr>
          <w:rFonts w:ascii="Times New Roman" w:hAnsi="Times New Roman" w:cs="Times New Roman" w:eastAsia="Times New Roman" w:hint="default"/>
        </w:rPr>
        <w:t>5</w:t>
      </w:r>
      <w:r>
        <w:rPr/>
        <w:t>、服务体系</w:t>
      </w:r>
    </w:p>
    <w:p>
      <w:pPr>
        <w:spacing w:line="240" w:lineRule="auto" w:before="3"/>
        <w:rPr>
          <w:rFonts w:ascii="宋体" w:hAnsi="宋体" w:cs="宋体" w:eastAsia="宋体" w:hint="default"/>
          <w:sz w:val="17"/>
          <w:szCs w:val="17"/>
        </w:rPr>
      </w:pPr>
    </w:p>
    <w:p>
      <w:pPr>
        <w:pStyle w:val="BodyText"/>
        <w:spacing w:line="240" w:lineRule="auto" w:before="0"/>
        <w:ind w:left="680" w:right="1314"/>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物流方面</w:t>
      </w:r>
    </w:p>
    <w:p>
      <w:pPr>
        <w:pStyle w:val="BodyText"/>
        <w:spacing w:line="343" w:lineRule="auto" w:before="137"/>
        <w:ind w:right="1437" w:firstLine="480"/>
        <w:jc w:val="both"/>
      </w:pPr>
      <w:r>
        <w:rPr>
          <w:rFonts w:ascii="Wingdings" w:hAnsi="Wingdings" w:cs="Wingdings" w:eastAsia="Wingdings" w:hint="default"/>
        </w:rPr>
        <w:t></w:t>
      </w:r>
      <w:r>
        <w:rPr>
          <w:rFonts w:ascii="Wingdings" w:hAnsi="Wingdings" w:cs="Wingdings" w:eastAsia="Wingdings" w:hint="default"/>
          <w:spacing w:val="-176"/>
        </w:rPr>
        <w:t></w:t>
      </w:r>
      <w:r>
        <w:rPr>
          <w:rFonts w:ascii="Times New Roman" w:hAnsi="Times New Roman" w:cs="Times New Roman" w:eastAsia="Times New Roman" w:hint="default"/>
          <w:spacing w:val="-176"/>
        </w:rPr>
      </w:r>
      <w:r>
        <w:rPr>
          <w:spacing w:val="-3"/>
        </w:rPr>
        <w:t>基本完成</w:t>
      </w:r>
      <w:r>
        <w:rPr>
          <w:rFonts w:ascii="Times New Roman" w:hAnsi="Times New Roman" w:cs="Times New Roman" w:eastAsia="Times New Roman" w:hint="default"/>
          <w:spacing w:val="-3"/>
        </w:rPr>
        <w:t>60</w:t>
      </w:r>
      <w:r>
        <w:rPr>
          <w:spacing w:val="-3"/>
        </w:rPr>
        <w:t>个物流基地项目选址；根据既定的规划设计、筹建标准加快物流基地</w:t>
      </w:r>
      <w:r>
        <w:rPr/>
        <w:t> 建设进度，严格把控施工质量和工程安全；完成北京二期、重庆、杭州二期等</w:t>
      </w:r>
      <w:r>
        <w:rPr>
          <w:rFonts w:ascii="Times New Roman" w:hAnsi="Times New Roman" w:cs="Times New Roman" w:eastAsia="Times New Roman" w:hint="default"/>
        </w:rPr>
        <w:t>6</w:t>
      </w:r>
      <w:r>
        <w:rPr/>
        <w:t>个物流</w:t>
      </w:r>
      <w:r>
        <w:rPr>
          <w:spacing w:val="-99"/>
        </w:rPr>
        <w:t> </w:t>
      </w:r>
      <w:r>
        <w:rPr>
          <w:spacing w:val="-2"/>
        </w:rPr>
        <w:t>基地建设，并启动筹建</w:t>
      </w:r>
      <w:r>
        <w:rPr>
          <w:rFonts w:ascii="Times New Roman" w:hAnsi="Times New Roman" w:cs="Times New Roman" w:eastAsia="Times New Roman" w:hint="default"/>
          <w:spacing w:val="-2"/>
        </w:rPr>
        <w:t>7</w:t>
      </w:r>
      <w:r>
        <w:rPr>
          <w:spacing w:val="-2"/>
        </w:rPr>
        <w:t>个物流基地</w:t>
      </w:r>
      <w:r>
        <w:rPr>
          <w:spacing w:val="-2"/>
          <w:sz w:val="21"/>
          <w:szCs w:val="21"/>
        </w:rPr>
        <w:t>；</w:t>
      </w:r>
      <w:r>
        <w:rPr>
          <w:rFonts w:ascii="Times New Roman" w:hAnsi="Times New Roman" w:cs="Times New Roman" w:eastAsia="Times New Roman" w:hint="default"/>
          <w:spacing w:val="-2"/>
        </w:rPr>
        <w:t>3</w:t>
      </w:r>
      <w:r>
        <w:rPr>
          <w:spacing w:val="-2"/>
        </w:rPr>
        <w:t>月实现南京小件商品自动分拣仓库投入使用，并</w:t>
      </w:r>
      <w:r>
        <w:rPr>
          <w:spacing w:val="-105"/>
        </w:rPr>
        <w:t> </w:t>
      </w:r>
      <w:r>
        <w:rPr>
          <w:spacing w:val="-105"/>
        </w:rPr>
      </w:r>
      <w:r>
        <w:rPr>
          <w:spacing w:val="-3"/>
        </w:rPr>
        <w:t>积极规划二期，同步在北京、上海、广州等地启动小件商品自动分拣仓库的选址开发工</w:t>
      </w:r>
      <w:r>
        <w:rPr>
          <w:spacing w:val="-100"/>
        </w:rPr>
        <w:t> </w:t>
      </w:r>
      <w:r>
        <w:rPr>
          <w:spacing w:val="-100"/>
        </w:rPr>
      </w:r>
      <w:r>
        <w:rPr/>
        <w:t>作。</w:t>
      </w:r>
    </w:p>
    <w:p>
      <w:pPr>
        <w:pStyle w:val="BodyText"/>
        <w:spacing w:line="350" w:lineRule="auto" w:before="51"/>
        <w:ind w:right="1437" w:firstLine="480"/>
        <w:jc w:val="both"/>
      </w:pPr>
      <w:r>
        <w:rPr>
          <w:rFonts w:ascii="Wingdings" w:hAnsi="Wingdings" w:cs="Wingdings" w:eastAsia="Wingdings" w:hint="default"/>
        </w:rPr>
        <w:t></w:t>
      </w:r>
      <w:r>
        <w:rPr>
          <w:rFonts w:ascii="Wingdings" w:hAnsi="Wingdings" w:cs="Wingdings" w:eastAsia="Wingdings" w:hint="default"/>
          <w:spacing w:val="-169"/>
        </w:rPr>
        <w:t></w:t>
      </w:r>
      <w:r>
        <w:rPr>
          <w:rFonts w:ascii="Times New Roman" w:hAnsi="Times New Roman" w:cs="Times New Roman" w:eastAsia="Times New Roman" w:hint="default"/>
          <w:spacing w:val="-169"/>
        </w:rPr>
      </w:r>
      <w:r>
        <w:rPr/>
        <w:t>建立小件商品配送体系，结合电子商务发展需要，</w:t>
      </w:r>
      <w:r>
        <w:rPr>
          <w:rFonts w:ascii="宋体" w:hAnsi="宋体" w:cs="宋体" w:eastAsia="宋体" w:hint="default"/>
        </w:rPr>
        <w:t>6</w:t>
      </w:r>
      <w:r>
        <w:rPr/>
        <w:t>月完成依托全国门店的快递 </w:t>
      </w:r>
      <w:r>
        <w:rPr>
          <w:spacing w:val="-3"/>
        </w:rPr>
        <w:t>点建设，并在门店未覆盖的区域以及高校等人群聚集地建立自营的快递点，形成立体配</w:t>
      </w:r>
      <w:r>
        <w:rPr>
          <w:spacing w:val="-98"/>
        </w:rPr>
        <w:t> </w:t>
      </w:r>
      <w:r>
        <w:rPr>
          <w:spacing w:val="-98"/>
        </w:rPr>
      </w:r>
      <w:r>
        <w:rPr/>
        <w:t>送网络，提高小件商品配送效率。同时继续推进“最后</w:t>
      </w:r>
      <w:r>
        <w:rPr>
          <w:rFonts w:ascii="宋体" w:hAnsi="宋体" w:cs="宋体" w:eastAsia="宋体" w:hint="default"/>
        </w:rPr>
        <w:t>1</w:t>
      </w:r>
      <w:r>
        <w:rPr/>
        <w:t>公里”自营快递员配送服务，</w:t>
      </w:r>
      <w:r>
        <w:rPr>
          <w:spacing w:val="-99"/>
        </w:rPr>
        <w:t> </w:t>
      </w:r>
      <w:r>
        <w:rPr>
          <w:spacing w:val="-99"/>
        </w:rPr>
      </w:r>
      <w:r>
        <w:rPr/>
        <w:t>提高小件商品的配送服务水平。</w:t>
      </w:r>
    </w:p>
    <w:p>
      <w:pPr>
        <w:pStyle w:val="BodyText"/>
        <w:spacing w:line="348" w:lineRule="auto" w:before="43"/>
        <w:ind w:right="1439" w:firstLine="480"/>
        <w:jc w:val="both"/>
      </w:pPr>
      <w:r>
        <w:rPr>
          <w:rFonts w:ascii="Wingdings" w:hAnsi="Wingdings" w:cs="Wingdings" w:eastAsia="Wingdings" w:hint="default"/>
        </w:rPr>
        <w:t></w:t>
      </w:r>
      <w:r>
        <w:rPr>
          <w:rFonts w:ascii="Wingdings" w:hAnsi="Wingdings" w:cs="Wingdings" w:eastAsia="Wingdings" w:hint="default"/>
          <w:spacing w:val="-178"/>
        </w:rPr>
        <w:t></w:t>
      </w:r>
      <w:r>
        <w:rPr>
          <w:rFonts w:ascii="Times New Roman" w:hAnsi="Times New Roman" w:cs="Times New Roman" w:eastAsia="Times New Roman" w:hint="default"/>
          <w:spacing w:val="-178"/>
        </w:rPr>
      </w:r>
      <w:r>
        <w:rPr>
          <w:spacing w:val="-2"/>
        </w:rPr>
        <w:t>通过物流</w:t>
      </w:r>
      <w:r>
        <w:rPr>
          <w:rFonts w:ascii="Times New Roman" w:hAnsi="Times New Roman" w:cs="Times New Roman" w:eastAsia="Times New Roman" w:hint="default"/>
          <w:spacing w:val="-2"/>
        </w:rPr>
        <w:t>ERP</w:t>
      </w:r>
      <w:r>
        <w:rPr>
          <w:spacing w:val="-2"/>
        </w:rPr>
        <w:t>的新信息系统平台建设，以提高顾客服务及时率为目标，整合物流</w:t>
      </w:r>
      <w:r>
        <w:rPr/>
        <w:t> </w:t>
      </w:r>
      <w:r>
        <w:rPr>
          <w:spacing w:val="-3"/>
        </w:rPr>
        <w:t>网络各节点运输、仓库作业资源，统一计划、实时监控，确保作业连续顺畅，提高供应</w:t>
      </w:r>
      <w:r>
        <w:rPr>
          <w:spacing w:val="-103"/>
        </w:rPr>
        <w:t> </w:t>
      </w:r>
      <w:r>
        <w:rPr>
          <w:spacing w:val="-103"/>
        </w:rPr>
      </w:r>
      <w:r>
        <w:rPr/>
        <w:t>链运作效率。</w:t>
      </w:r>
    </w:p>
    <w:p>
      <w:pPr>
        <w:pStyle w:val="BodyText"/>
        <w:spacing w:line="338" w:lineRule="auto" w:before="46"/>
        <w:ind w:right="1435" w:firstLine="480"/>
        <w:jc w:val="both"/>
      </w:pPr>
      <w:r>
        <w:rPr>
          <w:rFonts w:ascii="Wingdings" w:hAnsi="Wingdings" w:cs="Wingdings" w:eastAsia="Wingdings" w:hint="default"/>
        </w:rPr>
        <w:t></w:t>
      </w:r>
      <w:r>
        <w:rPr>
          <w:rFonts w:ascii="Wingdings" w:hAnsi="Wingdings" w:cs="Wingdings" w:eastAsia="Wingdings" w:hint="default"/>
          <w:spacing w:val="-179"/>
        </w:rPr>
        <w:t></w:t>
      </w:r>
      <w:r>
        <w:rPr>
          <w:rFonts w:ascii="Times New Roman" w:hAnsi="Times New Roman" w:cs="Times New Roman" w:eastAsia="Times New Roman" w:hint="default"/>
          <w:spacing w:val="-179"/>
        </w:rPr>
      </w:r>
      <w:r>
        <w:rPr>
          <w:spacing w:val="-3"/>
        </w:rPr>
        <w:t>建立仓储、运输、增值等多类型服务产品能力，构建专业物流组织体系，以供应</w:t>
      </w:r>
      <w:r>
        <w:rPr/>
        <w:t> 商、卖家、客户为核心提供一站式物流服务，完成苏宁第三方物流企业雏形。</w:t>
      </w:r>
    </w:p>
    <w:p>
      <w:pPr>
        <w:spacing w:after="0" w:line="338" w:lineRule="auto"/>
        <w:jc w:val="both"/>
        <w:sectPr>
          <w:pgSz w:w="11910" w:h="16840"/>
          <w:pgMar w:header="748" w:footer="955" w:top="980" w:bottom="114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680" w:right="1314"/>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售后服务方面</w:t>
      </w:r>
    </w:p>
    <w:p>
      <w:pPr>
        <w:pStyle w:val="BodyText"/>
        <w:spacing w:line="338" w:lineRule="auto" w:before="137"/>
        <w:ind w:left="320" w:right="1425" w:firstLine="300"/>
        <w:jc w:val="left"/>
      </w:pPr>
      <w:r>
        <w:rPr>
          <w:rFonts w:ascii="Wingdings" w:hAnsi="Wingdings" w:cs="Wingdings" w:eastAsia="Wingdings" w:hint="default"/>
        </w:rPr>
        <w:t></w:t>
      </w:r>
      <w:r>
        <w:rPr>
          <w:rFonts w:ascii="Wingdings" w:hAnsi="Wingdings" w:cs="Wingdings" w:eastAsia="Wingdings" w:hint="default"/>
          <w:spacing w:val="-47"/>
        </w:rPr>
        <w:t></w:t>
      </w:r>
      <w:r>
        <w:rPr>
          <w:rFonts w:ascii="Times New Roman" w:hAnsi="Times New Roman" w:cs="Times New Roman" w:eastAsia="Times New Roman" w:hint="default"/>
          <w:spacing w:val="-47"/>
        </w:rPr>
      </w:r>
      <w:r>
        <w:rPr/>
        <w:t>围绕客户需求，开发客户资源，整合社会服务商资源，实施专业化、区域制的 管理，提升服务品质，实现从作业管理者向家电服务管理平台转型。</w:t>
      </w:r>
    </w:p>
    <w:p>
      <w:pPr>
        <w:pStyle w:val="BodyText"/>
        <w:spacing w:line="338" w:lineRule="auto" w:before="55"/>
        <w:ind w:left="320" w:right="1301" w:firstLine="300"/>
        <w:jc w:val="left"/>
      </w:pPr>
      <w:r>
        <w:rPr>
          <w:rFonts w:ascii="Wingdings" w:hAnsi="Wingdings" w:cs="Wingdings" w:eastAsia="Wingdings" w:hint="default"/>
        </w:rPr>
        <w:t></w:t>
      </w:r>
      <w:r>
        <w:rPr>
          <w:rFonts w:ascii="Wingdings" w:hAnsi="Wingdings" w:cs="Wingdings" w:eastAsia="Wingdings" w:hint="default"/>
          <w:spacing w:val="-48"/>
        </w:rPr>
        <w:t></w:t>
      </w:r>
      <w:r>
        <w:rPr>
          <w:rFonts w:ascii="Times New Roman" w:hAnsi="Times New Roman" w:cs="Times New Roman" w:eastAsia="Times New Roman" w:hint="default"/>
          <w:spacing w:val="-48"/>
        </w:rPr>
      </w:r>
      <w:r>
        <w:rPr>
          <w:spacing w:val="-6"/>
        </w:rPr>
        <w:t>建立各服务产品的全套标准工艺，服务区域细化到街道</w:t>
      </w:r>
      <w:r>
        <w:rPr>
          <w:rFonts w:ascii="Times New Roman" w:hAnsi="Times New Roman" w:cs="Times New Roman" w:eastAsia="Times New Roman" w:hint="default"/>
          <w:spacing w:val="-6"/>
        </w:rPr>
        <w:t>/</w:t>
      </w:r>
      <w:r>
        <w:rPr>
          <w:spacing w:val="-6"/>
        </w:rPr>
        <w:t>乡镇，响应速度</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小时。 加强网点终端一线管理，绩效管控到单人，实现精细化管理。</w:t>
      </w:r>
    </w:p>
    <w:p>
      <w:pPr>
        <w:pStyle w:val="BodyText"/>
        <w:spacing w:line="240" w:lineRule="auto" w:before="175"/>
        <w:ind w:left="680" w:right="1314"/>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客服服务方面</w:t>
      </w:r>
    </w:p>
    <w:p>
      <w:pPr>
        <w:pStyle w:val="BodyText"/>
        <w:spacing w:line="348" w:lineRule="auto" w:before="137"/>
        <w:ind w:left="320" w:right="1434" w:firstLine="300"/>
        <w:jc w:val="both"/>
      </w:pPr>
      <w:r>
        <w:rPr>
          <w:rFonts w:ascii="Wingdings" w:hAnsi="Wingdings" w:cs="Wingdings" w:eastAsia="Wingdings" w:hint="default"/>
        </w:rPr>
        <w:t></w:t>
      </w:r>
      <w:r>
        <w:rPr>
          <w:rFonts w:ascii="Wingdings" w:hAnsi="Wingdings" w:cs="Wingdings" w:eastAsia="Wingdings" w:hint="default"/>
          <w:spacing w:val="-64"/>
        </w:rPr>
        <w:t></w:t>
      </w:r>
      <w:r>
        <w:rPr>
          <w:rFonts w:ascii="Times New Roman" w:hAnsi="Times New Roman" w:cs="Times New Roman" w:eastAsia="Times New Roman" w:hint="default"/>
          <w:spacing w:val="-64"/>
        </w:rPr>
      </w:r>
      <w:r>
        <w:rPr/>
        <w:t>基于投诉率降低和消费者满意度提升两个维度制定客服</w:t>
      </w:r>
      <w:r>
        <w:rPr>
          <w:spacing w:val="-59"/>
        </w:rPr>
        <w:t> </w:t>
      </w:r>
      <w:r>
        <w:rPr>
          <w:rFonts w:ascii="Times New Roman" w:hAnsi="Times New Roman" w:cs="Times New Roman" w:eastAsia="Times New Roman" w:hint="default"/>
        </w:rPr>
        <w:t>KPI</w:t>
      </w:r>
      <w:r>
        <w:rPr>
          <w:rFonts w:ascii="Times New Roman" w:hAnsi="Times New Roman" w:cs="Times New Roman" w:eastAsia="Times New Roman" w:hint="default"/>
          <w:spacing w:val="-5"/>
        </w:rPr>
        <w:t> </w:t>
      </w:r>
      <w:r>
        <w:rPr/>
        <w:t>指标，紧紧围绕客</w:t>
      </w:r>
      <w:r>
        <w:rPr>
          <w:w w:val="99"/>
        </w:rPr>
        <w:t> </w:t>
      </w:r>
      <w:r>
        <w:rPr>
          <w:spacing w:val="-1"/>
        </w:rPr>
        <w:t>户需求，加强服务预控，减少顾客投诉；通过细分消费群体推进个性服务，改善服务</w:t>
      </w:r>
      <w:r>
        <w:rPr>
          <w:spacing w:val="-116"/>
        </w:rPr>
        <w:t> </w:t>
      </w:r>
      <w:r>
        <w:rPr>
          <w:spacing w:val="-116"/>
        </w:rPr>
      </w:r>
      <w:r>
        <w:rPr/>
        <w:t>体验。</w:t>
      </w:r>
    </w:p>
    <w:p>
      <w:pPr>
        <w:pStyle w:val="BodyText"/>
        <w:spacing w:line="338" w:lineRule="auto" w:before="46"/>
        <w:ind w:left="320" w:right="1422" w:firstLine="300"/>
        <w:jc w:val="left"/>
      </w:pPr>
      <w:r>
        <w:rPr>
          <w:rFonts w:ascii="Wingdings" w:hAnsi="Wingdings" w:cs="Wingdings" w:eastAsia="Wingdings" w:hint="default"/>
        </w:rPr>
        <w:t></w:t>
      </w:r>
      <w:r>
        <w:rPr>
          <w:rFonts w:ascii="Wingdings" w:hAnsi="Wingdings" w:cs="Wingdings" w:eastAsia="Wingdings" w:hint="default"/>
          <w:spacing w:val="-66"/>
        </w:rPr>
        <w:t></w:t>
      </w:r>
      <w:r>
        <w:rPr>
          <w:rFonts w:ascii="Times New Roman" w:hAnsi="Times New Roman" w:cs="Times New Roman" w:eastAsia="Times New Roman" w:hint="default"/>
          <w:spacing w:val="-66"/>
        </w:rPr>
      </w:r>
      <w:r>
        <w:rPr/>
        <w:t>根据顾客需求调研结果，重点推进</w:t>
      </w:r>
      <w:r>
        <w:rPr>
          <w:spacing w:val="-32"/>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小时准时送货延时赔付、</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天维修完成、 投诉</w:t>
      </w:r>
      <w:r>
        <w:rPr>
          <w:spacing w:val="-61"/>
        </w:rPr>
        <w:t> </w:t>
      </w:r>
      <w:r>
        <w:rPr>
          <w:rFonts w:ascii="Times New Roman" w:hAnsi="Times New Roman" w:cs="Times New Roman" w:eastAsia="Times New Roman" w:hint="default"/>
        </w:rPr>
        <w:t>24 </w:t>
      </w:r>
      <w:r>
        <w:rPr/>
        <w:t>小时百分百达成处理方案三项阳光服务承诺。</w:t>
      </w:r>
    </w:p>
    <w:p>
      <w:pPr>
        <w:pStyle w:val="BodyText"/>
        <w:spacing w:line="338" w:lineRule="auto" w:before="27"/>
        <w:ind w:left="560" w:right="1424" w:firstLine="60"/>
        <w:jc w:val="left"/>
      </w:pPr>
      <w:r>
        <w:rPr>
          <w:rFonts w:ascii="Times New Roman" w:hAnsi="Times New Roman" w:cs="Times New Roman" w:eastAsia="Times New Roman" w:hint="default"/>
        </w:rPr>
        <w:t>6</w:t>
      </w:r>
      <w:r>
        <w:rPr/>
        <w:t>、信息管理体系 </w:t>
      </w:r>
      <w:r>
        <w:rPr>
          <w:spacing w:val="-1"/>
        </w:rPr>
        <w:t>以公司经营需要为导向，有效整合、集成和应用信息资源，建立规范性的信息部门</w:t>
      </w:r>
    </w:p>
    <w:p>
      <w:pPr>
        <w:pStyle w:val="BodyText"/>
        <w:spacing w:line="240" w:lineRule="auto" w:before="24"/>
        <w:ind w:right="1314"/>
        <w:jc w:val="left"/>
      </w:pPr>
      <w:r>
        <w:rPr/>
        <w:t>组织结构和前瞻性系统架构设计，充分实现</w:t>
      </w:r>
      <w:r>
        <w:rPr>
          <w:spacing w:val="-60"/>
        </w:rPr>
        <w:t> </w:t>
      </w:r>
      <w:r>
        <w:rPr>
          <w:rFonts w:ascii="宋体" w:hAnsi="宋体" w:cs="宋体" w:eastAsia="宋体" w:hint="default"/>
        </w:rPr>
        <w:t>IT</w:t>
      </w:r>
      <w:r>
        <w:rPr>
          <w:rFonts w:ascii="宋体" w:hAnsi="宋体" w:cs="宋体" w:eastAsia="宋体" w:hint="default"/>
          <w:spacing w:val="-60"/>
        </w:rPr>
        <w:t> </w:t>
      </w:r>
      <w:r>
        <w:rPr/>
        <w:t>和经营的融入。</w:t>
      </w:r>
    </w:p>
    <w:p>
      <w:pPr>
        <w:pStyle w:val="BodyText"/>
        <w:spacing w:line="326" w:lineRule="auto" w:before="123"/>
        <w:ind w:right="1435" w:firstLine="420"/>
        <w:jc w:val="both"/>
      </w:pPr>
      <w:r>
        <w:rPr>
          <w:rFonts w:ascii="Wingdings" w:hAnsi="Wingdings" w:cs="Wingdings" w:eastAsia="Wingdings" w:hint="default"/>
        </w:rPr>
        <w:t></w:t>
      </w:r>
      <w:r>
        <w:rPr>
          <w:rFonts w:ascii="Wingdings" w:hAnsi="Wingdings" w:cs="Wingdings" w:eastAsia="Wingdings" w:hint="default"/>
          <w:spacing w:val="30"/>
        </w:rPr>
        <w:t></w:t>
      </w:r>
      <w:r>
        <w:rPr>
          <w:rFonts w:ascii="Times New Roman" w:hAnsi="Times New Roman" w:cs="Times New Roman" w:eastAsia="Times New Roman" w:hint="default"/>
          <w:spacing w:val="30"/>
        </w:rPr>
      </w:r>
      <w:r>
        <w:rPr/>
        <w:t>内部管理方面，以业务、产品为主线重构信息组织结构，设置矩阵式的管理架 </w:t>
      </w:r>
      <w:r>
        <w:rPr>
          <w:spacing w:val="-3"/>
        </w:rPr>
        <w:t>构，自上而下地贯彻统一的制度、流程、标准，同时强化研发与业务的结合，促进研发</w:t>
      </w:r>
      <w:r>
        <w:rPr>
          <w:spacing w:val="-104"/>
        </w:rPr>
        <w:t> </w:t>
      </w:r>
      <w:r>
        <w:rPr>
          <w:spacing w:val="-104"/>
        </w:rPr>
      </w:r>
      <w:r>
        <w:rPr/>
        <w:t>效率的提升。</w:t>
      </w:r>
    </w:p>
    <w:p>
      <w:pPr>
        <w:pStyle w:val="BodyText"/>
        <w:spacing w:line="321" w:lineRule="auto" w:before="36"/>
        <w:ind w:right="1435" w:firstLine="420"/>
        <w:jc w:val="both"/>
      </w:pPr>
      <w:r>
        <w:rPr>
          <w:rFonts w:ascii="Wingdings" w:hAnsi="Wingdings" w:cs="Wingdings" w:eastAsia="Wingdings" w:hint="default"/>
        </w:rPr>
        <w:t></w:t>
      </w:r>
      <w:r>
        <w:rPr>
          <w:rFonts w:ascii="Wingdings" w:hAnsi="Wingdings" w:cs="Wingdings" w:eastAsia="Wingdings" w:hint="default"/>
          <w:spacing w:val="28"/>
        </w:rPr>
        <w:t></w:t>
      </w:r>
      <w:r>
        <w:rPr>
          <w:rFonts w:ascii="Times New Roman" w:hAnsi="Times New Roman" w:cs="Times New Roman" w:eastAsia="Times New Roman" w:hint="default"/>
          <w:spacing w:val="28"/>
        </w:rPr>
      </w:r>
      <w:r>
        <w:rPr/>
        <w:t>运维支持方面，重组内部管理流程，合理分工，整合优化运维组织架构；成立 </w:t>
      </w:r>
      <w:r>
        <w:rPr>
          <w:spacing w:val="-3"/>
        </w:rPr>
        <w:t>安全管理体系，从终端安全、系统安全、数据安全以及支付安全，加强和提升安全建设</w:t>
      </w:r>
      <w:r>
        <w:rPr>
          <w:spacing w:val="-97"/>
        </w:rPr>
        <w:t> </w:t>
      </w:r>
      <w:r>
        <w:rPr>
          <w:spacing w:val="-97"/>
        </w:rPr>
      </w:r>
      <w:r>
        <w:rPr>
          <w:spacing w:val="-6"/>
        </w:rPr>
        <w:t>和管理水平；按照</w:t>
      </w:r>
      <w:r>
        <w:rPr>
          <w:spacing w:val="-82"/>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年建设规划有序进行云计算数据中心建设，为云服务的实现搭建基 础</w:t>
      </w:r>
      <w:r>
        <w:rPr>
          <w:spacing w:val="-58"/>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
        </w:rPr>
        <w:t> </w:t>
      </w:r>
      <w:r>
        <w:rPr/>
        <w:t>环境；</w:t>
      </w:r>
    </w:p>
    <w:p>
      <w:pPr>
        <w:pStyle w:val="BodyText"/>
        <w:spacing w:line="316" w:lineRule="auto" w:before="15"/>
        <w:ind w:right="1435" w:firstLine="420"/>
        <w:jc w:val="both"/>
      </w:pPr>
      <w:r>
        <w:rPr>
          <w:rFonts w:ascii="Wingdings" w:hAnsi="Wingdings" w:cs="Wingdings" w:eastAsia="Wingdings" w:hint="default"/>
        </w:rPr>
        <w:t></w:t>
      </w:r>
      <w:r>
        <w:rPr>
          <w:rFonts w:ascii="Wingdings" w:hAnsi="Wingdings" w:cs="Wingdings" w:eastAsia="Wingdings" w:hint="default"/>
          <w:spacing w:val="30"/>
        </w:rPr>
        <w:t></w:t>
      </w:r>
      <w:r>
        <w:rPr>
          <w:rFonts w:ascii="Times New Roman" w:hAnsi="Times New Roman" w:cs="Times New Roman" w:eastAsia="Times New Roman" w:hint="default"/>
          <w:spacing w:val="30"/>
        </w:rPr>
      </w:r>
      <w:r>
        <w:rPr/>
        <w:t>产品研发方面，综合运用信息部门的产品开发技术资源，全面开展开放式电子 商务网站、苏宁易购客户端、物流信息服务产品、资金系统、供应链融资平台和</w:t>
      </w:r>
      <w:r>
        <w:rPr>
          <w:spacing w:val="54"/>
        </w:rPr>
        <w:t> </w:t>
      </w:r>
      <w:r>
        <w:rPr>
          <w:rFonts w:ascii="Times New Roman" w:hAnsi="Times New Roman" w:cs="Times New Roman" w:eastAsia="Times New Roman" w:hint="default"/>
        </w:rPr>
        <w:t>ERP</w:t>
      </w:r>
      <w:r>
        <w:rPr>
          <w:rFonts w:ascii="Times New Roman" w:hAnsi="Times New Roman" w:cs="Times New Roman" w:eastAsia="Times New Roman" w:hint="default"/>
          <w:spacing w:val="-55"/>
        </w:rPr>
        <w:t> </w:t>
      </w:r>
      <w:r>
        <w:rPr/>
        <w:t>系统升级的信息开发工作，提升信息技术转化为信息产品的能力和效率。</w:t>
      </w:r>
    </w:p>
    <w:p>
      <w:pPr>
        <w:pStyle w:val="BodyText"/>
        <w:spacing w:line="240" w:lineRule="auto" w:before="46"/>
        <w:ind w:left="740" w:right="1314"/>
        <w:jc w:val="left"/>
      </w:pPr>
      <w:r>
        <w:rPr>
          <w:rFonts w:ascii="Times New Roman" w:hAnsi="Times New Roman" w:cs="Times New Roman" w:eastAsia="Times New Roman" w:hint="default"/>
        </w:rPr>
        <w:t>7</w:t>
      </w:r>
      <w:r>
        <w:rPr/>
        <w:t>、人力资源体系</w:t>
      </w:r>
    </w:p>
    <w:p>
      <w:pPr>
        <w:pStyle w:val="BodyText"/>
        <w:spacing w:line="316" w:lineRule="auto"/>
        <w:ind w:right="1406" w:firstLine="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全面推进人才梯队项目，持续推进任期和轮岗制度建设，推动轮岗资质认证， 进一步加强干部在职管理。</w:t>
      </w:r>
    </w:p>
    <w:p>
      <w:pPr>
        <w:pStyle w:val="BodyText"/>
        <w:spacing w:line="316" w:lineRule="auto" w:before="46"/>
        <w:ind w:right="1406" w:firstLine="42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继续推进社招梯队、猎头和内部推荐等重点项目，进一步优化定向招聘模式， 深化校企合作细节，将学校招聘与校园品牌宣传相结合，有效提升招聘质量和效率。</w:t>
      </w:r>
    </w:p>
    <w:p>
      <w:pPr>
        <w:pStyle w:val="BodyText"/>
        <w:spacing w:line="316" w:lineRule="auto" w:before="46"/>
        <w:ind w:right="1435" w:firstLine="420"/>
        <w:jc w:val="both"/>
      </w:pPr>
      <w:r>
        <w:rPr>
          <w:rFonts w:ascii="Wingdings" w:hAnsi="Wingdings" w:cs="Wingdings" w:eastAsia="Wingdings" w:hint="default"/>
        </w:rPr>
        <w:t></w:t>
      </w:r>
      <w:r>
        <w:rPr>
          <w:rFonts w:ascii="Wingdings" w:hAnsi="Wingdings" w:cs="Wingdings" w:eastAsia="Wingdings" w:hint="default"/>
          <w:spacing w:val="30"/>
        </w:rPr>
        <w:t></w:t>
      </w:r>
      <w:r>
        <w:rPr>
          <w:rFonts w:ascii="Times New Roman" w:hAnsi="Times New Roman" w:cs="Times New Roman" w:eastAsia="Times New Roman" w:hint="default"/>
          <w:spacing w:val="30"/>
        </w:rPr>
      </w:r>
      <w:r>
        <w:rPr/>
        <w:t>不断改善和优化薪酬激励体系，建立员工薪酬与工作绩效关联的薪酬机制，创 新激励方式。</w:t>
      </w:r>
    </w:p>
    <w:p>
      <w:pPr>
        <w:pStyle w:val="BodyText"/>
        <w:tabs>
          <w:tab w:pos="1040" w:val="left" w:leader="none"/>
        </w:tabs>
        <w:spacing w:line="240" w:lineRule="auto" w:before="46"/>
        <w:ind w:left="560" w:right="1314"/>
        <w:jc w:val="left"/>
      </w:pPr>
      <w:r>
        <w:rPr>
          <w:rFonts w:ascii="Wingdings" w:hAnsi="Wingdings" w:cs="Wingdings" w:eastAsia="Wingdings" w:hint="default"/>
        </w:rPr>
        <w:t></w:t>
      </w:r>
      <w:r>
        <w:rPr>
          <w:rFonts w:ascii="Times New Roman" w:hAnsi="Times New Roman" w:cs="Times New Roman" w:eastAsia="Times New Roman" w:hint="default"/>
        </w:rPr>
        <w:tab/>
      </w:r>
      <w:r>
        <w:rPr/>
        <w:t>强化对员工业务知识和专业技能培训，并根据业务和岗位发展需要加强人员岗</w:t>
      </w:r>
    </w:p>
    <w:p>
      <w:pPr>
        <w:spacing w:after="0" w:line="240" w:lineRule="auto"/>
        <w:jc w:val="left"/>
        <w:sectPr>
          <w:footerReference w:type="default" r:id="rId47"/>
          <w:pgSz w:w="11910" w:h="16840"/>
          <w:pgMar w:footer="783" w:header="748" w:top="980" w:bottom="980" w:left="1300" w:right="0"/>
          <w:pgNumType w:start="62"/>
        </w:sectPr>
      </w:pPr>
    </w:p>
    <w:p>
      <w:pPr>
        <w:spacing w:line="240" w:lineRule="auto" w:before="6"/>
        <w:rPr>
          <w:rFonts w:ascii="宋体" w:hAnsi="宋体" w:cs="宋体" w:eastAsia="宋体" w:hint="default"/>
          <w:sz w:val="29"/>
          <w:szCs w:val="29"/>
        </w:rPr>
      </w:pPr>
    </w:p>
    <w:p>
      <w:pPr>
        <w:pStyle w:val="BodyText"/>
        <w:spacing w:line="333" w:lineRule="auto" w:before="26"/>
        <w:ind w:right="1328"/>
        <w:jc w:val="left"/>
      </w:pPr>
      <w:r>
        <w:rPr/>
        <w:t>位绩效考核，调整部分不能满足公司未来发展需要的人员，优化管理团队结构和成员， 推进企业精细化管理，提高管理效率。</w:t>
      </w:r>
    </w:p>
    <w:p>
      <w:pPr>
        <w:pStyle w:val="BodyText"/>
        <w:spacing w:line="357" w:lineRule="auto" w:before="29"/>
        <w:ind w:left="620" w:right="1310" w:firstLine="60"/>
        <w:jc w:val="left"/>
      </w:pPr>
      <w:r>
        <w:rPr/>
        <w:t>（二）未来资金需求及使用计划 </w:t>
      </w:r>
      <w:r>
        <w:rPr>
          <w:spacing w:val="-6"/>
        </w:rPr>
        <w:t>结合发展战略目标，公司将制定切实可行的发展规划和实施计划，合理筹集、安排、</w:t>
      </w:r>
    </w:p>
    <w:p>
      <w:pPr>
        <w:pStyle w:val="BodyText"/>
        <w:spacing w:line="357" w:lineRule="auto" w:before="36"/>
        <w:ind w:right="1314"/>
        <w:jc w:val="left"/>
      </w:pPr>
      <w:r>
        <w:rPr>
          <w:spacing w:val="-6"/>
        </w:rPr>
        <w:t>使用资金。公司银行信贷信誉良好，同时作为上市公司，有条件使用多种方式筹集资金，</w:t>
      </w:r>
      <w:r>
        <w:rPr>
          <w:spacing w:val="-96"/>
        </w:rPr>
        <w:t> </w:t>
      </w:r>
      <w:r>
        <w:rPr>
          <w:spacing w:val="-96"/>
        </w:rPr>
      </w:r>
      <w:r>
        <w:rPr/>
        <w:t>未来资金来源有充足保证。</w:t>
      </w:r>
    </w:p>
    <w:p>
      <w:pPr>
        <w:pStyle w:val="BodyText"/>
        <w:spacing w:line="348" w:lineRule="auto" w:before="36"/>
        <w:ind w:left="620" w:right="1436" w:firstLine="2"/>
        <w:jc w:val="left"/>
      </w:pPr>
      <w:r>
        <w:rPr/>
        <w:t>（三）生产经营环境以及宏观政策、法规发生重大变化对公司的影响 </w:t>
      </w:r>
      <w:r>
        <w:rPr>
          <w:rFonts w:ascii="Times New Roman" w:hAnsi="Times New Roman" w:cs="Times New Roman" w:eastAsia="Times New Roman" w:hint="default"/>
        </w:rPr>
        <w:t>1</w:t>
      </w:r>
      <w:r>
        <w:rPr/>
        <w:t>、短期内家电市场增长平缓 </w:t>
      </w:r>
      <w:r>
        <w:rPr>
          <w:spacing w:val="-3"/>
        </w:rPr>
        <w:t>激励政策陆续退出以及宏观调控政策的持续，加之一二级市场传统家电产品的保有</w:t>
      </w:r>
    </w:p>
    <w:p>
      <w:pPr>
        <w:pStyle w:val="BodyText"/>
        <w:spacing w:line="333" w:lineRule="auto" w:before="14"/>
        <w:ind w:right="1328"/>
        <w:jc w:val="left"/>
      </w:pPr>
      <w:r>
        <w:rPr>
          <w:spacing w:val="-3"/>
        </w:rPr>
        <w:t>率逐步趋于饱和，家电市场增长有所放缓。公司积极应对市场变化，提前布局，注重区</w:t>
      </w:r>
      <w:r>
        <w:rPr>
          <w:spacing w:val="-97"/>
        </w:rPr>
        <w:t> </w:t>
      </w:r>
      <w:r>
        <w:rPr>
          <w:spacing w:val="-97"/>
        </w:rPr>
      </w:r>
      <w:r>
        <w:rPr/>
        <w:t>域、产品的均衡发展，充分发挥公司在商品采购、物流配送、售后服务等方面的优势， 有效提高市场份额。</w:t>
      </w:r>
    </w:p>
    <w:p>
      <w:pPr>
        <w:pStyle w:val="BodyText"/>
        <w:spacing w:line="338" w:lineRule="auto" w:before="29"/>
        <w:ind w:left="620" w:right="1436" w:firstLine="2"/>
        <w:jc w:val="left"/>
      </w:pPr>
      <w:r>
        <w:rPr>
          <w:rFonts w:ascii="Times New Roman" w:hAnsi="Times New Roman" w:cs="Times New Roman" w:eastAsia="Times New Roman" w:hint="default"/>
        </w:rPr>
        <w:t>2</w:t>
      </w:r>
      <w:r>
        <w:rPr/>
        <w:t>、电子商务业务迅速崛起，创新零售模式 </w:t>
      </w:r>
      <w:r>
        <w:rPr>
          <w:spacing w:val="-3"/>
        </w:rPr>
        <w:t>近年来，网络购物逐渐成为年轻消费群体热衷的购物方式，且随着线下实体平台运</w:t>
      </w:r>
    </w:p>
    <w:p>
      <w:pPr>
        <w:pStyle w:val="BodyText"/>
        <w:spacing w:line="357" w:lineRule="auto" w:before="56"/>
        <w:ind w:right="1328"/>
        <w:jc w:val="left"/>
      </w:pPr>
      <w:r>
        <w:rPr/>
        <w:t>营成本的不断攀升，众多企业纷纷布局网上零售，电子商务业务呈现爆发式增长态势。 </w:t>
      </w:r>
      <w:r>
        <w:rPr>
          <w:spacing w:val="-3"/>
        </w:rPr>
        <w:t>面对这一变化趋势，苏宁明确了“虚实结合”的电子商务发展战略，加大电子商务平台</w:t>
      </w:r>
      <w:r>
        <w:rPr>
          <w:spacing w:val="-96"/>
        </w:rPr>
        <w:t> </w:t>
      </w:r>
      <w:r>
        <w:rPr>
          <w:spacing w:val="-96"/>
        </w:rPr>
      </w:r>
      <w:r>
        <w:rPr>
          <w:spacing w:val="-3"/>
        </w:rPr>
        <w:t>的投入力度，不断丰富产品线、持续优化网页设计和购物流程，并针对网购商品特点建</w:t>
      </w:r>
      <w:r>
        <w:rPr>
          <w:spacing w:val="-102"/>
        </w:rPr>
        <w:t> </w:t>
      </w:r>
      <w:r>
        <w:rPr>
          <w:spacing w:val="-102"/>
        </w:rPr>
      </w:r>
      <w:r>
        <w:rPr/>
        <w:t>立专门的小件商品快速配送体系，显著提升消费者网购体验，电子商务业务迅速增长。</w:t>
      </w:r>
    </w:p>
    <w:p>
      <w:pPr>
        <w:pStyle w:val="BodyText"/>
        <w:spacing w:line="338" w:lineRule="auto" w:before="36"/>
        <w:ind w:left="620" w:right="1436" w:firstLine="2"/>
        <w:jc w:val="left"/>
      </w:pPr>
      <w:r>
        <w:rPr>
          <w:rFonts w:ascii="Times New Roman" w:hAnsi="Times New Roman" w:cs="Times New Roman" w:eastAsia="Times New Roman" w:hint="default"/>
        </w:rPr>
        <w:t>3</w:t>
      </w:r>
      <w:r>
        <w:rPr/>
        <w:t>、通胀压力下运营成本上升 </w:t>
      </w:r>
      <w:r>
        <w:rPr>
          <w:spacing w:val="-3"/>
        </w:rPr>
        <w:t>随着经济的快速发展，通胀压力在中长期将存在，商业物业租赁成本、人员费用支</w:t>
      </w:r>
    </w:p>
    <w:p>
      <w:pPr>
        <w:pStyle w:val="BodyText"/>
        <w:spacing w:line="357" w:lineRule="auto" w:before="55"/>
        <w:ind w:right="1314"/>
        <w:jc w:val="left"/>
      </w:pPr>
      <w:r>
        <w:rPr>
          <w:spacing w:val="-3"/>
        </w:rPr>
        <w:t>出呈上涨趋势不可避免，公司面临运营成本上升的风险。对此，公司已提前规划，加强</w:t>
      </w:r>
      <w:r>
        <w:rPr>
          <w:spacing w:val="-95"/>
        </w:rPr>
        <w:t> </w:t>
      </w:r>
      <w:r>
        <w:rPr>
          <w:spacing w:val="-95"/>
        </w:rPr>
      </w:r>
      <w:r>
        <w:rPr/>
        <w:t>效率考核，注重人效、坪效等指标的提升，合理控制成本。</w:t>
      </w:r>
    </w:p>
    <w:p>
      <w:pPr>
        <w:spacing w:after="0" w:line="357" w:lineRule="auto"/>
        <w:jc w:val="left"/>
        <w:sectPr>
          <w:pgSz w:w="11910" w:h="16840"/>
          <w:pgMar w:header="748" w:footer="783" w:top="980" w:bottom="1000" w:left="1300" w:right="0"/>
        </w:sectPr>
      </w:pPr>
    </w:p>
    <w:p>
      <w:pPr>
        <w:spacing w:line="240" w:lineRule="auto" w:before="6"/>
        <w:rPr>
          <w:rFonts w:ascii="宋体" w:hAnsi="宋体" w:cs="宋体" w:eastAsia="宋体" w:hint="default"/>
          <w:sz w:val="29"/>
          <w:szCs w:val="29"/>
        </w:rPr>
      </w:pPr>
    </w:p>
    <w:p>
      <w:pPr>
        <w:pStyle w:val="BodyText"/>
        <w:spacing w:line="240" w:lineRule="auto" w:before="26"/>
        <w:ind w:left="1100" w:right="1328"/>
        <w:jc w:val="left"/>
      </w:pPr>
      <w:r>
        <w:rPr/>
        <w:t>四、报告期公司投资情况</w:t>
      </w:r>
    </w:p>
    <w:p>
      <w:pPr>
        <w:pStyle w:val="BodyText"/>
        <w:spacing w:line="240" w:lineRule="auto" w:before="122"/>
        <w:ind w:left="1100" w:right="1328"/>
        <w:jc w:val="left"/>
      </w:pPr>
      <w:r>
        <w:rPr/>
        <w:t>（一）公司募集资金使用情况</w:t>
      </w:r>
    </w:p>
    <w:p>
      <w:pPr>
        <w:tabs>
          <w:tab w:pos="7821" w:val="left" w:leader="none"/>
        </w:tabs>
        <w:spacing w:before="154"/>
        <w:ind w:left="1100" w:right="132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4"/>
          <w:szCs w:val="24"/>
        </w:rPr>
        <w:t>1</w:t>
      </w:r>
      <w:r>
        <w:rPr>
          <w:rFonts w:ascii="宋体" w:hAnsi="宋体" w:cs="宋体" w:eastAsia="宋体" w:hint="default"/>
          <w:spacing w:val="-1"/>
          <w:sz w:val="24"/>
          <w:szCs w:val="24"/>
        </w:rPr>
        <w:t>、募集资金承诺项目使用情况</w:t>
        <w:tab/>
      </w:r>
      <w:r>
        <w:rPr>
          <w:rFonts w:ascii="宋体" w:hAnsi="宋体" w:cs="宋体" w:eastAsia="宋体" w:hint="default"/>
          <w:spacing w:val="-1"/>
          <w:sz w:val="21"/>
          <w:szCs w:val="21"/>
        </w:rPr>
        <w:t>（单位：千元）</w:t>
      </w:r>
    </w:p>
    <w:p>
      <w:pPr>
        <w:pStyle w:val="BodyText"/>
        <w:tabs>
          <w:tab w:pos="1520" w:val="left" w:leader="none"/>
        </w:tabs>
        <w:spacing w:line="240" w:lineRule="auto"/>
        <w:ind w:left="1100" w:right="1328"/>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2006 </w:t>
      </w:r>
      <w:r>
        <w:rPr/>
        <w:t>年非公开发行股票募集资金使用情况</w:t>
      </w:r>
    </w:p>
    <w:p>
      <w:pPr>
        <w:spacing w:line="240" w:lineRule="auto" w:before="6"/>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538"/>
        <w:gridCol w:w="540"/>
        <w:gridCol w:w="107"/>
        <w:gridCol w:w="793"/>
        <w:gridCol w:w="901"/>
        <w:gridCol w:w="900"/>
        <w:gridCol w:w="900"/>
        <w:gridCol w:w="1097"/>
        <w:gridCol w:w="910"/>
        <w:gridCol w:w="745"/>
        <w:gridCol w:w="540"/>
        <w:gridCol w:w="821"/>
        <w:gridCol w:w="708"/>
        <w:gridCol w:w="543"/>
      </w:tblGrid>
      <w:tr>
        <w:trPr>
          <w:trHeight w:val="300" w:hRule="exact"/>
        </w:trPr>
        <w:tc>
          <w:tcPr>
            <w:tcW w:w="2879"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0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07"/>
              <w:ind w:left="974" w:right="0"/>
              <w:jc w:val="left"/>
              <w:rPr>
                <w:rFonts w:ascii="Times New Roman" w:hAnsi="Times New Roman" w:cs="Times New Roman" w:eastAsia="Times New Roman" w:hint="default"/>
                <w:sz w:val="15"/>
                <w:szCs w:val="15"/>
              </w:rPr>
            </w:pPr>
            <w:r>
              <w:rPr>
                <w:rFonts w:ascii="Times New Roman"/>
                <w:sz w:val="15"/>
              </w:rPr>
              <w:t>1,195,020.0</w:t>
            </w:r>
          </w:p>
        </w:tc>
        <w:tc>
          <w:tcPr>
            <w:tcW w:w="4112"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1224"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51"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52"/>
              <w:ind w:left="686" w:right="0"/>
              <w:jc w:val="left"/>
              <w:rPr>
                <w:rFonts w:ascii="Times New Roman" w:hAnsi="Times New Roman" w:cs="Times New Roman" w:eastAsia="Times New Roman" w:hint="default"/>
                <w:sz w:val="15"/>
                <w:szCs w:val="15"/>
              </w:rPr>
            </w:pPr>
            <w:r>
              <w:rPr>
                <w:rFonts w:ascii="Times New Roman"/>
                <w:sz w:val="15"/>
              </w:rPr>
              <w:t>1,198.3</w:t>
            </w:r>
          </w:p>
        </w:tc>
      </w:tr>
      <w:tr>
        <w:trPr>
          <w:trHeight w:val="295" w:hRule="exact"/>
        </w:trPr>
        <w:tc>
          <w:tcPr>
            <w:tcW w:w="2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10"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15"/>
                <w:szCs w:val="15"/>
              </w:rPr>
            </w:pPr>
            <w:r>
              <w:rPr>
                <w:rFonts w:ascii="Times New Roman"/>
                <w:spacing w:val="-1"/>
                <w:sz w:val="15"/>
              </w:rPr>
              <w:t>0.0</w:t>
            </w:r>
          </w:p>
        </w:tc>
        <w:tc>
          <w:tcPr>
            <w:tcW w:w="4112" w:type="dxa"/>
            <w:gridSpan w:val="5"/>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4"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51"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4" w:right="0"/>
              <w:jc w:val="left"/>
              <w:rPr>
                <w:rFonts w:ascii="Times New Roman" w:hAnsi="Times New Roman" w:cs="Times New Roman" w:eastAsia="Times New Roman" w:hint="default"/>
                <w:sz w:val="15"/>
                <w:szCs w:val="15"/>
              </w:rPr>
            </w:pPr>
            <w:r>
              <w:rPr>
                <w:rFonts w:ascii="Times New Roman"/>
                <w:sz w:val="15"/>
              </w:rPr>
              <w:t>1,195,020.0</w:t>
            </w:r>
          </w:p>
        </w:tc>
      </w:tr>
      <w:tr>
        <w:trPr>
          <w:trHeight w:val="295" w:hRule="exact"/>
        </w:trPr>
        <w:tc>
          <w:tcPr>
            <w:tcW w:w="2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8"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Times New Roman" w:hAnsi="Times New Roman" w:cs="Times New Roman" w:eastAsia="Times New Roman" w:hint="default"/>
                <w:sz w:val="15"/>
                <w:szCs w:val="15"/>
              </w:rPr>
            </w:pPr>
            <w:r>
              <w:rPr>
                <w:rFonts w:ascii="Times New Roman"/>
                <w:sz w:val="15"/>
              </w:rPr>
              <w:t>0%</w:t>
            </w:r>
          </w:p>
        </w:tc>
        <w:tc>
          <w:tcPr>
            <w:tcW w:w="4112" w:type="dxa"/>
            <w:gridSpan w:val="5"/>
            <w:vMerge/>
            <w:tcBorders>
              <w:left w:val="single" w:sz="4" w:space="0" w:color="000000"/>
              <w:bottom w:val="single" w:sz="4" w:space="0" w:color="000000"/>
              <w:right w:val="single" w:sz="4" w:space="0" w:color="000000"/>
            </w:tcBorders>
          </w:tcPr>
          <w:p>
            <w:pPr/>
          </w:p>
        </w:tc>
        <w:tc>
          <w:tcPr>
            <w:tcW w:w="1251" w:type="dxa"/>
            <w:gridSpan w:val="2"/>
            <w:vMerge/>
            <w:tcBorders>
              <w:left w:val="single" w:sz="4" w:space="0" w:color="000000"/>
              <w:bottom w:val="single" w:sz="4" w:space="0" w:color="000000"/>
              <w:right w:val="single" w:sz="4" w:space="0" w:color="000000"/>
            </w:tcBorders>
          </w:tcPr>
          <w:p>
            <w:pPr/>
          </w:p>
        </w:tc>
      </w:tr>
      <w:tr>
        <w:trPr>
          <w:trHeight w:val="1376"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108"/>
              <w:jc w:val="both"/>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spacing w:val="-73"/>
                <w:sz w:val="15"/>
                <w:szCs w:val="15"/>
              </w:rPr>
              <w:t> </w:t>
            </w: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8" w:firstLine="43"/>
              <w:jc w:val="both"/>
              <w:rPr>
                <w:rFonts w:ascii="宋体" w:hAnsi="宋体" w:cs="宋体" w:eastAsia="宋体" w:hint="default"/>
                <w:sz w:val="15"/>
                <w:szCs w:val="15"/>
              </w:rPr>
            </w:pPr>
            <w:r>
              <w:rPr>
                <w:rFonts w:ascii="宋体" w:hAnsi="宋体" w:cs="宋体" w:eastAsia="宋体" w:hint="default"/>
                <w:sz w:val="15"/>
                <w:szCs w:val="15"/>
              </w:rPr>
              <w:t>是否已</w:t>
            </w:r>
            <w:r>
              <w:rPr>
                <w:rFonts w:ascii="宋体" w:hAnsi="宋体" w:cs="宋体" w:eastAsia="宋体" w:hint="default"/>
                <w:w w:val="100"/>
                <w:sz w:val="15"/>
                <w:szCs w:val="15"/>
              </w:rPr>
              <w:t> </w:t>
            </w:r>
            <w:r>
              <w:rPr>
                <w:rFonts w:ascii="宋体" w:hAnsi="宋体" w:cs="宋体" w:eastAsia="宋体" w:hint="default"/>
                <w:sz w:val="15"/>
                <w:szCs w:val="15"/>
              </w:rPr>
              <w:t>变更项</w:t>
            </w:r>
            <w:r>
              <w:rPr>
                <w:rFonts w:ascii="宋体" w:hAnsi="宋体" w:cs="宋体" w:eastAsia="宋体" w:hint="default"/>
                <w:spacing w:val="-72"/>
                <w:sz w:val="15"/>
                <w:szCs w:val="15"/>
              </w:rPr>
              <w:t> </w:t>
            </w:r>
            <w:r>
              <w:rPr>
                <w:rFonts w:ascii="宋体" w:hAnsi="宋体" w:cs="宋体" w:eastAsia="宋体" w:hint="default"/>
                <w:spacing w:val="-17"/>
                <w:w w:val="100"/>
                <w:sz w:val="15"/>
                <w:szCs w:val="15"/>
              </w:rPr>
              <w:t>目（含部</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z w:val="15"/>
                <w:szCs w:val="15"/>
              </w:rPr>
              <w:t>分变更</w:t>
            </w:r>
          </w:p>
        </w:tc>
        <w:tc>
          <w:tcPr>
            <w:tcW w:w="1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92"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7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 w:right="142"/>
              <w:jc w:val="center"/>
              <w:rPr>
                <w:rFonts w:ascii="宋体" w:hAnsi="宋体" w:cs="宋体" w:eastAsia="宋体" w:hint="default"/>
                <w:sz w:val="15"/>
                <w:szCs w:val="15"/>
              </w:rPr>
            </w:pPr>
            <w:r>
              <w:rPr>
                <w:rFonts w:ascii="宋体" w:hAnsi="宋体" w:cs="宋体" w:eastAsia="宋体" w:hint="default"/>
                <w:spacing w:val="-1"/>
                <w:sz w:val="15"/>
                <w:szCs w:val="15"/>
              </w:rPr>
              <w:t>募集资金</w:t>
            </w:r>
            <w:r>
              <w:rPr>
                <w:rFonts w:ascii="宋体" w:hAnsi="宋体" w:cs="宋体" w:eastAsia="宋体" w:hint="default"/>
                <w:w w:val="100"/>
                <w:sz w:val="15"/>
                <w:szCs w:val="15"/>
              </w:rPr>
              <w:t> </w:t>
            </w:r>
            <w:r>
              <w:rPr>
                <w:rFonts w:ascii="宋体" w:hAnsi="宋体" w:cs="宋体" w:eastAsia="宋体" w:hint="default"/>
                <w:spacing w:val="-1"/>
                <w:sz w:val="15"/>
                <w:szCs w:val="15"/>
              </w:rPr>
              <w:t>承诺投资</w:t>
            </w:r>
            <w:r>
              <w:rPr>
                <w:rFonts w:ascii="宋体" w:hAnsi="宋体" w:cs="宋体" w:eastAsia="宋体" w:hint="default"/>
                <w:w w:val="100"/>
                <w:sz w:val="15"/>
                <w:szCs w:val="15"/>
              </w:rPr>
              <w:t> </w:t>
            </w:r>
            <w:r>
              <w:rPr>
                <w:rFonts w:ascii="宋体" w:hAnsi="宋体" w:cs="宋体" w:eastAsia="宋体" w:hint="default"/>
                <w:sz w:val="15"/>
                <w:szCs w:val="15"/>
              </w:rPr>
              <w:t>总额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8" w:right="142" w:hanging="75"/>
              <w:jc w:val="left"/>
              <w:rPr>
                <w:rFonts w:ascii="宋体" w:hAnsi="宋体" w:cs="宋体" w:eastAsia="宋体" w:hint="default"/>
                <w:sz w:val="15"/>
                <w:szCs w:val="15"/>
              </w:rPr>
            </w:pPr>
            <w:r>
              <w:rPr>
                <w:rFonts w:ascii="宋体" w:hAnsi="宋体" w:cs="宋体" w:eastAsia="宋体" w:hint="default"/>
                <w:sz w:val="15"/>
                <w:szCs w:val="15"/>
              </w:rPr>
              <w:t>调整后投</w:t>
            </w:r>
            <w:r>
              <w:rPr>
                <w:rFonts w:ascii="宋体" w:hAnsi="宋体" w:cs="宋体" w:eastAsia="宋体" w:hint="default"/>
                <w:w w:val="100"/>
                <w:sz w:val="15"/>
                <w:szCs w:val="15"/>
              </w:rPr>
              <w:t> </w:t>
            </w:r>
            <w:r>
              <w:rPr>
                <w:rFonts w:ascii="宋体" w:hAnsi="宋体" w:cs="宋体" w:eastAsia="宋体" w:hint="default"/>
                <w:sz w:val="15"/>
                <w:szCs w:val="15"/>
              </w:rPr>
              <w:t>资总额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43" w:right="142"/>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承诺投入</w:t>
            </w:r>
            <w:r>
              <w:rPr>
                <w:rFonts w:ascii="宋体" w:hAnsi="宋体" w:cs="宋体" w:eastAsia="宋体" w:hint="default"/>
                <w:w w:val="100"/>
                <w:sz w:val="15"/>
                <w:szCs w:val="15"/>
              </w:rPr>
              <w:t> </w:t>
            </w:r>
            <w:r>
              <w:rPr>
                <w:rFonts w:ascii="宋体" w:hAnsi="宋体" w:cs="宋体" w:eastAsia="宋体" w:hint="default"/>
                <w:sz w:val="15"/>
                <w:szCs w:val="15"/>
              </w:rPr>
              <w:t>金额</w:t>
            </w:r>
            <w:r>
              <w:rPr>
                <w:rFonts w:ascii="Times New Roman" w:hAnsi="Times New Roman" w:cs="Times New Roman" w:eastAsia="Times New Roman"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8" w:right="142" w:hanging="75"/>
              <w:jc w:val="left"/>
              <w:rPr>
                <w:rFonts w:ascii="宋体" w:hAnsi="宋体" w:cs="宋体" w:eastAsia="宋体" w:hint="default"/>
                <w:sz w:val="15"/>
                <w:szCs w:val="15"/>
              </w:rPr>
            </w:pPr>
            <w:r>
              <w:rPr>
                <w:rFonts w:ascii="宋体" w:hAnsi="宋体" w:cs="宋体" w:eastAsia="宋体" w:hint="default"/>
                <w:sz w:val="15"/>
                <w:szCs w:val="15"/>
              </w:rPr>
              <w:t>本年度投</w:t>
            </w:r>
            <w:r>
              <w:rPr>
                <w:rFonts w:ascii="宋体" w:hAnsi="宋体" w:cs="宋体" w:eastAsia="宋体" w:hint="default"/>
                <w:w w:val="100"/>
                <w:sz w:val="15"/>
                <w:szCs w:val="15"/>
              </w:rPr>
              <w:t> </w:t>
            </w:r>
            <w:r>
              <w:rPr>
                <w:rFonts w:ascii="宋体" w:hAnsi="宋体" w:cs="宋体" w:eastAsia="宋体" w:hint="default"/>
                <w:sz w:val="15"/>
                <w:szCs w:val="15"/>
              </w:rPr>
              <w:t>入金额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9" w:lineRule="auto"/>
              <w:ind w:left="167" w:right="164"/>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截至期末累</w:t>
            </w:r>
            <w:r>
              <w:rPr>
                <w:rFonts w:ascii="宋体" w:hAnsi="宋体" w:cs="宋体" w:eastAsia="宋体" w:hint="default"/>
                <w:w w:val="100"/>
                <w:sz w:val="15"/>
                <w:szCs w:val="15"/>
              </w:rPr>
              <w:t> </w:t>
            </w:r>
            <w:r>
              <w:rPr>
                <w:rFonts w:ascii="宋体" w:hAnsi="宋体" w:cs="宋体" w:eastAsia="宋体" w:hint="default"/>
                <w:sz w:val="15"/>
                <w:szCs w:val="15"/>
              </w:rPr>
              <w:t>计投入金额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84"/>
              <w:ind w:left="119" w:right="115" w:firstLine="31"/>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累计投入</w:t>
            </w:r>
            <w:r>
              <w:rPr>
                <w:rFonts w:ascii="宋体" w:hAnsi="宋体" w:cs="宋体" w:eastAsia="宋体" w:hint="default"/>
                <w:w w:val="100"/>
                <w:sz w:val="15"/>
                <w:szCs w:val="15"/>
              </w:rPr>
              <w:t> </w:t>
            </w:r>
            <w:r>
              <w:rPr>
                <w:rFonts w:ascii="宋体" w:hAnsi="宋体" w:cs="宋体" w:eastAsia="宋体" w:hint="default"/>
                <w:sz w:val="15"/>
                <w:szCs w:val="15"/>
              </w:rPr>
              <w:t>金额与承</w:t>
            </w:r>
            <w:r>
              <w:rPr>
                <w:rFonts w:ascii="宋体" w:hAnsi="宋体" w:cs="宋体" w:eastAsia="宋体" w:hint="default"/>
                <w:w w:val="100"/>
                <w:sz w:val="15"/>
                <w:szCs w:val="15"/>
              </w:rPr>
              <w:t> </w:t>
            </w:r>
            <w:r>
              <w:rPr>
                <w:rFonts w:ascii="宋体" w:hAnsi="宋体" w:cs="宋体" w:eastAsia="宋体" w:hint="default"/>
                <w:sz w:val="15"/>
                <w:szCs w:val="15"/>
              </w:rPr>
              <w:t>诺投入金</w:t>
            </w:r>
            <w:r>
              <w:rPr>
                <w:rFonts w:ascii="宋体" w:hAnsi="宋体" w:cs="宋体" w:eastAsia="宋体" w:hint="default"/>
                <w:w w:val="100"/>
                <w:sz w:val="15"/>
                <w:szCs w:val="15"/>
              </w:rPr>
              <w:t> </w:t>
            </w:r>
            <w:r>
              <w:rPr>
                <w:rFonts w:ascii="宋体" w:hAnsi="宋体" w:cs="宋体" w:eastAsia="宋体" w:hint="default"/>
                <w:sz w:val="15"/>
                <w:szCs w:val="15"/>
              </w:rPr>
              <w:t>额的差额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(3)=(2)-(1)</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76" w:right="53"/>
              <w:jc w:val="left"/>
              <w:rPr>
                <w:rFonts w:ascii="宋体" w:hAnsi="宋体" w:cs="宋体" w:eastAsia="宋体"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投入进度</w:t>
            </w:r>
          </w:p>
          <w:p>
            <w:pPr>
              <w:pStyle w:val="TableParagraph"/>
              <w:spacing w:line="206" w:lineRule="exact"/>
              <w:ind w:left="18" w:right="0"/>
              <w:jc w:val="center"/>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p>
            <w:pPr>
              <w:pStyle w:val="TableParagraph"/>
              <w:spacing w:line="240" w:lineRule="auto" w:before="5"/>
              <w:ind w:left="17" w:right="0"/>
              <w:jc w:val="center"/>
              <w:rPr>
                <w:rFonts w:ascii="Times New Roman" w:hAnsi="Times New Roman" w:cs="Times New Roman" w:eastAsia="Times New Roman" w:hint="default"/>
                <w:sz w:val="15"/>
                <w:szCs w:val="15"/>
              </w:rPr>
            </w:pPr>
            <w:r>
              <w:rPr>
                <w:rFonts w:ascii="Times New Roman"/>
                <w:sz w:val="15"/>
              </w:rPr>
              <w:t>(4)=(2)/(1)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0" w:right="115"/>
              <w:jc w:val="both"/>
              <w:rPr>
                <w:rFonts w:ascii="宋体" w:hAnsi="宋体" w:cs="宋体" w:eastAsia="宋体" w:hint="default"/>
                <w:sz w:val="15"/>
                <w:szCs w:val="15"/>
              </w:rPr>
            </w:pPr>
            <w:r>
              <w:rPr>
                <w:rFonts w:ascii="宋体" w:hAnsi="宋体" w:cs="宋体" w:eastAsia="宋体" w:hint="default"/>
                <w:sz w:val="15"/>
                <w:szCs w:val="15"/>
              </w:rPr>
              <w:t>达到</w:t>
            </w:r>
            <w:r>
              <w:rPr>
                <w:rFonts w:ascii="宋体" w:hAnsi="宋体" w:cs="宋体" w:eastAsia="宋体" w:hint="default"/>
                <w:spacing w:val="-73"/>
                <w:sz w:val="15"/>
                <w:szCs w:val="15"/>
              </w:rPr>
              <w:t> </w:t>
            </w:r>
            <w:r>
              <w:rPr>
                <w:rFonts w:ascii="宋体" w:hAnsi="宋体" w:cs="宋体" w:eastAsia="宋体" w:hint="default"/>
                <w:sz w:val="15"/>
                <w:szCs w:val="15"/>
              </w:rPr>
              <w:t>预定</w:t>
            </w:r>
            <w:r>
              <w:rPr>
                <w:rFonts w:ascii="宋体" w:hAnsi="宋体" w:cs="宋体" w:eastAsia="宋体" w:hint="default"/>
                <w:spacing w:val="-73"/>
                <w:sz w:val="15"/>
                <w:szCs w:val="15"/>
              </w:rPr>
              <w:t> </w:t>
            </w:r>
            <w:r>
              <w:rPr>
                <w:rFonts w:ascii="宋体" w:hAnsi="宋体" w:cs="宋体" w:eastAsia="宋体" w:hint="default"/>
                <w:sz w:val="15"/>
                <w:szCs w:val="15"/>
              </w:rPr>
              <w:t>可使</w:t>
            </w:r>
            <w:r>
              <w:rPr>
                <w:rFonts w:ascii="宋体" w:hAnsi="宋体" w:cs="宋体" w:eastAsia="宋体" w:hint="default"/>
                <w:spacing w:val="-73"/>
                <w:sz w:val="15"/>
                <w:szCs w:val="15"/>
              </w:rPr>
              <w:t> </w:t>
            </w:r>
            <w:r>
              <w:rPr>
                <w:rFonts w:ascii="宋体" w:hAnsi="宋体" w:cs="宋体" w:eastAsia="宋体" w:hint="default"/>
                <w:sz w:val="15"/>
                <w:szCs w:val="15"/>
              </w:rPr>
              <w:t>用状</w:t>
            </w:r>
            <w:r>
              <w:rPr>
                <w:rFonts w:ascii="宋体" w:hAnsi="宋体" w:cs="宋体" w:eastAsia="宋体" w:hint="default"/>
                <w:spacing w:val="-73"/>
                <w:sz w:val="15"/>
                <w:szCs w:val="15"/>
              </w:rPr>
              <w:t> </w:t>
            </w:r>
            <w:r>
              <w:rPr>
                <w:rFonts w:ascii="宋体" w:hAnsi="宋体" w:cs="宋体" w:eastAsia="宋体" w:hint="default"/>
                <w:sz w:val="15"/>
                <w:szCs w:val="15"/>
              </w:rPr>
              <w:t>态日</w:t>
            </w:r>
            <w:r>
              <w:rPr>
                <w:rFonts w:ascii="宋体" w:hAnsi="宋体" w:cs="宋体" w:eastAsia="宋体" w:hint="default"/>
                <w:spacing w:val="-73"/>
                <w:sz w:val="15"/>
                <w:szCs w:val="15"/>
              </w:rPr>
              <w:t> </w:t>
            </w:r>
            <w:r>
              <w:rPr>
                <w:rFonts w:ascii="宋体" w:hAnsi="宋体" w:cs="宋体" w:eastAsia="宋体" w:hint="default"/>
                <w:sz w:val="15"/>
                <w:szCs w:val="15"/>
              </w:rPr>
              <w:t>期</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5" w:right="29" w:hanging="149"/>
              <w:jc w:val="left"/>
              <w:rPr>
                <w:rFonts w:ascii="宋体" w:hAnsi="宋体" w:cs="宋体" w:eastAsia="宋体" w:hint="default"/>
                <w:sz w:val="15"/>
                <w:szCs w:val="15"/>
              </w:rPr>
            </w:pPr>
            <w:r>
              <w:rPr>
                <w:rFonts w:ascii="宋体" w:hAnsi="宋体" w:cs="宋体" w:eastAsia="宋体" w:hint="default"/>
                <w:sz w:val="15"/>
                <w:szCs w:val="15"/>
              </w:rPr>
              <w:t>本年度实现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的效益</w:t>
            </w:r>
          </w:p>
          <w:p>
            <w:pPr>
              <w:pStyle w:val="TableParagraph"/>
              <w:spacing w:line="194" w:lineRule="exact"/>
              <w:ind w:left="-15" w:right="0"/>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120"/>
              <w:jc w:val="both"/>
              <w:rPr>
                <w:rFonts w:ascii="宋体" w:hAnsi="宋体" w:cs="宋体" w:eastAsia="宋体" w:hint="default"/>
                <w:sz w:val="15"/>
                <w:szCs w:val="15"/>
              </w:rPr>
            </w:pPr>
            <w:r>
              <w:rPr>
                <w:rFonts w:ascii="宋体" w:hAnsi="宋体" w:cs="宋体" w:eastAsia="宋体" w:hint="default"/>
                <w:sz w:val="15"/>
                <w:szCs w:val="15"/>
              </w:rPr>
              <w:t>是否达</w:t>
            </w:r>
            <w:r>
              <w:rPr>
                <w:rFonts w:ascii="宋体" w:hAnsi="宋体" w:cs="宋体" w:eastAsia="宋体" w:hint="default"/>
                <w:spacing w:val="-72"/>
                <w:sz w:val="15"/>
                <w:szCs w:val="15"/>
              </w:rPr>
              <w:t> </w:t>
            </w:r>
            <w:r>
              <w:rPr>
                <w:rFonts w:ascii="宋体" w:hAnsi="宋体" w:cs="宋体" w:eastAsia="宋体" w:hint="default"/>
                <w:sz w:val="15"/>
                <w:szCs w:val="15"/>
              </w:rPr>
              <w:t>到预计</w:t>
            </w:r>
            <w:r>
              <w:rPr>
                <w:rFonts w:ascii="宋体" w:hAnsi="宋体" w:cs="宋体" w:eastAsia="宋体" w:hint="default"/>
                <w:spacing w:val="-72"/>
                <w:sz w:val="15"/>
                <w:szCs w:val="15"/>
              </w:rPr>
              <w:t> </w:t>
            </w:r>
            <w:r>
              <w:rPr>
                <w:rFonts w:ascii="宋体" w:hAnsi="宋体" w:cs="宋体" w:eastAsia="宋体" w:hint="default"/>
                <w:sz w:val="15"/>
                <w:szCs w:val="15"/>
              </w:rPr>
              <w:t>效益</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both"/>
              <w:rPr>
                <w:rFonts w:ascii="宋体" w:hAnsi="宋体" w:cs="宋体" w:eastAsia="宋体" w:hint="default"/>
                <w:sz w:val="15"/>
                <w:szCs w:val="15"/>
              </w:rPr>
            </w:pPr>
            <w:r>
              <w:rPr>
                <w:rFonts w:ascii="宋体" w:hAnsi="宋体" w:cs="宋体" w:eastAsia="宋体" w:hint="default"/>
                <w:sz w:val="15"/>
                <w:szCs w:val="15"/>
              </w:rPr>
              <w:t>项目</w:t>
            </w:r>
          </w:p>
          <w:p>
            <w:pPr>
              <w:pStyle w:val="TableParagraph"/>
              <w:spacing w:line="240" w:lineRule="auto"/>
              <w:ind w:left="117" w:right="111"/>
              <w:jc w:val="both"/>
              <w:rPr>
                <w:rFonts w:ascii="宋体" w:hAnsi="宋体" w:cs="宋体" w:eastAsia="宋体" w:hint="default"/>
                <w:sz w:val="15"/>
                <w:szCs w:val="15"/>
              </w:rPr>
            </w:pPr>
            <w:r>
              <w:rPr>
                <w:rFonts w:ascii="宋体" w:hAnsi="宋体" w:cs="宋体" w:eastAsia="宋体" w:hint="default"/>
                <w:sz w:val="15"/>
                <w:szCs w:val="15"/>
              </w:rPr>
              <w:t>可行</w:t>
            </w:r>
            <w:r>
              <w:rPr>
                <w:rFonts w:ascii="宋体" w:hAnsi="宋体" w:cs="宋体" w:eastAsia="宋体" w:hint="default"/>
                <w:spacing w:val="-73"/>
                <w:sz w:val="15"/>
                <w:szCs w:val="15"/>
              </w:rPr>
              <w:t> </w:t>
            </w:r>
            <w:r>
              <w:rPr>
                <w:rFonts w:ascii="宋体" w:hAnsi="宋体" w:cs="宋体" w:eastAsia="宋体" w:hint="default"/>
                <w:sz w:val="15"/>
                <w:szCs w:val="15"/>
              </w:rPr>
              <w:t>性是</w:t>
            </w:r>
            <w:r>
              <w:rPr>
                <w:rFonts w:ascii="宋体" w:hAnsi="宋体" w:cs="宋体" w:eastAsia="宋体" w:hint="default"/>
                <w:spacing w:val="-73"/>
                <w:sz w:val="15"/>
                <w:szCs w:val="15"/>
              </w:rPr>
              <w:t> </w:t>
            </w:r>
            <w:r>
              <w:rPr>
                <w:rFonts w:ascii="宋体" w:hAnsi="宋体" w:cs="宋体" w:eastAsia="宋体" w:hint="default"/>
                <w:sz w:val="15"/>
                <w:szCs w:val="15"/>
              </w:rPr>
              <w:t>否发</w:t>
            </w:r>
            <w:r>
              <w:rPr>
                <w:rFonts w:ascii="宋体" w:hAnsi="宋体" w:cs="宋体" w:eastAsia="宋体" w:hint="default"/>
                <w:spacing w:val="-73"/>
                <w:sz w:val="15"/>
                <w:szCs w:val="15"/>
              </w:rPr>
              <w:t> </w:t>
            </w:r>
            <w:r>
              <w:rPr>
                <w:rFonts w:ascii="宋体" w:hAnsi="宋体" w:cs="宋体" w:eastAsia="宋体" w:hint="default"/>
                <w:sz w:val="15"/>
                <w:szCs w:val="15"/>
              </w:rPr>
              <w:t>生重</w:t>
            </w:r>
            <w:r>
              <w:rPr>
                <w:rFonts w:ascii="宋体" w:hAnsi="宋体" w:cs="宋体" w:eastAsia="宋体" w:hint="default"/>
                <w:spacing w:val="-73"/>
                <w:sz w:val="15"/>
                <w:szCs w:val="15"/>
              </w:rPr>
              <w:t> </w:t>
            </w:r>
            <w:r>
              <w:rPr>
                <w:rFonts w:ascii="宋体" w:hAnsi="宋体" w:cs="宋体" w:eastAsia="宋体" w:hint="default"/>
                <w:sz w:val="15"/>
                <w:szCs w:val="15"/>
              </w:rPr>
              <w:t>大变</w:t>
            </w:r>
            <w:r>
              <w:rPr>
                <w:rFonts w:ascii="宋体" w:hAnsi="宋体" w:cs="宋体" w:eastAsia="宋体" w:hint="default"/>
                <w:spacing w:val="-73"/>
                <w:sz w:val="15"/>
                <w:szCs w:val="15"/>
              </w:rPr>
              <w:t> </w:t>
            </w:r>
            <w:r>
              <w:rPr>
                <w:rFonts w:ascii="宋体" w:hAnsi="宋体" w:cs="宋体" w:eastAsia="宋体" w:hint="default"/>
                <w:sz w:val="15"/>
                <w:szCs w:val="15"/>
              </w:rPr>
              <w:t>化</w:t>
            </w:r>
          </w:p>
        </w:tc>
      </w:tr>
      <w:tr>
        <w:trPr>
          <w:trHeight w:val="962"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201" w:right="0"/>
              <w:jc w:val="both"/>
              <w:rPr>
                <w:rFonts w:ascii="Times New Roman" w:hAnsi="Times New Roman" w:cs="Times New Roman" w:eastAsia="Times New Roman" w:hint="default"/>
                <w:sz w:val="15"/>
                <w:szCs w:val="15"/>
              </w:rPr>
            </w:pPr>
            <w:r>
              <w:rPr>
                <w:rFonts w:ascii="Times New Roman"/>
                <w:sz w:val="15"/>
              </w:rPr>
              <w:t>100</w:t>
            </w:r>
          </w:p>
          <w:p>
            <w:pPr>
              <w:pStyle w:val="TableParagraph"/>
              <w:spacing w:line="237" w:lineRule="auto"/>
              <w:ind w:left="127" w:right="96"/>
              <w:jc w:val="both"/>
              <w:rPr>
                <w:rFonts w:ascii="宋体" w:hAnsi="宋体" w:cs="宋体" w:eastAsia="宋体" w:hint="default"/>
                <w:sz w:val="15"/>
                <w:szCs w:val="15"/>
              </w:rPr>
            </w:pPr>
            <w:r>
              <w:rPr>
                <w:rFonts w:ascii="宋体" w:hAnsi="宋体" w:cs="宋体" w:eastAsia="宋体" w:hint="default"/>
                <w:sz w:val="15"/>
                <w:szCs w:val="15"/>
              </w:rPr>
              <w:t>家连</w:t>
            </w:r>
            <w:r>
              <w:rPr>
                <w:rFonts w:ascii="宋体" w:hAnsi="宋体" w:cs="宋体" w:eastAsia="宋体" w:hint="default"/>
                <w:spacing w:val="-73"/>
                <w:sz w:val="15"/>
                <w:szCs w:val="15"/>
              </w:rPr>
              <w:t> </w:t>
            </w:r>
            <w:r>
              <w:rPr>
                <w:rFonts w:ascii="宋体" w:hAnsi="宋体" w:cs="宋体" w:eastAsia="宋体" w:hint="default"/>
                <w:sz w:val="15"/>
                <w:szCs w:val="15"/>
              </w:rPr>
              <w:t>锁店</w:t>
            </w:r>
            <w:r>
              <w:rPr>
                <w:rFonts w:ascii="宋体" w:hAnsi="宋体" w:cs="宋体" w:eastAsia="宋体" w:hint="default"/>
                <w:spacing w:val="-73"/>
                <w:sz w:val="15"/>
                <w:szCs w:val="15"/>
              </w:rPr>
              <w:t> </w:t>
            </w:r>
            <w:r>
              <w:rPr>
                <w:rFonts w:ascii="宋体" w:hAnsi="宋体" w:cs="宋体" w:eastAsia="宋体" w:hint="default"/>
                <w:sz w:val="15"/>
                <w:szCs w:val="15"/>
              </w:rPr>
              <w:t>发展</w:t>
            </w:r>
            <w:r>
              <w:rPr>
                <w:rFonts w:ascii="宋体" w:hAnsi="宋体" w:cs="宋体" w:eastAsia="宋体" w:hint="default"/>
                <w:spacing w:val="-73"/>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5"/>
                <w:szCs w:val="15"/>
              </w:rPr>
            </w:pPr>
            <w:r>
              <w:rPr>
                <w:rFonts w:ascii="Times New Roman"/>
                <w:sz w:val="15"/>
              </w:rPr>
              <w:t>500,000.0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266,732.5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195" w:lineRule="exact"/>
              <w:ind w:left="443" w:right="0"/>
              <w:jc w:val="left"/>
              <w:rPr>
                <w:rFonts w:ascii="宋体" w:hAnsi="宋体" w:cs="宋体" w:eastAsia="宋体" w:hint="default"/>
                <w:sz w:val="15"/>
                <w:szCs w:val="15"/>
              </w:rPr>
            </w:pPr>
            <w:r>
              <w:rPr>
                <w:rFonts w:ascii="宋体" w:hAnsi="宋体" w:cs="宋体" w:eastAsia="宋体" w:hint="default"/>
                <w:w w:val="100"/>
                <w:sz w:val="15"/>
                <w:szCs w:val="15"/>
              </w:rPr>
              <w:t>是</w:t>
            </w:r>
          </w:p>
          <w:p>
            <w:pPr>
              <w:pStyle w:val="TableParagraph"/>
              <w:spacing w:line="207" w:lineRule="exact"/>
              <w:ind w:left="23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11"/>
                <w:sz w:val="15"/>
                <w:szCs w:val="15"/>
              </w:rPr>
              <w:t>江苏</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240" w:lineRule="auto"/>
              <w:ind w:left="103" w:right="72"/>
              <w:jc w:val="both"/>
              <w:rPr>
                <w:rFonts w:ascii="宋体" w:hAnsi="宋体" w:cs="宋体" w:eastAsia="宋体" w:hint="default"/>
                <w:sz w:val="15"/>
                <w:szCs w:val="15"/>
              </w:rPr>
            </w:pPr>
            <w:r>
              <w:rPr>
                <w:rFonts w:ascii="宋体" w:hAnsi="宋体" w:cs="宋体" w:eastAsia="宋体" w:hint="default"/>
                <w:spacing w:val="11"/>
                <w:sz w:val="15"/>
                <w:szCs w:val="15"/>
              </w:rPr>
              <w:t>物流</w:t>
            </w:r>
            <w:r>
              <w:rPr>
                <w:rFonts w:ascii="宋体" w:hAnsi="宋体" w:cs="宋体" w:eastAsia="宋体" w:hint="default"/>
                <w:spacing w:val="-71"/>
                <w:sz w:val="15"/>
                <w:szCs w:val="15"/>
              </w:rPr>
              <w:t> </w:t>
            </w:r>
            <w:r>
              <w:rPr>
                <w:rFonts w:ascii="宋体" w:hAnsi="宋体" w:cs="宋体" w:eastAsia="宋体" w:hint="default"/>
                <w:spacing w:val="11"/>
                <w:sz w:val="15"/>
                <w:szCs w:val="15"/>
              </w:rPr>
              <w:t>中心</w:t>
            </w:r>
            <w:r>
              <w:rPr>
                <w:rFonts w:ascii="宋体" w:hAnsi="宋体" w:cs="宋体" w:eastAsia="宋体" w:hint="default"/>
                <w:spacing w:val="-71"/>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51" w:right="0"/>
              <w:jc w:val="left"/>
              <w:rPr>
                <w:rFonts w:ascii="Times New Roman" w:hAnsi="Times New Roman" w:cs="Times New Roman" w:eastAsia="Times New Roman" w:hint="default"/>
                <w:sz w:val="15"/>
                <w:szCs w:val="15"/>
              </w:rPr>
            </w:pPr>
            <w:r>
              <w:rPr>
                <w:rFonts w:ascii="Times New Roman"/>
                <w:sz w:val="15"/>
              </w:rPr>
              <w:t>153,100.0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153,100.0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153,100.0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1,198.3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2"/>
                <w:sz w:val="15"/>
              </w:rPr>
              <w:t>153,100.0</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8"/>
              <w:jc w:val="right"/>
              <w:rPr>
                <w:rFonts w:ascii="Times New Roman" w:hAnsi="Times New Roman" w:cs="Times New Roman" w:eastAsia="Times New Roman" w:hint="default"/>
                <w:sz w:val="15"/>
                <w:szCs w:val="15"/>
              </w:rPr>
            </w:pPr>
            <w:r>
              <w:rPr>
                <w:rFonts w:ascii="Times New Roman"/>
                <w:w w:val="100"/>
                <w:sz w:val="15"/>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2008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96"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信息</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1"/>
                <w:sz w:val="15"/>
                <w:szCs w:val="15"/>
              </w:rPr>
              <w:t>中心</w:t>
            </w:r>
            <w:r>
              <w:rPr>
                <w:rFonts w:ascii="宋体" w:hAnsi="宋体" w:cs="宋体" w:eastAsia="宋体" w:hint="default"/>
                <w:spacing w:val="-71"/>
                <w:sz w:val="15"/>
                <w:szCs w:val="15"/>
              </w:rPr>
              <w:t> </w:t>
            </w:r>
            <w:r>
              <w:rPr>
                <w:rFonts w:ascii="宋体" w:hAnsi="宋体" w:cs="宋体" w:eastAsia="宋体" w:hint="default"/>
                <w:sz w:val="15"/>
                <w:szCs w:val="15"/>
              </w:rPr>
              <w:t>项目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hAnsi="宋体" w:cs="宋体" w:eastAsia="宋体" w:hint="default"/>
                <w:w w:val="100"/>
                <w:sz w:val="15"/>
                <w:szCs w:val="15"/>
              </w:rPr>
              <w:t>否</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131,719.0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131,719.0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131,719.0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4"/>
              <w:ind w:left="122"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9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1"/>
                <w:sz w:val="15"/>
                <w:szCs w:val="15"/>
              </w:rPr>
              <w:t>补充</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1"/>
                <w:sz w:val="15"/>
                <w:szCs w:val="15"/>
              </w:rPr>
              <w:t>流动</w:t>
            </w:r>
            <w:r>
              <w:rPr>
                <w:rFonts w:ascii="宋体" w:hAnsi="宋体" w:cs="宋体" w:eastAsia="宋体" w:hint="default"/>
                <w:spacing w:val="-71"/>
                <w:sz w:val="15"/>
                <w:szCs w:val="15"/>
              </w:rPr>
              <w:t> </w:t>
            </w:r>
            <w:r>
              <w:rPr>
                <w:rFonts w:ascii="宋体" w:hAnsi="宋体" w:cs="宋体" w:eastAsia="宋体" w:hint="default"/>
                <w:sz w:val="15"/>
                <w:szCs w:val="15"/>
              </w:rPr>
              <w:t>资金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sz w:val="15"/>
              </w:rPr>
              <w:t>410,201.0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410,201.0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410,201.0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54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Times New Roman" w:hAnsi="Times New Roman" w:cs="Times New Roman" w:eastAsia="Times New Roman" w:hint="default"/>
                <w:sz w:val="15"/>
                <w:szCs w:val="15"/>
              </w:rPr>
            </w:pPr>
            <w:r>
              <w:rPr>
                <w:rFonts w:ascii="Times New Roman"/>
                <w:sz w:val="15"/>
              </w:rPr>
              <w:t>1,195,020.0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1,195,020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1,198.3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1,195,020.0</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w w:val="100"/>
                <w:sz w:val="15"/>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266,732.5</w:t>
            </w:r>
          </w:p>
        </w:tc>
        <w:tc>
          <w:tcPr>
            <w:tcW w:w="708"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95"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未达到计划进度或预计收</w:t>
            </w: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pacing w:val="-5"/>
                <w:sz w:val="15"/>
                <w:szCs w:val="15"/>
              </w:rPr>
              <w:t>益的情况和原因（分具体项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目）</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63"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00"/>
              <w:jc w:val="left"/>
              <w:rPr>
                <w:rFonts w:ascii="宋体" w:hAnsi="宋体" w:cs="宋体" w:eastAsia="宋体" w:hint="default"/>
                <w:sz w:val="15"/>
                <w:szCs w:val="15"/>
              </w:rPr>
            </w:pPr>
            <w:r>
              <w:rPr>
                <w:rFonts w:ascii="宋体" w:hAnsi="宋体" w:cs="宋体" w:eastAsia="宋体" w:hint="default"/>
                <w:spacing w:val="7"/>
                <w:sz w:val="15"/>
                <w:szCs w:val="15"/>
              </w:rPr>
              <w:t>项目可行性发生重大变化</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的情况说明</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790"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96"/>
              <w:jc w:val="left"/>
              <w:rPr>
                <w:rFonts w:ascii="宋体" w:hAnsi="宋体" w:cs="宋体" w:eastAsia="宋体" w:hint="default"/>
                <w:sz w:val="15"/>
                <w:szCs w:val="15"/>
              </w:rPr>
            </w:pPr>
            <w:r>
              <w:rPr>
                <w:rFonts w:ascii="宋体" w:hAnsi="宋体" w:cs="宋体" w:eastAsia="宋体" w:hint="default"/>
                <w:spacing w:val="-5"/>
                <w:sz w:val="15"/>
                <w:szCs w:val="15"/>
              </w:rPr>
              <w:t>超募资金的金额、用途及使</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用进展</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both"/>
              <w:rPr>
                <w:rFonts w:ascii="宋体" w:hAnsi="宋体" w:cs="宋体" w:eastAsia="宋体" w:hint="default"/>
                <w:sz w:val="15"/>
                <w:szCs w:val="15"/>
              </w:rPr>
            </w:pPr>
            <w:r>
              <w:rPr>
                <w:rFonts w:ascii="宋体" w:hAnsi="宋体" w:cs="宋体" w:eastAsia="宋体" w:hint="default"/>
                <w:sz w:val="15"/>
                <w:szCs w:val="15"/>
              </w:rPr>
              <w:t>经本公司第二届董事会第二十五次会议通过的《关于公司</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年非公开发行股票方案的议案》并经公司</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年第一次</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pacing w:val="-1"/>
                <w:sz w:val="15"/>
                <w:szCs w:val="15"/>
              </w:rPr>
              <w:t>临时股东大会决议通过：本次非公开发行股票募集的现金超过募集资金项目计划使用募集资金投入的部分用于补充本公</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pacing w:val="-1"/>
                <w:sz w:val="15"/>
                <w:szCs w:val="15"/>
              </w:rPr>
              <w:t>司的流动资金，不足部分由本公司自筹解决。本公司此次非公开发行股票募集的现金超过项目计划使用募集资金投入部</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z w:val="15"/>
                <w:szCs w:val="15"/>
              </w:rPr>
              <w:t>分合计</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41,020.10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万元，已用于补充流动资金。</w:t>
            </w:r>
          </w:p>
        </w:tc>
      </w:tr>
      <w:tr>
        <w:trPr>
          <w:trHeight w:val="401"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募集资金投资项目实施地</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点变更情况</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98"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募集资金投资项目实施方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式调整情况</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募集资金投资项目先期投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入及置换情况</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用闲置募集资金暂时补充</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流动资金情况</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98"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项目实施出现募集资金结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余的金额及原因</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尚未使用的募集资金用途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及去向</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截止报告期末，公司</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年非公开发行募集资金全部使用完毕，仅剩余募集资金利息收入</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1,042.14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万元存放于专户中。</w:t>
            </w:r>
          </w:p>
        </w:tc>
      </w:tr>
      <w:tr>
        <w:trPr>
          <w:trHeight w:val="401" w:hRule="exact"/>
        </w:trPr>
        <w:tc>
          <w:tcPr>
            <w:tcW w:w="1978" w:type="dxa"/>
            <w:gridSpan w:val="4"/>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募集资金使用及披露中存</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在的问题或其他情况</w:t>
            </w:r>
          </w:p>
        </w:tc>
        <w:tc>
          <w:tcPr>
            <w:tcW w:w="80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57" w:lineRule="exact" w:before="0"/>
        <w:ind w:left="1040" w:right="132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r>
        <w:rPr>
          <w:rFonts w:ascii="Times New Roman" w:hAnsi="Times New Roman" w:cs="Times New Roman" w:eastAsia="Times New Roman" w:hint="default"/>
          <w:sz w:val="21"/>
          <w:szCs w:val="21"/>
        </w:rPr>
        <w:t>100 </w:t>
      </w:r>
      <w:r>
        <w:rPr>
          <w:rFonts w:ascii="宋体" w:hAnsi="宋体" w:cs="宋体" w:eastAsia="宋体" w:hint="default"/>
          <w:sz w:val="21"/>
          <w:szCs w:val="21"/>
        </w:rPr>
        <w:t>家连锁店发展项目已全部实施完毕，使用募集资金投入</w:t>
      </w:r>
    </w:p>
    <w:p>
      <w:pPr>
        <w:spacing w:line="302" w:lineRule="auto" w:before="64"/>
        <w:ind w:left="620" w:right="1431" w:firstLine="0"/>
        <w:jc w:val="both"/>
        <w:rPr>
          <w:rFonts w:ascii="宋体" w:hAnsi="宋体" w:cs="宋体" w:eastAsia="宋体" w:hint="default"/>
          <w:sz w:val="21"/>
          <w:szCs w:val="21"/>
        </w:rPr>
      </w:pPr>
      <w:r>
        <w:rPr>
          <w:rFonts w:ascii="宋体" w:hAnsi="宋体" w:cs="宋体" w:eastAsia="宋体" w:hint="default"/>
          <w:sz w:val="21"/>
          <w:szCs w:val="21"/>
        </w:rPr>
        <w:t>开设 </w:t>
      </w:r>
      <w:r>
        <w:rPr>
          <w:rFonts w:ascii="Times New Roman" w:hAnsi="Times New Roman" w:cs="Times New Roman" w:eastAsia="Times New Roman" w:hint="default"/>
          <w:sz w:val="21"/>
          <w:szCs w:val="21"/>
        </w:rPr>
        <w:t>78</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家。在已开设的店面中，部分已开设店面经营没有达到非公开发行上市公告书判定年限－</w:t>
      </w:r>
      <w:r>
        <w:rPr>
          <w:rFonts w:ascii="宋体" w:hAnsi="宋体" w:cs="宋体" w:eastAsia="宋体" w:hint="default"/>
          <w:w w:val="100"/>
          <w:sz w:val="21"/>
          <w:szCs w:val="21"/>
        </w:rPr>
        <w:t> </w:t>
      </w:r>
      <w:r>
        <w:rPr>
          <w:rFonts w:ascii="宋体" w:hAnsi="宋体" w:cs="宋体" w:eastAsia="宋体" w:hint="default"/>
          <w:spacing w:val="-2"/>
          <w:w w:val="100"/>
          <w:sz w:val="21"/>
          <w:szCs w:val="21"/>
        </w:rPr>
        <w:t>正常年（开业后第三年）。随着项目实施的推进，已开设连锁店进入成熟稳定期，经营效益逐步提</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高，该项目效益情况将体现。</w:t>
      </w:r>
    </w:p>
    <w:p>
      <w:pPr>
        <w:spacing w:before="23"/>
        <w:ind w:left="1040" w:right="1328"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家连锁店发展项目开业时间计算，共有</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家店面在</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年达到开业后第三年，由于</w:t>
      </w:r>
    </w:p>
    <w:p>
      <w:pPr>
        <w:spacing w:before="64"/>
        <w:ind w:left="620" w:right="0" w:firstLine="0"/>
        <w:jc w:val="both"/>
        <w:rPr>
          <w:rFonts w:ascii="宋体" w:hAnsi="宋体" w:cs="宋体" w:eastAsia="宋体" w:hint="default"/>
          <w:sz w:val="21"/>
          <w:szCs w:val="21"/>
        </w:rPr>
      </w:pPr>
      <w:r>
        <w:rPr>
          <w:rFonts w:ascii="宋体" w:hAnsi="宋体" w:cs="宋体" w:eastAsia="宋体" w:hint="default"/>
          <w:sz w:val="21"/>
          <w:szCs w:val="21"/>
        </w:rPr>
        <w:t>近年来公司对部分租金成本较高，选址欠佳，商圈发生转移的店面加大了调整力度，在前述 </w:t>
      </w:r>
      <w:r>
        <w:rPr>
          <w:rFonts w:ascii="Times New Roman" w:hAnsi="Times New Roman" w:cs="Times New Roman" w:eastAsia="Times New Roman" w:hint="default"/>
          <w:sz w:val="21"/>
          <w:szCs w:val="21"/>
        </w:rPr>
        <w:t>75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家</w:t>
      </w:r>
    </w:p>
    <w:p>
      <w:pPr>
        <w:spacing w:before="64"/>
        <w:ind w:left="620" w:right="0" w:firstLine="0"/>
        <w:jc w:val="both"/>
        <w:rPr>
          <w:rFonts w:ascii="宋体" w:hAnsi="宋体" w:cs="宋体" w:eastAsia="宋体" w:hint="default"/>
          <w:sz w:val="21"/>
          <w:szCs w:val="21"/>
        </w:rPr>
      </w:pPr>
      <w:r>
        <w:rPr>
          <w:rFonts w:ascii="宋体" w:hAnsi="宋体" w:cs="宋体" w:eastAsia="宋体" w:hint="default"/>
          <w:sz w:val="21"/>
          <w:szCs w:val="21"/>
        </w:rPr>
        <w:t>店面中公司调整关闭了</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家，因此截至到报告期末实际共有</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62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家连锁店经营达到上市公告书判定</w:t>
      </w:r>
    </w:p>
    <w:p>
      <w:pPr>
        <w:spacing w:after="0"/>
        <w:jc w:val="both"/>
        <w:rPr>
          <w:rFonts w:ascii="宋体" w:hAnsi="宋体" w:cs="宋体" w:eastAsia="宋体" w:hint="default"/>
          <w:sz w:val="21"/>
          <w:szCs w:val="21"/>
        </w:rPr>
        <w:sectPr>
          <w:pgSz w:w="11910" w:h="16840"/>
          <w:pgMar w:header="748" w:footer="783" w:top="980" w:bottom="980" w:left="820" w:right="0"/>
        </w:sectPr>
      </w:pPr>
    </w:p>
    <w:p>
      <w:pPr>
        <w:spacing w:line="240" w:lineRule="auto" w:before="2"/>
        <w:rPr>
          <w:rFonts w:ascii="宋体" w:hAnsi="宋体" w:cs="宋体" w:eastAsia="宋体" w:hint="default"/>
          <w:sz w:val="29"/>
          <w:szCs w:val="29"/>
        </w:rPr>
      </w:pPr>
    </w:p>
    <w:p>
      <w:pPr>
        <w:spacing w:before="36"/>
        <w:ind w:left="680" w:right="0" w:firstLine="0"/>
        <w:jc w:val="left"/>
        <w:rPr>
          <w:rFonts w:ascii="宋体" w:hAnsi="宋体" w:cs="宋体" w:eastAsia="宋体" w:hint="default"/>
          <w:sz w:val="21"/>
          <w:szCs w:val="21"/>
        </w:rPr>
      </w:pPr>
      <w:r>
        <w:rPr>
          <w:rFonts w:ascii="宋体" w:hAnsi="宋体" w:cs="宋体" w:eastAsia="宋体" w:hint="default"/>
          <w:w w:val="100"/>
          <w:sz w:val="21"/>
          <w:szCs w:val="21"/>
        </w:rPr>
        <w:t>年限</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正常</w:t>
      </w:r>
      <w:r>
        <w:rPr>
          <w:rFonts w:ascii="宋体" w:hAnsi="宋体" w:cs="宋体" w:eastAsia="宋体" w:hint="default"/>
          <w:spacing w:val="-3"/>
          <w:w w:val="100"/>
          <w:sz w:val="21"/>
          <w:szCs w:val="21"/>
        </w:rPr>
        <w:t>年</w:t>
      </w:r>
      <w:r>
        <w:rPr>
          <w:rFonts w:ascii="宋体" w:hAnsi="宋体" w:cs="宋体" w:eastAsia="宋体" w:hint="default"/>
          <w:w w:val="100"/>
          <w:sz w:val="21"/>
          <w:szCs w:val="21"/>
        </w:rPr>
        <w:t>（</w:t>
      </w:r>
      <w:r>
        <w:rPr>
          <w:rFonts w:ascii="宋体" w:hAnsi="宋体" w:cs="宋体" w:eastAsia="宋体" w:hint="default"/>
          <w:spacing w:val="-3"/>
          <w:w w:val="100"/>
          <w:sz w:val="21"/>
          <w:szCs w:val="21"/>
        </w:rPr>
        <w:t>开</w:t>
      </w:r>
      <w:r>
        <w:rPr>
          <w:rFonts w:ascii="宋体" w:hAnsi="宋体" w:cs="宋体" w:eastAsia="宋体" w:hint="default"/>
          <w:w w:val="100"/>
          <w:sz w:val="21"/>
          <w:szCs w:val="21"/>
        </w:rPr>
        <w:t>业</w:t>
      </w:r>
      <w:r>
        <w:rPr>
          <w:rFonts w:ascii="宋体" w:hAnsi="宋体" w:cs="宋体" w:eastAsia="宋体" w:hint="default"/>
          <w:spacing w:val="-3"/>
          <w:w w:val="100"/>
          <w:sz w:val="21"/>
          <w:szCs w:val="21"/>
        </w:rPr>
        <w:t>后</w:t>
      </w:r>
      <w:r>
        <w:rPr>
          <w:rFonts w:ascii="宋体" w:hAnsi="宋体" w:cs="宋体" w:eastAsia="宋体" w:hint="default"/>
          <w:w w:val="100"/>
          <w:sz w:val="21"/>
          <w:szCs w:val="21"/>
        </w:rPr>
        <w:t>第</w:t>
      </w:r>
      <w:r>
        <w:rPr>
          <w:rFonts w:ascii="宋体" w:hAnsi="宋体" w:cs="宋体" w:eastAsia="宋体" w:hint="default"/>
          <w:spacing w:val="-3"/>
          <w:w w:val="100"/>
          <w:sz w:val="21"/>
          <w:szCs w:val="21"/>
        </w:rPr>
        <w:t>三</w:t>
      </w:r>
      <w:r>
        <w:rPr>
          <w:rFonts w:ascii="宋体" w:hAnsi="宋体" w:cs="宋体" w:eastAsia="宋体" w:hint="default"/>
          <w:w w:val="100"/>
          <w:sz w:val="21"/>
          <w:szCs w:val="21"/>
        </w:rPr>
        <w:t>年</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该</w:t>
      </w:r>
      <w:r>
        <w:rPr>
          <w:rFonts w:ascii="宋体" w:hAnsi="宋体" w:cs="宋体" w:eastAsia="宋体" w:hint="default"/>
          <w:spacing w:val="-31"/>
          <w:sz w:val="21"/>
          <w:szCs w:val="21"/>
        </w:rPr>
        <w:t> </w:t>
      </w:r>
      <w:r>
        <w:rPr>
          <w:rFonts w:ascii="Times New Roman" w:hAnsi="Times New Roman" w:cs="Times New Roman" w:eastAsia="Times New Roman" w:hint="default"/>
          <w:w w:val="100"/>
          <w:sz w:val="21"/>
          <w:szCs w:val="21"/>
        </w:rPr>
        <w:t>62</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家</w:t>
      </w:r>
      <w:r>
        <w:rPr>
          <w:rFonts w:ascii="宋体" w:hAnsi="宋体" w:cs="宋体" w:eastAsia="宋体" w:hint="default"/>
          <w:spacing w:val="-3"/>
          <w:w w:val="100"/>
          <w:sz w:val="21"/>
          <w:szCs w:val="21"/>
        </w:rPr>
        <w:t>连</w:t>
      </w:r>
      <w:r>
        <w:rPr>
          <w:rFonts w:ascii="宋体" w:hAnsi="宋体" w:cs="宋体" w:eastAsia="宋体" w:hint="default"/>
          <w:w w:val="100"/>
          <w:sz w:val="21"/>
          <w:szCs w:val="21"/>
        </w:rPr>
        <w:t>锁</w:t>
      </w:r>
      <w:r>
        <w:rPr>
          <w:rFonts w:ascii="宋体" w:hAnsi="宋体" w:cs="宋体" w:eastAsia="宋体" w:hint="default"/>
          <w:spacing w:val="-3"/>
          <w:w w:val="100"/>
          <w:sz w:val="21"/>
          <w:szCs w:val="21"/>
        </w:rPr>
        <w:t>店</w:t>
      </w:r>
      <w:r>
        <w:rPr>
          <w:rFonts w:ascii="宋体" w:hAnsi="宋体" w:cs="宋体" w:eastAsia="宋体" w:hint="default"/>
          <w:w w:val="100"/>
          <w:sz w:val="21"/>
          <w:szCs w:val="21"/>
        </w:rPr>
        <w:t>预</w:t>
      </w:r>
      <w:r>
        <w:rPr>
          <w:rFonts w:ascii="宋体" w:hAnsi="宋体" w:cs="宋体" w:eastAsia="宋体" w:hint="default"/>
          <w:spacing w:val="-3"/>
          <w:w w:val="100"/>
          <w:sz w:val="21"/>
          <w:szCs w:val="21"/>
        </w:rPr>
        <w:t>计</w:t>
      </w:r>
      <w:r>
        <w:rPr>
          <w:rFonts w:ascii="宋体" w:hAnsi="宋体" w:cs="宋体" w:eastAsia="宋体" w:hint="default"/>
          <w:w w:val="100"/>
          <w:sz w:val="21"/>
          <w:szCs w:val="21"/>
        </w:rPr>
        <w:t>正常</w:t>
      </w:r>
      <w:r>
        <w:rPr>
          <w:rFonts w:ascii="宋体" w:hAnsi="宋体" w:cs="宋体" w:eastAsia="宋体" w:hint="default"/>
          <w:spacing w:val="-3"/>
          <w:w w:val="100"/>
          <w:sz w:val="21"/>
          <w:szCs w:val="21"/>
        </w:rPr>
        <w:t>年</w:t>
      </w:r>
      <w:r>
        <w:rPr>
          <w:rFonts w:ascii="宋体" w:hAnsi="宋体" w:cs="宋体" w:eastAsia="宋体" w:hint="default"/>
          <w:w w:val="100"/>
          <w:sz w:val="21"/>
          <w:szCs w:val="21"/>
        </w:rPr>
        <w:t>实</w:t>
      </w:r>
      <w:r>
        <w:rPr>
          <w:rFonts w:ascii="宋体" w:hAnsi="宋体" w:cs="宋体" w:eastAsia="宋体" w:hint="default"/>
          <w:spacing w:val="-3"/>
          <w:w w:val="100"/>
          <w:sz w:val="21"/>
          <w:szCs w:val="21"/>
        </w:rPr>
        <w:t>现</w:t>
      </w:r>
      <w:r>
        <w:rPr>
          <w:rFonts w:ascii="宋体" w:hAnsi="宋体" w:cs="宋体" w:eastAsia="宋体" w:hint="default"/>
          <w:w w:val="100"/>
          <w:sz w:val="21"/>
          <w:szCs w:val="21"/>
        </w:rPr>
        <w:t>销</w:t>
      </w:r>
      <w:r>
        <w:rPr>
          <w:rFonts w:ascii="宋体" w:hAnsi="宋体" w:cs="宋体" w:eastAsia="宋体" w:hint="default"/>
          <w:spacing w:val="-3"/>
          <w:w w:val="100"/>
          <w:sz w:val="21"/>
          <w:szCs w:val="21"/>
        </w:rPr>
        <w:t>售收</w:t>
      </w:r>
      <w:r>
        <w:rPr>
          <w:rFonts w:ascii="宋体" w:hAnsi="宋体" w:cs="宋体" w:eastAsia="宋体" w:hint="default"/>
          <w:w w:val="100"/>
          <w:sz w:val="21"/>
          <w:szCs w:val="21"/>
        </w:rPr>
        <w:t>入</w:t>
      </w:r>
      <w:r>
        <w:rPr>
          <w:rFonts w:ascii="宋体" w:hAnsi="宋体" w:cs="宋体" w:eastAsia="宋体" w:hint="default"/>
          <w:spacing w:val="-31"/>
          <w:sz w:val="21"/>
          <w:szCs w:val="21"/>
        </w:rPr>
        <w:t> </w:t>
      </w:r>
      <w:r>
        <w:rPr>
          <w:rFonts w:ascii="Times New Roman" w:hAnsi="Times New Roman" w:cs="Times New Roman" w:eastAsia="Times New Roman" w:hint="default"/>
          <w:w w:val="100"/>
          <w:sz w:val="21"/>
          <w:szCs w:val="21"/>
        </w:rPr>
        <w:t>523</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2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，本</w:t>
      </w:r>
    </w:p>
    <w:p>
      <w:pPr>
        <w:spacing w:before="64"/>
        <w:ind w:left="680" w:right="0" w:firstLine="0"/>
        <w:jc w:val="left"/>
        <w:rPr>
          <w:rFonts w:ascii="宋体" w:hAnsi="宋体" w:cs="宋体" w:eastAsia="宋体" w:hint="default"/>
          <w:sz w:val="21"/>
          <w:szCs w:val="21"/>
        </w:rPr>
      </w:pPr>
      <w:r>
        <w:rPr>
          <w:rFonts w:ascii="宋体" w:hAnsi="宋体" w:cs="宋体" w:eastAsia="宋体" w:hint="default"/>
          <w:sz w:val="21"/>
          <w:szCs w:val="21"/>
        </w:rPr>
        <w:t>年度实际实现销售收入人民币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571,356.4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，符合预期。</w:t>
      </w:r>
    </w:p>
    <w:p>
      <w:pPr>
        <w:spacing w:line="300" w:lineRule="auto" w:before="64"/>
        <w:ind w:left="680" w:right="14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：江苏物流中心项目不直接产生经济收入，故无法单独核算效益；江苏物流中心项目的效</w:t>
      </w:r>
      <w:r>
        <w:rPr>
          <w:rFonts w:ascii="宋体" w:hAnsi="宋体" w:cs="宋体" w:eastAsia="宋体" w:hint="default"/>
          <w:w w:val="100"/>
          <w:sz w:val="21"/>
          <w:szCs w:val="21"/>
        </w:rPr>
        <w:t> </w:t>
      </w:r>
      <w:r>
        <w:rPr>
          <w:rFonts w:ascii="宋体" w:hAnsi="宋体" w:cs="宋体" w:eastAsia="宋体" w:hint="default"/>
          <w:spacing w:val="-2"/>
          <w:sz w:val="21"/>
          <w:szCs w:val="21"/>
        </w:rPr>
        <w:t>益主要体现在：其建成后有助于公司的区域物流整合，在有效保障货源的前提下加快库存周转率，</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有效节约人力成本和租赁费用，提高作业效率，进一步提升公司的配送服务质量和品牌形象。</w:t>
      </w:r>
    </w:p>
    <w:p>
      <w:pPr>
        <w:spacing w:line="302" w:lineRule="auto" w:before="28"/>
        <w:ind w:left="680" w:right="0"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9"/>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：信息中心项目不直接产生经济收入，故无法单独核算效益；信息中心的效益主要体现在：</w:t>
      </w:r>
      <w:r>
        <w:rPr>
          <w:rFonts w:ascii="宋体" w:hAnsi="宋体" w:cs="宋体" w:eastAsia="宋体" w:hint="default"/>
          <w:w w:val="100"/>
          <w:sz w:val="21"/>
          <w:szCs w:val="21"/>
        </w:rPr>
        <w:t> </w:t>
      </w:r>
      <w:r>
        <w:rPr>
          <w:rFonts w:ascii="宋体" w:hAnsi="宋体" w:cs="宋体" w:eastAsia="宋体" w:hint="default"/>
          <w:sz w:val="21"/>
          <w:szCs w:val="21"/>
        </w:rPr>
        <w:t>其建成后能够有力支撑公司未来连锁业务的拓展，加强公司的系统数据处理能力和安全运行能力，</w:t>
      </w:r>
      <w:r>
        <w:rPr>
          <w:rFonts w:ascii="宋体" w:hAnsi="宋体" w:cs="宋体" w:eastAsia="宋体" w:hint="default"/>
          <w:w w:val="100"/>
          <w:sz w:val="21"/>
          <w:szCs w:val="21"/>
        </w:rPr>
        <w:t> </w:t>
      </w:r>
      <w:r>
        <w:rPr>
          <w:rFonts w:ascii="宋体" w:hAnsi="宋体" w:cs="宋体" w:eastAsia="宋体" w:hint="default"/>
          <w:sz w:val="21"/>
          <w:szCs w:val="21"/>
        </w:rPr>
        <w:t>进一步提高企业的管理水平和信息化应用能力，有利于企业的长期持续稳定发展。</w:t>
      </w:r>
    </w:p>
    <w:p>
      <w:pPr>
        <w:pStyle w:val="BodyText"/>
        <w:tabs>
          <w:tab w:pos="1580" w:val="left" w:leader="none"/>
        </w:tabs>
        <w:spacing w:line="240" w:lineRule="auto" w:before="19"/>
        <w:ind w:left="1160" w:right="0"/>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2007 </w:t>
      </w:r>
      <w:r>
        <w:rPr/>
        <w:t>年非公开发行股票募集资金使用情况</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08"/>
        <w:gridCol w:w="370"/>
        <w:gridCol w:w="950"/>
        <w:gridCol w:w="925"/>
        <w:gridCol w:w="922"/>
        <w:gridCol w:w="967"/>
        <w:gridCol w:w="1080"/>
        <w:gridCol w:w="900"/>
        <w:gridCol w:w="721"/>
        <w:gridCol w:w="540"/>
        <w:gridCol w:w="850"/>
        <w:gridCol w:w="739"/>
        <w:gridCol w:w="473"/>
      </w:tblGrid>
      <w:tr>
        <w:trPr>
          <w:trHeight w:val="298" w:hRule="exact"/>
        </w:trPr>
        <w:tc>
          <w:tcPr>
            <w:tcW w:w="29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sz w:val="15"/>
                <w:szCs w:val="15"/>
              </w:rPr>
              <w:t>募集资金总额</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60" w:right="0"/>
              <w:jc w:val="left"/>
              <w:rPr>
                <w:rFonts w:ascii="Times New Roman" w:hAnsi="Times New Roman" w:cs="Times New Roman" w:eastAsia="Times New Roman" w:hint="default"/>
                <w:sz w:val="15"/>
                <w:szCs w:val="15"/>
              </w:rPr>
            </w:pPr>
            <w:r>
              <w:rPr>
                <w:rFonts w:ascii="Times New Roman"/>
                <w:sz w:val="15"/>
              </w:rPr>
              <w:t>2,420,055.5</w:t>
            </w:r>
          </w:p>
        </w:tc>
        <w:tc>
          <w:tcPr>
            <w:tcW w:w="4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14"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9" w:right="0"/>
              <w:jc w:val="left"/>
              <w:rPr>
                <w:rFonts w:ascii="Times New Roman" w:hAnsi="Times New Roman" w:cs="Times New Roman" w:eastAsia="Times New Roman" w:hint="default"/>
                <w:sz w:val="15"/>
                <w:szCs w:val="15"/>
              </w:rPr>
            </w:pPr>
            <w:r>
              <w:rPr>
                <w:rFonts w:ascii="Times New Roman"/>
                <w:sz w:val="15"/>
              </w:rPr>
              <w:t>434,037.6</w:t>
            </w:r>
          </w:p>
        </w:tc>
      </w:tr>
      <w:tr>
        <w:trPr>
          <w:trHeight w:val="298" w:hRule="exact"/>
        </w:trPr>
        <w:tc>
          <w:tcPr>
            <w:tcW w:w="29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46" w:right="0"/>
              <w:jc w:val="left"/>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5"/>
                <w:szCs w:val="15"/>
              </w:rPr>
            </w:pPr>
            <w:r>
              <w:rPr>
                <w:rFonts w:ascii="Times New Roman"/>
                <w:spacing w:val="-1"/>
                <w:sz w:val="15"/>
              </w:rPr>
              <w:t>0.0</w:t>
            </w:r>
          </w:p>
        </w:tc>
        <w:tc>
          <w:tcPr>
            <w:tcW w:w="4091" w:type="dxa"/>
            <w:gridSpan w:val="5"/>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14"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212"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6" w:right="0"/>
              <w:jc w:val="left"/>
              <w:rPr>
                <w:rFonts w:ascii="Times New Roman" w:hAnsi="Times New Roman" w:cs="Times New Roman" w:eastAsia="Times New Roman" w:hint="default"/>
                <w:sz w:val="15"/>
                <w:szCs w:val="15"/>
              </w:rPr>
            </w:pPr>
            <w:r>
              <w:rPr>
                <w:rFonts w:ascii="Times New Roman"/>
                <w:sz w:val="15"/>
              </w:rPr>
              <w:t>2,214,403.8</w:t>
            </w:r>
          </w:p>
        </w:tc>
      </w:tr>
      <w:tr>
        <w:trPr>
          <w:trHeight w:val="298" w:hRule="exact"/>
        </w:trPr>
        <w:tc>
          <w:tcPr>
            <w:tcW w:w="29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9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Times New Roman" w:hAnsi="Times New Roman" w:cs="Times New Roman" w:eastAsia="Times New Roman" w:hint="default"/>
                <w:sz w:val="15"/>
                <w:szCs w:val="15"/>
              </w:rPr>
            </w:pPr>
            <w:r>
              <w:rPr>
                <w:rFonts w:ascii="Times New Roman"/>
                <w:sz w:val="15"/>
              </w:rPr>
              <w:t>0%</w:t>
            </w:r>
          </w:p>
        </w:tc>
        <w:tc>
          <w:tcPr>
            <w:tcW w:w="4091" w:type="dxa"/>
            <w:gridSpan w:val="5"/>
            <w:vMerge/>
            <w:tcBorders>
              <w:left w:val="single" w:sz="4" w:space="0" w:color="000000"/>
              <w:bottom w:val="single" w:sz="4" w:space="0" w:color="000000"/>
              <w:right w:val="single" w:sz="4" w:space="0" w:color="000000"/>
            </w:tcBorders>
          </w:tcPr>
          <w:p>
            <w:pPr/>
          </w:p>
        </w:tc>
        <w:tc>
          <w:tcPr>
            <w:tcW w:w="1212" w:type="dxa"/>
            <w:gridSpan w:val="2"/>
            <w:vMerge/>
            <w:tcBorders>
              <w:left w:val="single" w:sz="4" w:space="0" w:color="000000"/>
              <w:bottom w:val="single" w:sz="4" w:space="0" w:color="000000"/>
              <w:right w:val="single" w:sz="4" w:space="0" w:color="000000"/>
            </w:tcBorders>
          </w:tcPr>
          <w:p>
            <w:pPr/>
          </w:p>
        </w:tc>
      </w:tr>
      <w:tr>
        <w:trPr>
          <w:trHeight w:val="157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120"/>
              <w:jc w:val="left"/>
              <w:rPr>
                <w:rFonts w:ascii="宋体" w:hAnsi="宋体" w:cs="宋体" w:eastAsia="宋体" w:hint="default"/>
                <w:sz w:val="15"/>
                <w:szCs w:val="15"/>
              </w:rPr>
            </w:pPr>
            <w:r>
              <w:rPr>
                <w:rFonts w:ascii="宋体" w:hAnsi="宋体" w:cs="宋体" w:eastAsia="宋体" w:hint="default"/>
                <w:sz w:val="15"/>
                <w:szCs w:val="15"/>
              </w:rPr>
              <w:t>承诺投</w:t>
            </w:r>
            <w:r>
              <w:rPr>
                <w:rFonts w:ascii="宋体" w:hAnsi="宋体" w:cs="宋体" w:eastAsia="宋体" w:hint="default"/>
                <w:spacing w:val="-72"/>
                <w:sz w:val="15"/>
                <w:szCs w:val="15"/>
              </w:rPr>
              <w:t> </w:t>
            </w:r>
            <w:r>
              <w:rPr>
                <w:rFonts w:ascii="宋体" w:hAnsi="宋体" w:cs="宋体" w:eastAsia="宋体" w:hint="default"/>
                <w:sz w:val="15"/>
                <w:szCs w:val="15"/>
              </w:rPr>
              <w:t>资项目</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1" w:right="0"/>
              <w:jc w:val="both"/>
              <w:rPr>
                <w:rFonts w:ascii="宋体" w:hAnsi="宋体" w:cs="宋体" w:eastAsia="宋体" w:hint="default"/>
                <w:sz w:val="15"/>
                <w:szCs w:val="15"/>
              </w:rPr>
            </w:pPr>
            <w:r>
              <w:rPr>
                <w:rFonts w:ascii="宋体" w:hAnsi="宋体" w:cs="宋体" w:eastAsia="宋体" w:hint="default"/>
                <w:sz w:val="15"/>
                <w:szCs w:val="15"/>
              </w:rPr>
              <w:t>是否</w:t>
            </w:r>
          </w:p>
          <w:p>
            <w:pPr>
              <w:pStyle w:val="TableParagraph"/>
              <w:spacing w:line="240" w:lineRule="auto"/>
              <w:ind w:left="31" w:right="24"/>
              <w:jc w:val="both"/>
              <w:rPr>
                <w:rFonts w:ascii="宋体" w:hAnsi="宋体" w:cs="宋体" w:eastAsia="宋体" w:hint="default"/>
                <w:sz w:val="15"/>
                <w:szCs w:val="15"/>
              </w:rPr>
            </w:pPr>
            <w:r>
              <w:rPr>
                <w:rFonts w:ascii="宋体" w:hAnsi="宋体" w:cs="宋体" w:eastAsia="宋体" w:hint="default"/>
                <w:sz w:val="15"/>
                <w:szCs w:val="15"/>
              </w:rPr>
              <w:t>已变</w:t>
            </w:r>
            <w:r>
              <w:rPr>
                <w:rFonts w:ascii="宋体" w:hAnsi="宋体" w:cs="宋体" w:eastAsia="宋体" w:hint="default"/>
                <w:spacing w:val="-73"/>
                <w:sz w:val="15"/>
                <w:szCs w:val="15"/>
              </w:rPr>
              <w:t> </w:t>
            </w:r>
            <w:r>
              <w:rPr>
                <w:rFonts w:ascii="宋体" w:hAnsi="宋体" w:cs="宋体" w:eastAsia="宋体" w:hint="default"/>
                <w:sz w:val="15"/>
                <w:szCs w:val="15"/>
              </w:rPr>
              <w:t>更项</w:t>
            </w:r>
            <w:r>
              <w:rPr>
                <w:rFonts w:ascii="宋体" w:hAnsi="宋体" w:cs="宋体" w:eastAsia="宋体" w:hint="default"/>
                <w:spacing w:val="-73"/>
                <w:sz w:val="15"/>
                <w:szCs w:val="15"/>
              </w:rPr>
              <w:t> </w:t>
            </w:r>
            <w:r>
              <w:rPr>
                <w:rFonts w:ascii="宋体" w:hAnsi="宋体" w:cs="宋体" w:eastAsia="宋体" w:hint="default"/>
                <w:sz w:val="15"/>
                <w:szCs w:val="15"/>
              </w:rPr>
              <w:t>目</w:t>
            </w:r>
          </w:p>
          <w:p>
            <w:pPr>
              <w:pStyle w:val="TableParagraph"/>
              <w:spacing w:line="240" w:lineRule="auto"/>
              <w:ind w:left="31" w:right="24"/>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w w:val="100"/>
                <w:sz w:val="15"/>
                <w:szCs w:val="15"/>
              </w:rPr>
              <w:t> </w:t>
            </w:r>
            <w:r>
              <w:rPr>
                <w:rFonts w:ascii="宋体" w:hAnsi="宋体" w:cs="宋体" w:eastAsia="宋体" w:hint="default"/>
                <w:sz w:val="15"/>
                <w:szCs w:val="15"/>
              </w:rPr>
              <w:t>部分</w:t>
            </w:r>
            <w:r>
              <w:rPr>
                <w:rFonts w:ascii="宋体" w:hAnsi="宋体" w:cs="宋体" w:eastAsia="宋体" w:hint="default"/>
                <w:w w:val="100"/>
                <w:sz w:val="15"/>
                <w:szCs w:val="15"/>
              </w:rPr>
              <w:t> </w:t>
            </w:r>
            <w:r>
              <w:rPr>
                <w:rFonts w:ascii="宋体" w:hAnsi="宋体" w:cs="宋体" w:eastAsia="宋体" w:hint="default"/>
                <w:sz w:val="15"/>
                <w:szCs w:val="15"/>
              </w:rPr>
              <w:t>变</w:t>
            </w:r>
            <w:r>
              <w:rPr>
                <w:rFonts w:ascii="宋体" w:hAnsi="宋体" w:cs="宋体" w:eastAsia="宋体" w:hint="default"/>
                <w:w w:val="100"/>
                <w:sz w:val="15"/>
                <w:szCs w:val="15"/>
              </w:rPr>
              <w:t> </w:t>
            </w:r>
            <w:r>
              <w:rPr>
                <w:rFonts w:ascii="宋体" w:hAnsi="宋体" w:cs="宋体" w:eastAsia="宋体" w:hint="default"/>
                <w:sz w:val="15"/>
                <w:szCs w:val="15"/>
              </w:rPr>
              <w:t>更）</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8" w:right="36"/>
              <w:jc w:val="left"/>
              <w:rPr>
                <w:rFonts w:ascii="宋体" w:hAnsi="宋体" w:cs="宋体" w:eastAsia="宋体" w:hint="default"/>
                <w:sz w:val="15"/>
                <w:szCs w:val="15"/>
              </w:rPr>
            </w:pPr>
            <w:r>
              <w:rPr>
                <w:rFonts w:ascii="宋体" w:hAnsi="宋体" w:cs="宋体" w:eastAsia="宋体" w:hint="default"/>
                <w:sz w:val="15"/>
                <w:szCs w:val="15"/>
              </w:rPr>
              <w:t>募集资金承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诺投资总额</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0" w:right="154" w:hanging="75"/>
              <w:jc w:val="left"/>
              <w:rPr>
                <w:rFonts w:ascii="宋体" w:hAnsi="宋体" w:cs="宋体" w:eastAsia="宋体" w:hint="default"/>
                <w:sz w:val="15"/>
                <w:szCs w:val="15"/>
              </w:rPr>
            </w:pPr>
            <w:r>
              <w:rPr>
                <w:rFonts w:ascii="宋体" w:hAnsi="宋体" w:cs="宋体" w:eastAsia="宋体" w:hint="default"/>
                <w:sz w:val="15"/>
                <w:szCs w:val="15"/>
              </w:rPr>
              <w:t>调整后投</w:t>
            </w:r>
            <w:r>
              <w:rPr>
                <w:rFonts w:ascii="宋体" w:hAnsi="宋体" w:cs="宋体" w:eastAsia="宋体" w:hint="default"/>
                <w:w w:val="100"/>
                <w:sz w:val="15"/>
                <w:szCs w:val="15"/>
              </w:rPr>
              <w:t> </w:t>
            </w:r>
            <w:r>
              <w:rPr>
                <w:rFonts w:ascii="宋体" w:hAnsi="宋体" w:cs="宋体" w:eastAsia="宋体" w:hint="default"/>
                <w:sz w:val="15"/>
                <w:szCs w:val="15"/>
              </w:rPr>
              <w:t>资总额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3" w:right="154"/>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承诺投入</w:t>
            </w:r>
            <w:r>
              <w:rPr>
                <w:rFonts w:ascii="宋体" w:hAnsi="宋体" w:cs="宋体" w:eastAsia="宋体" w:hint="default"/>
                <w:w w:val="100"/>
                <w:sz w:val="15"/>
                <w:szCs w:val="15"/>
              </w:rPr>
              <w:t> </w:t>
            </w:r>
            <w:r>
              <w:rPr>
                <w:rFonts w:ascii="宋体" w:hAnsi="宋体" w:cs="宋体" w:eastAsia="宋体" w:hint="default"/>
                <w:sz w:val="15"/>
                <w:szCs w:val="15"/>
              </w:rPr>
              <w:t>金额</w:t>
            </w:r>
            <w:r>
              <w:rPr>
                <w:rFonts w:ascii="Times New Roman" w:hAnsi="Times New Roman" w:cs="Times New Roman" w:eastAsia="Times New Roman" w:hint="default"/>
                <w:sz w:val="15"/>
                <w:szCs w:val="15"/>
              </w:rPr>
              <w:t>(1)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8" w:right="98" w:hanging="226"/>
              <w:jc w:val="left"/>
              <w:rPr>
                <w:rFonts w:ascii="宋体" w:hAnsi="宋体" w:cs="宋体" w:eastAsia="宋体" w:hint="default"/>
                <w:sz w:val="15"/>
                <w:szCs w:val="15"/>
              </w:rPr>
            </w:pPr>
            <w:r>
              <w:rPr>
                <w:rFonts w:ascii="宋体" w:hAnsi="宋体" w:cs="宋体" w:eastAsia="宋体" w:hint="default"/>
                <w:sz w:val="15"/>
                <w:szCs w:val="15"/>
              </w:rPr>
              <w:t>本年度投入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9" w:lineRule="auto" w:before="108"/>
              <w:ind w:left="158" w:right="156"/>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截至期末累</w:t>
            </w:r>
            <w:r>
              <w:rPr>
                <w:rFonts w:ascii="宋体" w:hAnsi="宋体" w:cs="宋体" w:eastAsia="宋体" w:hint="default"/>
                <w:w w:val="100"/>
                <w:sz w:val="15"/>
                <w:szCs w:val="15"/>
              </w:rPr>
              <w:t> </w:t>
            </w:r>
            <w:r>
              <w:rPr>
                <w:rFonts w:ascii="宋体" w:hAnsi="宋体" w:cs="宋体" w:eastAsia="宋体" w:hint="default"/>
                <w:sz w:val="15"/>
                <w:szCs w:val="15"/>
              </w:rPr>
              <w:t>计投入金额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2" w:lineRule="auto"/>
              <w:ind w:left="115" w:right="111" w:firstLine="28"/>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累计投入</w:t>
            </w:r>
            <w:r>
              <w:rPr>
                <w:rFonts w:ascii="宋体" w:hAnsi="宋体" w:cs="宋体" w:eastAsia="宋体" w:hint="default"/>
                <w:w w:val="100"/>
                <w:sz w:val="15"/>
                <w:szCs w:val="15"/>
              </w:rPr>
              <w:t> </w:t>
            </w:r>
            <w:r>
              <w:rPr>
                <w:rFonts w:ascii="宋体" w:hAnsi="宋体" w:cs="宋体" w:eastAsia="宋体" w:hint="default"/>
                <w:sz w:val="15"/>
                <w:szCs w:val="15"/>
              </w:rPr>
              <w:t>金额与承</w:t>
            </w:r>
            <w:r>
              <w:rPr>
                <w:rFonts w:ascii="宋体" w:hAnsi="宋体" w:cs="宋体" w:eastAsia="宋体" w:hint="default"/>
                <w:w w:val="100"/>
                <w:sz w:val="15"/>
                <w:szCs w:val="15"/>
              </w:rPr>
              <w:t> </w:t>
            </w:r>
            <w:r>
              <w:rPr>
                <w:rFonts w:ascii="宋体" w:hAnsi="宋体" w:cs="宋体" w:eastAsia="宋体" w:hint="default"/>
                <w:sz w:val="15"/>
                <w:szCs w:val="15"/>
              </w:rPr>
              <w:t>诺投入金</w:t>
            </w:r>
            <w:r>
              <w:rPr>
                <w:rFonts w:ascii="宋体" w:hAnsi="宋体" w:cs="宋体" w:eastAsia="宋体" w:hint="default"/>
                <w:w w:val="100"/>
                <w:sz w:val="15"/>
                <w:szCs w:val="15"/>
              </w:rPr>
              <w:t> </w:t>
            </w:r>
            <w:r>
              <w:rPr>
                <w:rFonts w:ascii="宋体" w:hAnsi="宋体" w:cs="宋体" w:eastAsia="宋体" w:hint="default"/>
                <w:sz w:val="15"/>
                <w:szCs w:val="15"/>
              </w:rPr>
              <w:t>额的差额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9" w:right="125"/>
              <w:jc w:val="both"/>
              <w:rPr>
                <w:rFonts w:ascii="宋体" w:hAnsi="宋体" w:cs="宋体" w:eastAsia="宋体" w:hint="default"/>
                <w:sz w:val="15"/>
                <w:szCs w:val="15"/>
              </w:rPr>
            </w:pPr>
            <w:r>
              <w:rPr>
                <w:rFonts w:ascii="宋体" w:hAnsi="宋体" w:cs="宋体" w:eastAsia="宋体" w:hint="default"/>
                <w:sz w:val="15"/>
                <w:szCs w:val="15"/>
              </w:rPr>
              <w:t>截至期</w:t>
            </w:r>
            <w:r>
              <w:rPr>
                <w:rFonts w:ascii="宋体" w:hAnsi="宋体" w:cs="宋体" w:eastAsia="宋体" w:hint="default"/>
                <w:spacing w:val="-72"/>
                <w:sz w:val="15"/>
                <w:szCs w:val="15"/>
              </w:rPr>
              <w:t> </w:t>
            </w:r>
            <w:r>
              <w:rPr>
                <w:rFonts w:ascii="宋体" w:hAnsi="宋体" w:cs="宋体" w:eastAsia="宋体" w:hint="default"/>
                <w:sz w:val="15"/>
                <w:szCs w:val="15"/>
              </w:rPr>
              <w:t>末投入</w:t>
            </w:r>
            <w:r>
              <w:rPr>
                <w:rFonts w:ascii="宋体" w:hAnsi="宋体" w:cs="宋体" w:eastAsia="宋体" w:hint="default"/>
                <w:spacing w:val="-72"/>
                <w:sz w:val="15"/>
                <w:szCs w:val="15"/>
              </w:rPr>
              <w:t> </w:t>
            </w:r>
            <w:r>
              <w:rPr>
                <w:rFonts w:ascii="宋体" w:hAnsi="宋体" w:cs="宋体" w:eastAsia="宋体" w:hint="default"/>
                <w:sz w:val="15"/>
                <w:szCs w:val="15"/>
              </w:rPr>
              <w:t>进度</w:t>
            </w:r>
          </w:p>
          <w:p>
            <w:pPr>
              <w:pStyle w:val="TableParagraph"/>
              <w:spacing w:line="242" w:lineRule="auto"/>
              <w:ind w:left="117" w:right="115" w:hanging="1"/>
              <w:jc w:val="center"/>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宋体" w:hAnsi="宋体" w:cs="宋体" w:eastAsia="宋体" w:hint="default"/>
                <w:w w:val="100"/>
                <w:sz w:val="15"/>
                <w:szCs w:val="15"/>
              </w:rPr>
              <w:t> </w:t>
            </w:r>
            <w:r>
              <w:rPr>
                <w:rFonts w:ascii="Times New Roman" w:hAnsi="Times New Roman" w:cs="Times New Roman" w:eastAsia="Times New Roman" w:hint="default"/>
                <w:spacing w:val="-1"/>
                <w:sz w:val="15"/>
                <w:szCs w:val="15"/>
              </w:rPr>
              <w:t>(4)=(2)/</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z w:val="15"/>
                <w:szCs w:val="15"/>
              </w:rPr>
              <w:t>(1)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10" w:right="115"/>
              <w:jc w:val="both"/>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达到</w:t>
            </w:r>
            <w:r>
              <w:rPr>
                <w:rFonts w:ascii="宋体" w:hAnsi="宋体" w:cs="宋体" w:eastAsia="宋体" w:hint="default"/>
                <w:spacing w:val="-73"/>
                <w:sz w:val="15"/>
                <w:szCs w:val="15"/>
              </w:rPr>
              <w:t> </w:t>
            </w:r>
            <w:r>
              <w:rPr>
                <w:rFonts w:ascii="宋体" w:hAnsi="宋体" w:cs="宋体" w:eastAsia="宋体" w:hint="default"/>
                <w:sz w:val="15"/>
                <w:szCs w:val="15"/>
              </w:rPr>
              <w:t>预定</w:t>
            </w:r>
            <w:r>
              <w:rPr>
                <w:rFonts w:ascii="宋体" w:hAnsi="宋体" w:cs="宋体" w:eastAsia="宋体" w:hint="default"/>
                <w:spacing w:val="-73"/>
                <w:sz w:val="15"/>
                <w:szCs w:val="15"/>
              </w:rPr>
              <w:t> </w:t>
            </w:r>
            <w:r>
              <w:rPr>
                <w:rFonts w:ascii="宋体" w:hAnsi="宋体" w:cs="宋体" w:eastAsia="宋体" w:hint="default"/>
                <w:sz w:val="15"/>
                <w:szCs w:val="15"/>
              </w:rPr>
              <w:t>可使</w:t>
            </w:r>
            <w:r>
              <w:rPr>
                <w:rFonts w:ascii="宋体" w:hAnsi="宋体" w:cs="宋体" w:eastAsia="宋体" w:hint="default"/>
                <w:spacing w:val="-73"/>
                <w:sz w:val="15"/>
                <w:szCs w:val="15"/>
              </w:rPr>
              <w:t> </w:t>
            </w:r>
            <w:r>
              <w:rPr>
                <w:rFonts w:ascii="宋体" w:hAnsi="宋体" w:cs="宋体" w:eastAsia="宋体" w:hint="default"/>
                <w:sz w:val="15"/>
                <w:szCs w:val="15"/>
              </w:rPr>
              <w:t>用状</w:t>
            </w:r>
            <w:r>
              <w:rPr>
                <w:rFonts w:ascii="宋体" w:hAnsi="宋体" w:cs="宋体" w:eastAsia="宋体" w:hint="default"/>
                <w:spacing w:val="-73"/>
                <w:sz w:val="15"/>
                <w:szCs w:val="15"/>
              </w:rPr>
              <w:t> </w:t>
            </w:r>
            <w:r>
              <w:rPr>
                <w:rFonts w:ascii="宋体" w:hAnsi="宋体" w:cs="宋体" w:eastAsia="宋体" w:hint="default"/>
                <w:sz w:val="15"/>
                <w:szCs w:val="15"/>
              </w:rPr>
              <w:t>态日</w:t>
            </w:r>
            <w:r>
              <w:rPr>
                <w:rFonts w:ascii="宋体" w:hAnsi="宋体" w:cs="宋体" w:eastAsia="宋体" w:hint="default"/>
                <w:spacing w:val="-73"/>
                <w:sz w:val="15"/>
                <w:szCs w:val="15"/>
              </w:rPr>
              <w:t> </w:t>
            </w:r>
            <w:r>
              <w:rPr>
                <w:rFonts w:ascii="宋体" w:hAnsi="宋体" w:cs="宋体" w:eastAsia="宋体" w:hint="default"/>
                <w:sz w:val="15"/>
                <w:szCs w:val="15"/>
              </w:rPr>
              <w:t>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189" w:right="43" w:hanging="149"/>
              <w:jc w:val="left"/>
              <w:rPr>
                <w:rFonts w:ascii="宋体" w:hAnsi="宋体" w:cs="宋体" w:eastAsia="宋体" w:hint="default"/>
                <w:sz w:val="15"/>
                <w:szCs w:val="15"/>
              </w:rPr>
            </w:pPr>
            <w:r>
              <w:rPr>
                <w:rFonts w:ascii="宋体" w:hAnsi="宋体" w:cs="宋体" w:eastAsia="宋体" w:hint="default"/>
                <w:sz w:val="15"/>
                <w:szCs w:val="15"/>
              </w:rPr>
              <w:t>本年度实现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的效益</w:t>
            </w:r>
          </w:p>
          <w:p>
            <w:pPr>
              <w:pStyle w:val="TableParagraph"/>
              <w:spacing w:line="194" w:lineRule="exact"/>
              <w:ind w:left="-15" w:right="-48"/>
              <w:jc w:val="left"/>
              <w:rPr>
                <w:rFonts w:ascii="宋体" w:hAnsi="宋体" w:cs="宋体" w:eastAsia="宋体" w:hint="default"/>
                <w:sz w:val="15"/>
                <w:szCs w:val="15"/>
              </w:rPr>
            </w:pPr>
            <w:r>
              <w:rPr>
                <w:rFonts w:ascii="宋体" w:hAnsi="宋体" w:cs="宋体" w:eastAsia="宋体" w:hint="default"/>
                <w:sz w:val="15"/>
                <w:szCs w:val="15"/>
              </w:rPr>
              <w:t>（利润总额）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139" w:right="134"/>
              <w:jc w:val="both"/>
              <w:rPr>
                <w:rFonts w:ascii="宋体" w:hAnsi="宋体" w:cs="宋体" w:eastAsia="宋体" w:hint="default"/>
                <w:sz w:val="15"/>
                <w:szCs w:val="15"/>
              </w:rPr>
            </w:pPr>
            <w:r>
              <w:rPr>
                <w:rFonts w:ascii="宋体" w:hAnsi="宋体" w:cs="宋体" w:eastAsia="宋体" w:hint="default"/>
                <w:sz w:val="15"/>
                <w:szCs w:val="15"/>
              </w:rPr>
              <w:t>是否达</w:t>
            </w:r>
            <w:r>
              <w:rPr>
                <w:rFonts w:ascii="宋体" w:hAnsi="宋体" w:cs="宋体" w:eastAsia="宋体" w:hint="default"/>
                <w:spacing w:val="-72"/>
                <w:sz w:val="15"/>
                <w:szCs w:val="15"/>
              </w:rPr>
              <w:t> </w:t>
            </w:r>
            <w:r>
              <w:rPr>
                <w:rFonts w:ascii="宋体" w:hAnsi="宋体" w:cs="宋体" w:eastAsia="宋体" w:hint="default"/>
                <w:sz w:val="15"/>
                <w:szCs w:val="15"/>
              </w:rPr>
              <w:t>到预计</w:t>
            </w:r>
            <w:r>
              <w:rPr>
                <w:rFonts w:ascii="宋体" w:hAnsi="宋体" w:cs="宋体" w:eastAsia="宋体" w:hint="default"/>
                <w:spacing w:val="-72"/>
                <w:sz w:val="15"/>
                <w:szCs w:val="15"/>
              </w:rPr>
              <w:t> </w:t>
            </w:r>
            <w:r>
              <w:rPr>
                <w:rFonts w:ascii="宋体" w:hAnsi="宋体" w:cs="宋体" w:eastAsia="宋体" w:hint="default"/>
                <w:sz w:val="15"/>
                <w:szCs w:val="15"/>
              </w:rPr>
              <w:t>效益</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4" w:right="75"/>
              <w:jc w:val="both"/>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可行</w:t>
            </w:r>
            <w:r>
              <w:rPr>
                <w:rFonts w:ascii="宋体" w:hAnsi="宋体" w:cs="宋体" w:eastAsia="宋体" w:hint="default"/>
                <w:spacing w:val="-73"/>
                <w:sz w:val="15"/>
                <w:szCs w:val="15"/>
              </w:rPr>
              <w:t> </w:t>
            </w:r>
            <w:r>
              <w:rPr>
                <w:rFonts w:ascii="宋体" w:hAnsi="宋体" w:cs="宋体" w:eastAsia="宋体" w:hint="default"/>
                <w:sz w:val="15"/>
                <w:szCs w:val="15"/>
              </w:rPr>
              <w:t>性是</w:t>
            </w:r>
            <w:r>
              <w:rPr>
                <w:rFonts w:ascii="宋体" w:hAnsi="宋体" w:cs="宋体" w:eastAsia="宋体" w:hint="default"/>
                <w:spacing w:val="-73"/>
                <w:sz w:val="15"/>
                <w:szCs w:val="15"/>
              </w:rPr>
              <w:t> </w:t>
            </w:r>
            <w:r>
              <w:rPr>
                <w:rFonts w:ascii="宋体" w:hAnsi="宋体" w:cs="宋体" w:eastAsia="宋体" w:hint="default"/>
                <w:sz w:val="15"/>
                <w:szCs w:val="15"/>
              </w:rPr>
              <w:t>否发</w:t>
            </w:r>
            <w:r>
              <w:rPr>
                <w:rFonts w:ascii="宋体" w:hAnsi="宋体" w:cs="宋体" w:eastAsia="宋体" w:hint="default"/>
                <w:spacing w:val="-73"/>
                <w:sz w:val="15"/>
                <w:szCs w:val="15"/>
              </w:rPr>
              <w:t> </w:t>
            </w:r>
            <w:r>
              <w:rPr>
                <w:rFonts w:ascii="宋体" w:hAnsi="宋体" w:cs="宋体" w:eastAsia="宋体" w:hint="default"/>
                <w:sz w:val="15"/>
                <w:szCs w:val="15"/>
              </w:rPr>
              <w:t>生重</w:t>
            </w:r>
            <w:r>
              <w:rPr>
                <w:rFonts w:ascii="宋体" w:hAnsi="宋体" w:cs="宋体" w:eastAsia="宋体" w:hint="default"/>
                <w:spacing w:val="-73"/>
                <w:sz w:val="15"/>
                <w:szCs w:val="15"/>
              </w:rPr>
              <w:t> </w:t>
            </w:r>
            <w:r>
              <w:rPr>
                <w:rFonts w:ascii="宋体" w:hAnsi="宋体" w:cs="宋体" w:eastAsia="宋体" w:hint="default"/>
                <w:sz w:val="15"/>
                <w:szCs w:val="15"/>
              </w:rPr>
              <w:t>大变</w:t>
            </w:r>
            <w:r>
              <w:rPr>
                <w:rFonts w:ascii="宋体" w:hAnsi="宋体" w:cs="宋体" w:eastAsia="宋体" w:hint="default"/>
                <w:spacing w:val="-73"/>
                <w:sz w:val="15"/>
                <w:szCs w:val="15"/>
              </w:rPr>
              <w:t> </w:t>
            </w:r>
            <w:r>
              <w:rPr>
                <w:rFonts w:ascii="宋体" w:hAnsi="宋体" w:cs="宋体" w:eastAsia="宋体" w:hint="default"/>
                <w:sz w:val="15"/>
                <w:szCs w:val="15"/>
              </w:rPr>
              <w:t>化</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250  </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家</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连</w:t>
            </w:r>
            <w:r>
              <w:rPr>
                <w:rFonts w:ascii="宋体" w:hAnsi="宋体" w:cs="宋体" w:eastAsia="宋体" w:hint="default"/>
                <w:spacing w:val="-53"/>
                <w:sz w:val="15"/>
                <w:szCs w:val="15"/>
              </w:rPr>
              <w:t> </w:t>
            </w:r>
            <w:r>
              <w:rPr>
                <w:rFonts w:ascii="宋体" w:hAnsi="宋体" w:cs="宋体" w:eastAsia="宋体" w:hint="default"/>
                <w:sz w:val="15"/>
                <w:szCs w:val="15"/>
              </w:rPr>
              <w:t>锁</w:t>
            </w:r>
            <w:r>
              <w:rPr>
                <w:rFonts w:ascii="宋体" w:hAnsi="宋体" w:cs="宋体" w:eastAsia="宋体" w:hint="default"/>
                <w:spacing w:val="-55"/>
                <w:sz w:val="15"/>
                <w:szCs w:val="15"/>
              </w:rPr>
              <w:t> </w:t>
            </w:r>
            <w:r>
              <w:rPr>
                <w:rFonts w:ascii="宋体" w:hAnsi="宋体" w:cs="宋体" w:eastAsia="宋体" w:hint="default"/>
                <w:sz w:val="15"/>
                <w:szCs w:val="15"/>
              </w:rPr>
              <w:t>店</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53"/>
                <w:sz w:val="15"/>
                <w:szCs w:val="15"/>
              </w:rPr>
              <w:t> </w:t>
            </w:r>
            <w:r>
              <w:rPr>
                <w:rFonts w:ascii="宋体" w:hAnsi="宋体" w:cs="宋体" w:eastAsia="宋体" w:hint="default"/>
                <w:sz w:val="15"/>
                <w:szCs w:val="15"/>
              </w:rPr>
              <w:t>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目</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22" w:right="0"/>
              <w:jc w:val="center"/>
              <w:rPr>
                <w:rFonts w:ascii="Times New Roman" w:hAnsi="Times New Roman" w:cs="Times New Roman" w:eastAsia="Times New Roman" w:hint="default"/>
                <w:sz w:val="15"/>
                <w:szCs w:val="15"/>
              </w:rPr>
            </w:pPr>
            <w:r>
              <w:rPr>
                <w:rFonts w:ascii="Times New Roman"/>
                <w:sz w:val="15"/>
              </w:rPr>
              <w:t>1,500,000.0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3"/>
              <w:jc w:val="right"/>
              <w:rPr>
                <w:rFonts w:ascii="Times New Roman" w:hAnsi="Times New Roman" w:cs="Times New Roman" w:eastAsia="Times New Roman" w:hint="default"/>
                <w:sz w:val="15"/>
                <w:szCs w:val="15"/>
              </w:rPr>
            </w:pPr>
            <w:r>
              <w:rPr>
                <w:rFonts w:ascii="Times New Roman"/>
                <w:spacing w:val="-1"/>
                <w:sz w:val="15"/>
              </w:rPr>
              <w:t>1,500,000.0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9"/>
              <w:jc w:val="center"/>
              <w:rPr>
                <w:rFonts w:ascii="Times New Roman" w:hAnsi="Times New Roman" w:cs="Times New Roman" w:eastAsia="Times New Roman" w:hint="default"/>
                <w:sz w:val="15"/>
                <w:szCs w:val="15"/>
              </w:rPr>
            </w:pPr>
            <w:r>
              <w:rPr>
                <w:rFonts w:ascii="Times New Roman"/>
                <w:sz w:val="15"/>
              </w:rPr>
              <w:t>1,500,000.0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405,497.3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1,320,261.8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98"/>
              <w:jc w:val="right"/>
              <w:rPr>
                <w:rFonts w:ascii="Times New Roman" w:hAnsi="Times New Roman" w:cs="Times New Roman" w:eastAsia="Times New Roman" w:hint="default"/>
                <w:sz w:val="15"/>
                <w:szCs w:val="15"/>
              </w:rPr>
            </w:pPr>
            <w:r>
              <w:rPr>
                <w:rFonts w:ascii="Times New Roman"/>
                <w:spacing w:val="-1"/>
                <w:sz w:val="15"/>
              </w:rPr>
              <w:t>(179,738.2)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97"/>
              <w:jc w:val="right"/>
              <w:rPr>
                <w:rFonts w:ascii="Times New Roman" w:hAnsi="Times New Roman" w:cs="Times New Roman" w:eastAsia="Times New Roman" w:hint="default"/>
                <w:sz w:val="15"/>
                <w:szCs w:val="15"/>
              </w:rPr>
            </w:pPr>
            <w:r>
              <w:rPr>
                <w:rFonts w:ascii="Times New Roman"/>
                <w:sz w:val="15"/>
              </w:rPr>
              <w:t>88%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12"/>
              <w:jc w:val="right"/>
              <w:rPr>
                <w:rFonts w:ascii="Times New Roman" w:hAnsi="Times New Roman" w:cs="Times New Roman" w:eastAsia="Times New Roman" w:hint="default"/>
                <w:sz w:val="15"/>
                <w:szCs w:val="15"/>
              </w:rPr>
            </w:pPr>
            <w:r>
              <w:rPr>
                <w:rFonts w:ascii="Times New Roman"/>
                <w:spacing w:val="-2"/>
                <w:sz w:val="15"/>
              </w:rPr>
              <w:t>2011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34" w:right="0"/>
              <w:jc w:val="center"/>
              <w:rPr>
                <w:rFonts w:ascii="Times New Roman" w:hAnsi="Times New Roman" w:cs="Times New Roman" w:eastAsia="Times New Roman" w:hint="default"/>
                <w:sz w:val="15"/>
                <w:szCs w:val="15"/>
              </w:rPr>
            </w:pPr>
            <w:r>
              <w:rPr>
                <w:rFonts w:ascii="Times New Roman"/>
                <w:sz w:val="15"/>
              </w:rPr>
              <w:t>175,578.8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26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5)</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9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沈</w:t>
            </w:r>
            <w:r>
              <w:rPr>
                <w:rFonts w:ascii="宋体" w:hAnsi="宋体" w:cs="宋体" w:eastAsia="宋体" w:hint="default"/>
                <w:spacing w:val="-53"/>
                <w:sz w:val="15"/>
                <w:szCs w:val="15"/>
              </w:rPr>
              <w:t> </w:t>
            </w:r>
            <w:r>
              <w:rPr>
                <w:rFonts w:ascii="宋体" w:hAnsi="宋体" w:cs="宋体" w:eastAsia="宋体" w:hint="default"/>
                <w:sz w:val="15"/>
                <w:szCs w:val="15"/>
              </w:rPr>
              <w:t>阳</w:t>
            </w:r>
            <w:r>
              <w:rPr>
                <w:rFonts w:ascii="宋体" w:hAnsi="宋体" w:cs="宋体" w:eastAsia="宋体" w:hint="default"/>
                <w:spacing w:val="-55"/>
                <w:sz w:val="15"/>
                <w:szCs w:val="15"/>
              </w:rPr>
              <w:t> </w:t>
            </w:r>
            <w:r>
              <w:rPr>
                <w:rFonts w:ascii="宋体" w:hAnsi="宋体" w:cs="宋体" w:eastAsia="宋体" w:hint="default"/>
                <w:sz w:val="15"/>
                <w:szCs w:val="15"/>
              </w:rPr>
              <w:t>物</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流</w:t>
            </w:r>
            <w:r>
              <w:rPr>
                <w:rFonts w:ascii="宋体" w:hAnsi="宋体" w:cs="宋体" w:eastAsia="宋体" w:hint="default"/>
                <w:spacing w:val="-53"/>
                <w:sz w:val="15"/>
                <w:szCs w:val="15"/>
              </w:rPr>
              <w:t> </w:t>
            </w:r>
            <w:r>
              <w:rPr>
                <w:rFonts w:ascii="宋体" w:hAnsi="宋体" w:cs="宋体" w:eastAsia="宋体" w:hint="default"/>
                <w:sz w:val="15"/>
                <w:szCs w:val="15"/>
              </w:rPr>
              <w:t>中</w:t>
            </w:r>
            <w:r>
              <w:rPr>
                <w:rFonts w:ascii="宋体" w:hAnsi="宋体" w:cs="宋体" w:eastAsia="宋体" w:hint="default"/>
                <w:spacing w:val="-55"/>
                <w:sz w:val="15"/>
                <w:szCs w:val="15"/>
              </w:rPr>
              <w:t> </w:t>
            </w:r>
            <w:r>
              <w:rPr>
                <w:rFonts w:ascii="宋体" w:hAnsi="宋体" w:cs="宋体" w:eastAsia="宋体" w:hint="default"/>
                <w:sz w:val="15"/>
                <w:szCs w:val="15"/>
              </w:rPr>
              <w:t>心</w:t>
            </w:r>
            <w:r>
              <w:rPr>
                <w:rFonts w:ascii="宋体" w:hAnsi="宋体" w:cs="宋体" w:eastAsia="宋体" w:hint="default"/>
                <w:w w:val="100"/>
                <w:sz w:val="15"/>
                <w:szCs w:val="15"/>
              </w:rPr>
              <w:t> </w:t>
            </w:r>
            <w:r>
              <w:rPr>
                <w:rFonts w:ascii="宋体" w:hAnsi="宋体" w:cs="宋体" w:eastAsia="宋体" w:hint="default"/>
                <w:sz w:val="15"/>
                <w:szCs w:val="15"/>
              </w:rPr>
              <w:t>项目</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5" w:right="0"/>
              <w:jc w:val="center"/>
              <w:rPr>
                <w:rFonts w:ascii="Times New Roman" w:hAnsi="Times New Roman" w:cs="Times New Roman" w:eastAsia="Times New Roman" w:hint="default"/>
                <w:sz w:val="15"/>
                <w:szCs w:val="15"/>
              </w:rPr>
            </w:pPr>
            <w:r>
              <w:rPr>
                <w:rFonts w:ascii="Times New Roman"/>
                <w:sz w:val="15"/>
              </w:rPr>
              <w:t>143,483.7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143,483.7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2" w:right="0"/>
              <w:jc w:val="center"/>
              <w:rPr>
                <w:rFonts w:ascii="Times New Roman" w:hAnsi="Times New Roman" w:cs="Times New Roman" w:eastAsia="Times New Roman" w:hint="default"/>
                <w:sz w:val="15"/>
                <w:szCs w:val="15"/>
              </w:rPr>
            </w:pPr>
            <w:r>
              <w:rPr>
                <w:rFonts w:ascii="Times New Roman"/>
                <w:sz w:val="15"/>
              </w:rPr>
              <w:t>143,483.7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28,540.3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117,570.2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(25,913.5)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82%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2010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w:t>
            </w:r>
            <w:r>
              <w:rPr>
                <w:rFonts w:ascii="宋体" w:hAnsi="宋体" w:cs="宋体" w:eastAsia="宋体" w:hint="default"/>
                <w:sz w:val="15"/>
                <w:szCs w:val="15"/>
              </w:rPr>
              <w:t>）</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4"/>
              <w:ind w:left="175"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26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6)</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武</w:t>
            </w:r>
            <w:r>
              <w:rPr>
                <w:rFonts w:ascii="宋体" w:hAnsi="宋体" w:cs="宋体" w:eastAsia="宋体" w:hint="default"/>
                <w:spacing w:val="-53"/>
                <w:sz w:val="15"/>
                <w:szCs w:val="15"/>
              </w:rPr>
              <w:t> </w:t>
            </w:r>
            <w:r>
              <w:rPr>
                <w:rFonts w:ascii="宋体" w:hAnsi="宋体" w:cs="宋体" w:eastAsia="宋体" w:hint="default"/>
                <w:sz w:val="15"/>
                <w:szCs w:val="15"/>
              </w:rPr>
              <w:t>汉</w:t>
            </w:r>
            <w:r>
              <w:rPr>
                <w:rFonts w:ascii="宋体" w:hAnsi="宋体" w:cs="宋体" w:eastAsia="宋体" w:hint="default"/>
                <w:spacing w:val="-55"/>
                <w:sz w:val="15"/>
                <w:szCs w:val="15"/>
              </w:rPr>
              <w:t> </w:t>
            </w:r>
            <w:r>
              <w:rPr>
                <w:rFonts w:ascii="宋体" w:hAnsi="宋体" w:cs="宋体" w:eastAsia="宋体" w:hint="default"/>
                <w:sz w:val="15"/>
                <w:szCs w:val="15"/>
              </w:rPr>
              <w:t>中</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南</w:t>
            </w:r>
            <w:r>
              <w:rPr>
                <w:rFonts w:ascii="宋体" w:hAnsi="宋体" w:cs="宋体" w:eastAsia="宋体" w:hint="default"/>
                <w:spacing w:val="-53"/>
                <w:sz w:val="15"/>
                <w:szCs w:val="15"/>
              </w:rPr>
              <w:t> </w:t>
            </w:r>
            <w:r>
              <w:rPr>
                <w:rFonts w:ascii="宋体" w:hAnsi="宋体" w:cs="宋体" w:eastAsia="宋体" w:hint="default"/>
                <w:sz w:val="15"/>
                <w:szCs w:val="15"/>
              </w:rPr>
              <w:t>旗</w:t>
            </w:r>
            <w:r>
              <w:rPr>
                <w:rFonts w:ascii="宋体" w:hAnsi="宋体" w:cs="宋体" w:eastAsia="宋体" w:hint="default"/>
                <w:spacing w:val="-55"/>
                <w:sz w:val="15"/>
                <w:szCs w:val="15"/>
              </w:rPr>
              <w:t> </w:t>
            </w:r>
            <w:r>
              <w:rPr>
                <w:rFonts w:ascii="宋体" w:hAnsi="宋体" w:cs="宋体" w:eastAsia="宋体" w:hint="default"/>
                <w:sz w:val="15"/>
                <w:szCs w:val="15"/>
              </w:rPr>
              <w:t>舰</w:t>
            </w:r>
            <w:r>
              <w:rPr>
                <w:rFonts w:ascii="宋体" w:hAnsi="宋体" w:cs="宋体" w:eastAsia="宋体" w:hint="default"/>
                <w:w w:val="100"/>
                <w:sz w:val="15"/>
                <w:szCs w:val="15"/>
              </w:rPr>
              <w:t> </w:t>
            </w:r>
            <w:r>
              <w:rPr>
                <w:rFonts w:ascii="宋体" w:hAnsi="宋体" w:cs="宋体" w:eastAsia="宋体" w:hint="default"/>
                <w:sz w:val="15"/>
                <w:szCs w:val="15"/>
              </w:rPr>
              <w:t>店</w:t>
            </w:r>
            <w:r>
              <w:rPr>
                <w:rFonts w:ascii="宋体" w:hAnsi="宋体" w:cs="宋体" w:eastAsia="宋体" w:hint="default"/>
                <w:spacing w:val="-53"/>
                <w:sz w:val="15"/>
                <w:szCs w:val="15"/>
              </w:rPr>
              <w:t> </w:t>
            </w:r>
            <w:r>
              <w:rPr>
                <w:rFonts w:ascii="宋体" w:hAnsi="宋体" w:cs="宋体" w:eastAsia="宋体" w:hint="default"/>
                <w:sz w:val="15"/>
                <w:szCs w:val="15"/>
              </w:rPr>
              <w:t>购</w:t>
            </w:r>
            <w:r>
              <w:rPr>
                <w:rFonts w:ascii="宋体" w:hAnsi="宋体" w:cs="宋体" w:eastAsia="宋体" w:hint="default"/>
                <w:spacing w:val="-55"/>
                <w:sz w:val="15"/>
                <w:szCs w:val="15"/>
              </w:rPr>
              <w:t> </w:t>
            </w:r>
            <w:r>
              <w:rPr>
                <w:rFonts w:ascii="宋体" w:hAnsi="宋体" w:cs="宋体" w:eastAsia="宋体" w:hint="default"/>
                <w:sz w:val="15"/>
                <w:szCs w:val="15"/>
              </w:rPr>
              <w:t>置</w:t>
            </w:r>
            <w:r>
              <w:rPr>
                <w:rFonts w:ascii="宋体" w:hAnsi="宋体" w:cs="宋体" w:eastAsia="宋体" w:hint="default"/>
                <w:w w:val="100"/>
                <w:sz w:val="15"/>
                <w:szCs w:val="15"/>
              </w:rPr>
              <w:t> </w:t>
            </w:r>
            <w:r>
              <w:rPr>
                <w:rFonts w:ascii="宋体" w:hAnsi="宋体" w:cs="宋体" w:eastAsia="宋体" w:hint="default"/>
                <w:sz w:val="15"/>
                <w:szCs w:val="15"/>
              </w:rPr>
              <w:t>项目</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135" w:right="0"/>
              <w:jc w:val="center"/>
              <w:rPr>
                <w:rFonts w:ascii="Times New Roman" w:hAnsi="Times New Roman" w:cs="Times New Roman" w:eastAsia="Times New Roman" w:hint="default"/>
                <w:sz w:val="15"/>
                <w:szCs w:val="15"/>
              </w:rPr>
            </w:pPr>
            <w:r>
              <w:rPr>
                <w:rFonts w:ascii="Times New Roman"/>
                <w:sz w:val="15"/>
              </w:rPr>
              <w:t>233,867.7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2"/>
              <w:jc w:val="right"/>
              <w:rPr>
                <w:rFonts w:ascii="Times New Roman" w:hAnsi="Times New Roman" w:cs="Times New Roman" w:eastAsia="Times New Roman" w:hint="default"/>
                <w:sz w:val="15"/>
                <w:szCs w:val="15"/>
              </w:rPr>
            </w:pPr>
            <w:r>
              <w:rPr>
                <w:rFonts w:ascii="Times New Roman"/>
                <w:spacing w:val="-1"/>
                <w:sz w:val="15"/>
              </w:rPr>
              <w:t>233,867.7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101" w:right="0"/>
              <w:jc w:val="center"/>
              <w:rPr>
                <w:rFonts w:ascii="Times New Roman" w:hAnsi="Times New Roman" w:cs="Times New Roman" w:eastAsia="Times New Roman" w:hint="default"/>
                <w:sz w:val="15"/>
                <w:szCs w:val="15"/>
              </w:rPr>
            </w:pPr>
            <w:r>
              <w:rPr>
                <w:rFonts w:ascii="Times New Roman"/>
                <w:sz w:val="15"/>
              </w:rPr>
              <w:t>233,867.7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2"/>
              <w:jc w:val="right"/>
              <w:rPr>
                <w:rFonts w:ascii="Times New Roman" w:hAnsi="Times New Roman" w:cs="Times New Roman" w:eastAsia="Times New Roman" w:hint="default"/>
                <w:sz w:val="15"/>
                <w:szCs w:val="15"/>
              </w:rPr>
            </w:pPr>
            <w:r>
              <w:rPr>
                <w:rFonts w:ascii="Times New Roman"/>
                <w:spacing w:val="-2"/>
                <w:sz w:val="15"/>
              </w:rPr>
              <w:t>233,867.7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63"/>
              <w:jc w:val="right"/>
              <w:rPr>
                <w:rFonts w:ascii="Times New Roman" w:hAnsi="Times New Roman" w:cs="Times New Roman" w:eastAsia="Times New Roman" w:hint="default"/>
                <w:sz w:val="15"/>
                <w:szCs w:val="15"/>
              </w:rPr>
            </w:pPr>
            <w:r>
              <w:rPr>
                <w:rFonts w:ascii="Times New Roman"/>
                <w:w w:val="100"/>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98"/>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9"/>
              <w:jc w:val="right"/>
              <w:rPr>
                <w:rFonts w:ascii="Times New Roman" w:hAnsi="Times New Roman" w:cs="Times New Roman" w:eastAsia="Times New Roman" w:hint="default"/>
                <w:sz w:val="15"/>
                <w:szCs w:val="15"/>
              </w:rPr>
            </w:pPr>
            <w:r>
              <w:rPr>
                <w:rFonts w:ascii="Times New Roman"/>
                <w:spacing w:val="-1"/>
                <w:sz w:val="15"/>
              </w:rPr>
              <w:t>2007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108" w:right="0"/>
              <w:jc w:val="center"/>
              <w:rPr>
                <w:rFonts w:ascii="Times New Roman" w:hAnsi="Times New Roman" w:cs="Times New Roman" w:eastAsia="Times New Roman" w:hint="default"/>
                <w:sz w:val="15"/>
                <w:szCs w:val="15"/>
              </w:rPr>
            </w:pPr>
            <w:r>
              <w:rPr>
                <w:rFonts w:ascii="Times New Roman"/>
                <w:sz w:val="15"/>
              </w:rPr>
              <w:t>19,402.5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163" w:lineRule="exact"/>
              <w:ind w:left="2" w:right="0"/>
              <w:jc w:val="center"/>
              <w:rPr>
                <w:rFonts w:ascii="Times New Roman" w:hAnsi="Times New Roman" w:cs="Times New Roman" w:eastAsia="Times New Roman" w:hint="default"/>
                <w:sz w:val="15"/>
                <w:szCs w:val="15"/>
              </w:rPr>
            </w:pPr>
            <w:r>
              <w:rPr>
                <w:rFonts w:ascii="Times New Roman"/>
                <w:sz w:val="15"/>
              </w:rPr>
              <w:t>85%</w:t>
            </w:r>
          </w:p>
          <w:p>
            <w:pPr>
              <w:pStyle w:val="TableParagraph"/>
              <w:spacing w:line="199" w:lineRule="exact"/>
              <w:ind w:left="43"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7</w:t>
            </w:r>
            <w:r>
              <w:rPr>
                <w:rFonts w:ascii="宋体" w:hAnsi="宋体" w:cs="宋体" w:eastAsia="宋体" w:hint="default"/>
                <w:sz w:val="15"/>
                <w:szCs w:val="15"/>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53"/>
                <w:sz w:val="15"/>
                <w:szCs w:val="15"/>
              </w:rPr>
              <w:t> </w:t>
            </w:r>
            <w:r>
              <w:rPr>
                <w:rFonts w:ascii="宋体" w:hAnsi="宋体" w:cs="宋体" w:eastAsia="宋体" w:hint="default"/>
                <w:sz w:val="15"/>
                <w:szCs w:val="15"/>
              </w:rPr>
              <w:t>海</w:t>
            </w:r>
            <w:r>
              <w:rPr>
                <w:rFonts w:ascii="宋体" w:hAnsi="宋体" w:cs="宋体" w:eastAsia="宋体" w:hint="default"/>
                <w:spacing w:val="-55"/>
                <w:sz w:val="15"/>
                <w:szCs w:val="15"/>
              </w:rPr>
              <w:t> </w:t>
            </w:r>
            <w:r>
              <w:rPr>
                <w:rFonts w:ascii="宋体" w:hAnsi="宋体" w:cs="宋体" w:eastAsia="宋体" w:hint="default"/>
                <w:sz w:val="15"/>
                <w:szCs w:val="15"/>
              </w:rPr>
              <w:t>浦</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53"/>
                <w:sz w:val="15"/>
                <w:szCs w:val="15"/>
              </w:rPr>
              <w:t> </w:t>
            </w:r>
            <w:r>
              <w:rPr>
                <w:rFonts w:ascii="宋体" w:hAnsi="宋体" w:cs="宋体" w:eastAsia="宋体" w:hint="default"/>
                <w:sz w:val="15"/>
                <w:szCs w:val="15"/>
              </w:rPr>
              <w:t>旗</w:t>
            </w:r>
            <w:r>
              <w:rPr>
                <w:rFonts w:ascii="宋体" w:hAnsi="宋体" w:cs="宋体" w:eastAsia="宋体" w:hint="default"/>
                <w:spacing w:val="-55"/>
                <w:sz w:val="15"/>
                <w:szCs w:val="15"/>
              </w:rPr>
              <w:t> </w:t>
            </w:r>
            <w:r>
              <w:rPr>
                <w:rFonts w:ascii="宋体" w:hAnsi="宋体" w:cs="宋体" w:eastAsia="宋体" w:hint="default"/>
                <w:sz w:val="15"/>
                <w:szCs w:val="15"/>
              </w:rPr>
              <w:t>舰</w:t>
            </w:r>
            <w:r>
              <w:rPr>
                <w:rFonts w:ascii="宋体" w:hAnsi="宋体" w:cs="宋体" w:eastAsia="宋体" w:hint="default"/>
                <w:w w:val="100"/>
                <w:sz w:val="15"/>
                <w:szCs w:val="15"/>
              </w:rPr>
              <w:t> </w:t>
            </w:r>
            <w:r>
              <w:rPr>
                <w:rFonts w:ascii="宋体" w:hAnsi="宋体" w:cs="宋体" w:eastAsia="宋体" w:hint="default"/>
                <w:sz w:val="15"/>
                <w:szCs w:val="15"/>
              </w:rPr>
              <w:t>店</w:t>
            </w:r>
            <w:r>
              <w:rPr>
                <w:rFonts w:ascii="宋体" w:hAnsi="宋体" w:cs="宋体" w:eastAsia="宋体" w:hint="default"/>
                <w:spacing w:val="-53"/>
                <w:sz w:val="15"/>
                <w:szCs w:val="15"/>
              </w:rPr>
              <w:t> </w:t>
            </w:r>
            <w:r>
              <w:rPr>
                <w:rFonts w:ascii="宋体" w:hAnsi="宋体" w:cs="宋体" w:eastAsia="宋体" w:hint="default"/>
                <w:sz w:val="15"/>
                <w:szCs w:val="15"/>
              </w:rPr>
              <w:t>购</w:t>
            </w:r>
            <w:r>
              <w:rPr>
                <w:rFonts w:ascii="宋体" w:hAnsi="宋体" w:cs="宋体" w:eastAsia="宋体" w:hint="default"/>
                <w:spacing w:val="-55"/>
                <w:sz w:val="15"/>
                <w:szCs w:val="15"/>
              </w:rPr>
              <w:t> </w:t>
            </w:r>
            <w:r>
              <w:rPr>
                <w:rFonts w:ascii="宋体" w:hAnsi="宋体" w:cs="宋体" w:eastAsia="宋体" w:hint="default"/>
                <w:sz w:val="15"/>
                <w:szCs w:val="15"/>
              </w:rPr>
              <w:t>置</w:t>
            </w:r>
            <w:r>
              <w:rPr>
                <w:rFonts w:ascii="宋体" w:hAnsi="宋体" w:cs="宋体" w:eastAsia="宋体" w:hint="default"/>
                <w:w w:val="100"/>
                <w:sz w:val="15"/>
                <w:szCs w:val="15"/>
              </w:rPr>
              <w:t> </w:t>
            </w:r>
            <w:r>
              <w:rPr>
                <w:rFonts w:ascii="宋体" w:hAnsi="宋体" w:cs="宋体" w:eastAsia="宋体" w:hint="default"/>
                <w:sz w:val="15"/>
                <w:szCs w:val="15"/>
              </w:rPr>
              <w:t>项目</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35" w:right="0"/>
              <w:jc w:val="center"/>
              <w:rPr>
                <w:rFonts w:ascii="Times New Roman" w:hAnsi="Times New Roman" w:cs="Times New Roman" w:eastAsia="Times New Roman" w:hint="default"/>
                <w:sz w:val="15"/>
                <w:szCs w:val="15"/>
              </w:rPr>
            </w:pPr>
            <w:r>
              <w:rPr>
                <w:rFonts w:ascii="Times New Roman"/>
                <w:sz w:val="15"/>
              </w:rPr>
              <w:t>576,208.7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163" w:lineRule="exact"/>
              <w:ind w:left="103" w:right="0"/>
              <w:jc w:val="center"/>
              <w:rPr>
                <w:rFonts w:ascii="Times New Roman" w:hAnsi="Times New Roman" w:cs="Times New Roman" w:eastAsia="Times New Roman" w:hint="default"/>
                <w:sz w:val="15"/>
                <w:szCs w:val="15"/>
              </w:rPr>
            </w:pPr>
            <w:r>
              <w:rPr>
                <w:rFonts w:ascii="Times New Roman"/>
                <w:sz w:val="15"/>
              </w:rPr>
              <w:t>542,704.1</w:t>
            </w:r>
          </w:p>
          <w:p>
            <w:pPr>
              <w:pStyle w:val="TableParagraph"/>
              <w:spacing w:line="199" w:lineRule="exact"/>
              <w:ind w:left="24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01" w:right="0"/>
              <w:jc w:val="center"/>
              <w:rPr>
                <w:rFonts w:ascii="Times New Roman" w:hAnsi="Times New Roman" w:cs="Times New Roman" w:eastAsia="Times New Roman" w:hint="default"/>
                <w:sz w:val="15"/>
                <w:szCs w:val="15"/>
              </w:rPr>
            </w:pPr>
            <w:r>
              <w:rPr>
                <w:rFonts w:ascii="Times New Roman"/>
                <w:sz w:val="15"/>
              </w:rPr>
              <w:t>542,704.1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2"/>
              <w:jc w:val="right"/>
              <w:rPr>
                <w:rFonts w:ascii="Times New Roman" w:hAnsi="Times New Roman" w:cs="Times New Roman" w:eastAsia="Times New Roman" w:hint="default"/>
                <w:sz w:val="15"/>
                <w:szCs w:val="15"/>
              </w:rPr>
            </w:pPr>
            <w:r>
              <w:rPr>
                <w:rFonts w:ascii="Times New Roman"/>
                <w:spacing w:val="-1"/>
                <w:sz w:val="15"/>
              </w:rPr>
              <w:t>542,704.1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8"/>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9"/>
              <w:jc w:val="right"/>
              <w:rPr>
                <w:rFonts w:ascii="Times New Roman" w:hAnsi="Times New Roman" w:cs="Times New Roman" w:eastAsia="Times New Roman" w:hint="default"/>
                <w:sz w:val="15"/>
                <w:szCs w:val="15"/>
              </w:rPr>
            </w:pPr>
            <w:r>
              <w:rPr>
                <w:rFonts w:ascii="Times New Roman"/>
                <w:spacing w:val="-1"/>
                <w:sz w:val="15"/>
              </w:rPr>
              <w:t>2007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08" w:right="0"/>
              <w:jc w:val="center"/>
              <w:rPr>
                <w:rFonts w:ascii="Times New Roman" w:hAnsi="Times New Roman" w:cs="Times New Roman" w:eastAsia="Times New Roman" w:hint="default"/>
                <w:sz w:val="15"/>
                <w:szCs w:val="15"/>
              </w:rPr>
            </w:pPr>
            <w:r>
              <w:rPr>
                <w:rFonts w:ascii="Times New Roman"/>
                <w:sz w:val="15"/>
              </w:rPr>
              <w:t>24,883.4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163" w:lineRule="exact"/>
              <w:ind w:left="2" w:right="0"/>
              <w:jc w:val="center"/>
              <w:rPr>
                <w:rFonts w:ascii="Times New Roman" w:hAnsi="Times New Roman" w:cs="Times New Roman" w:eastAsia="Times New Roman" w:hint="default"/>
                <w:sz w:val="15"/>
                <w:szCs w:val="15"/>
              </w:rPr>
            </w:pPr>
            <w:r>
              <w:rPr>
                <w:rFonts w:ascii="Times New Roman"/>
                <w:sz w:val="15"/>
              </w:rPr>
              <w:t>60%</w:t>
            </w:r>
          </w:p>
          <w:p>
            <w:pPr>
              <w:pStyle w:val="TableParagraph"/>
              <w:spacing w:line="199" w:lineRule="exact"/>
              <w:ind w:left="43"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7</w:t>
            </w:r>
            <w:r>
              <w:rPr>
                <w:rFonts w:ascii="宋体" w:hAnsi="宋体" w:cs="宋体" w:eastAsia="宋体" w:hint="default"/>
                <w:sz w:val="15"/>
                <w:szCs w:val="15"/>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29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37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center"/>
              <w:rPr>
                <w:rFonts w:ascii="Times New Roman" w:hAnsi="Times New Roman" w:cs="Times New Roman" w:eastAsia="Times New Roman" w:hint="default"/>
                <w:sz w:val="15"/>
                <w:szCs w:val="15"/>
              </w:rPr>
            </w:pPr>
            <w:r>
              <w:rPr>
                <w:rFonts w:ascii="Times New Roman"/>
                <w:sz w:val="15"/>
              </w:rPr>
              <w:t>2,453,560.1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2,420,055.5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center"/>
              <w:rPr>
                <w:rFonts w:ascii="Times New Roman" w:hAnsi="Times New Roman" w:cs="Times New Roman" w:eastAsia="Times New Roman" w:hint="default"/>
                <w:sz w:val="15"/>
                <w:szCs w:val="15"/>
              </w:rPr>
            </w:pPr>
            <w:r>
              <w:rPr>
                <w:rFonts w:ascii="Times New Roman"/>
                <w:sz w:val="15"/>
              </w:rPr>
              <w:t>2,420,055.5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434,037.6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9" w:right="0"/>
              <w:jc w:val="left"/>
              <w:rPr>
                <w:rFonts w:ascii="Times New Roman" w:hAnsi="Times New Roman" w:cs="Times New Roman" w:eastAsia="Times New Roman" w:hint="default"/>
                <w:sz w:val="15"/>
                <w:szCs w:val="15"/>
              </w:rPr>
            </w:pPr>
            <w:r>
              <w:rPr>
                <w:rFonts w:ascii="Times New Roman"/>
                <w:sz w:val="15"/>
              </w:rPr>
              <w:t>2,214,403.8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5"/>
                <w:szCs w:val="15"/>
              </w:rPr>
            </w:pPr>
            <w:r>
              <w:rPr>
                <w:rFonts w:ascii="Times New Roman"/>
                <w:spacing w:val="-1"/>
                <w:sz w:val="15"/>
              </w:rPr>
              <w:t>(205,651.7)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z w:val="15"/>
              </w:rPr>
              <w:t>92%</w:t>
            </w:r>
          </w:p>
        </w:tc>
        <w:tc>
          <w:tcPr>
            <w:tcW w:w="54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center"/>
              <w:rPr>
                <w:rFonts w:ascii="Times New Roman" w:hAnsi="Times New Roman" w:cs="Times New Roman" w:eastAsia="Times New Roman" w:hint="default"/>
                <w:sz w:val="15"/>
                <w:szCs w:val="15"/>
              </w:rPr>
            </w:pPr>
            <w:r>
              <w:rPr>
                <w:rFonts w:ascii="Times New Roman"/>
                <w:sz w:val="15"/>
              </w:rPr>
              <w:t>219,864.7</w:t>
            </w:r>
          </w:p>
        </w:tc>
        <w:tc>
          <w:tcPr>
            <w:tcW w:w="73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z w:val="15"/>
                <w:szCs w:val="15"/>
              </w:rPr>
              <w:t>未达到计划进度或预计收益</w:t>
            </w:r>
            <w:r>
              <w:rPr>
                <w:rFonts w:ascii="宋体" w:hAnsi="宋体" w:cs="宋体" w:eastAsia="宋体" w:hint="default"/>
                <w:spacing w:val="-61"/>
                <w:sz w:val="15"/>
                <w:szCs w:val="15"/>
              </w:rPr>
              <w:t> </w:t>
            </w:r>
            <w:r>
              <w:rPr>
                <w:rFonts w:ascii="宋体" w:hAnsi="宋体" w:cs="宋体" w:eastAsia="宋体" w:hint="default"/>
                <w:spacing w:val="-7"/>
                <w:w w:val="100"/>
                <w:sz w:val="15"/>
                <w:szCs w:val="15"/>
              </w:rPr>
              <w:t>的情况及原因（分具体项目）</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1" w:lineRule="exact" w:before="53"/>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、截至</w:t>
            </w:r>
            <w:r>
              <w:rPr>
                <w:rFonts w:ascii="宋体" w:hAnsi="宋体" w:cs="宋体" w:eastAsia="宋体" w:hint="default"/>
                <w:spacing w:val="-37"/>
                <w:sz w:val="15"/>
                <w:szCs w:val="15"/>
              </w:rPr>
              <w:t> </w:t>
            </w:r>
            <w:r>
              <w:rPr>
                <w:rFonts w:ascii="Times New Roman" w:hAnsi="Times New Roman" w:cs="Times New Roman" w:eastAsia="Times New Roman" w:hint="default"/>
                <w:spacing w:val="-3"/>
                <w:sz w:val="15"/>
                <w:szCs w:val="15"/>
              </w:rPr>
              <w:t>2011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7"/>
                <w:sz w:val="15"/>
                <w:szCs w:val="15"/>
              </w:rPr>
              <w:t> </w:t>
            </w:r>
            <w:r>
              <w:rPr>
                <w:rFonts w:ascii="宋体" w:hAnsi="宋体" w:cs="宋体" w:eastAsia="宋体" w:hint="default"/>
                <w:spacing w:val="-3"/>
                <w:sz w:val="15"/>
                <w:szCs w:val="15"/>
              </w:rPr>
              <w:t>日止，公司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37"/>
                <w:sz w:val="15"/>
                <w:szCs w:val="15"/>
              </w:rPr>
              <w:t> </w:t>
            </w:r>
            <w:r>
              <w:rPr>
                <w:rFonts w:ascii="宋体" w:hAnsi="宋体" w:cs="宋体" w:eastAsia="宋体" w:hint="default"/>
                <w:sz w:val="15"/>
                <w:szCs w:val="15"/>
              </w:rPr>
              <w:t>连锁店发展项目已开设</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248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家店面，并全部已使用募集资金投入。公司将加大</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开发力度，剩余</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家店面将在</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年上半年投入完毕。</w:t>
            </w:r>
          </w:p>
          <w:p>
            <w:pPr>
              <w:pStyle w:val="TableParagraph"/>
              <w:spacing w:line="194" w:lineRule="exact" w:before="15"/>
              <w:ind w:left="103" w:right="99"/>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、沈阳物流中心已于 </w:t>
            </w:r>
            <w:r>
              <w:rPr>
                <w:rFonts w:ascii="Times New Roman" w:hAnsi="Times New Roman" w:cs="Times New Roman" w:eastAsia="Times New Roman" w:hint="default"/>
                <w:sz w:val="15"/>
                <w:szCs w:val="15"/>
              </w:rPr>
              <w:t>2010 </w:t>
            </w:r>
            <w:r>
              <w:rPr>
                <w:rFonts w:ascii="宋体" w:hAnsi="宋体" w:cs="宋体" w:eastAsia="宋体" w:hint="default"/>
                <w:spacing w:val="-3"/>
                <w:sz w:val="15"/>
                <w:szCs w:val="15"/>
              </w:rPr>
              <w:t>年投入使用，尚余部分工程款及质保金未支付，另由于公司加强了相关建设成本等控制，项目</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资金出现一定的结余。</w:t>
            </w:r>
          </w:p>
        </w:tc>
      </w:tr>
      <w:tr>
        <w:trPr>
          <w:trHeight w:val="468"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9"/>
              <w:jc w:val="left"/>
              <w:rPr>
                <w:rFonts w:ascii="宋体" w:hAnsi="宋体" w:cs="宋体" w:eastAsia="宋体" w:hint="default"/>
                <w:sz w:val="15"/>
                <w:szCs w:val="15"/>
              </w:rPr>
            </w:pPr>
            <w:r>
              <w:rPr>
                <w:rFonts w:ascii="宋体" w:hAnsi="宋体" w:cs="宋体" w:eastAsia="宋体" w:hint="default"/>
                <w:sz w:val="15"/>
                <w:szCs w:val="15"/>
              </w:rPr>
              <w:t>项目可行性发生重大变化的</w:t>
            </w:r>
            <w:r>
              <w:rPr>
                <w:rFonts w:ascii="宋体" w:hAnsi="宋体" w:cs="宋体" w:eastAsia="宋体" w:hint="default"/>
                <w:spacing w:val="-61"/>
                <w:sz w:val="15"/>
                <w:szCs w:val="15"/>
              </w:rPr>
              <w:t> </w:t>
            </w:r>
            <w:r>
              <w:rPr>
                <w:rFonts w:ascii="宋体" w:hAnsi="宋体" w:cs="宋体" w:eastAsia="宋体" w:hint="default"/>
                <w:sz w:val="15"/>
                <w:szCs w:val="15"/>
              </w:rPr>
              <w:t>情况说明</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70"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99"/>
              <w:jc w:val="left"/>
              <w:rPr>
                <w:rFonts w:ascii="宋体" w:hAnsi="宋体" w:cs="宋体" w:eastAsia="宋体" w:hint="default"/>
                <w:sz w:val="15"/>
                <w:szCs w:val="15"/>
              </w:rPr>
            </w:pPr>
            <w:r>
              <w:rPr>
                <w:rFonts w:ascii="宋体" w:hAnsi="宋体" w:cs="宋体" w:eastAsia="宋体" w:hint="default"/>
                <w:sz w:val="15"/>
                <w:szCs w:val="15"/>
              </w:rPr>
              <w:t>超募集资金的金额、用途及</w:t>
            </w:r>
            <w:r>
              <w:rPr>
                <w:rFonts w:ascii="宋体" w:hAnsi="宋体" w:cs="宋体" w:eastAsia="宋体" w:hint="default"/>
                <w:spacing w:val="-61"/>
                <w:sz w:val="15"/>
                <w:szCs w:val="15"/>
              </w:rPr>
              <w:t> </w:t>
            </w:r>
            <w:r>
              <w:rPr>
                <w:rFonts w:ascii="宋体" w:hAnsi="宋体" w:cs="宋体" w:eastAsia="宋体" w:hint="default"/>
                <w:sz w:val="15"/>
                <w:szCs w:val="15"/>
              </w:rPr>
              <w:t>使用进展情况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98"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募集资金投资项目实施地点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变更情况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点内容</w:t>
            </w:r>
          </w:p>
        </w:tc>
      </w:tr>
      <w:tr>
        <w:trPr>
          <w:trHeight w:val="401"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募集资金投资项目实施方式</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调整情况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募集资金投资项目先期投入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及置换情况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98"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用闲置募集资金暂时补充流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动资金情况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项目实施出现募集资金结余</w:t>
            </w:r>
          </w:p>
          <w:p>
            <w:pPr>
              <w:pStyle w:val="TableParagraph"/>
              <w:spacing w:line="240" w:lineRule="auto" w:before="1"/>
              <w:ind w:left="103" w:right="0"/>
              <w:jc w:val="left"/>
              <w:rPr>
                <w:rFonts w:ascii="宋体" w:hAnsi="宋体" w:cs="宋体" w:eastAsia="宋体" w:hint="default"/>
                <w:sz w:val="15"/>
                <w:szCs w:val="15"/>
              </w:rPr>
            </w:pPr>
            <w:r>
              <w:rPr>
                <w:rFonts w:ascii="宋体" w:hAnsi="宋体" w:cs="宋体" w:eastAsia="宋体" w:hint="default"/>
                <w:sz w:val="15"/>
                <w:szCs w:val="15"/>
              </w:rPr>
              <w:t>的金额及原因</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95"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99"/>
              <w:jc w:val="left"/>
              <w:rPr>
                <w:rFonts w:ascii="宋体" w:hAnsi="宋体" w:cs="宋体" w:eastAsia="宋体" w:hint="default"/>
                <w:sz w:val="15"/>
                <w:szCs w:val="15"/>
              </w:rPr>
            </w:pPr>
            <w:r>
              <w:rPr>
                <w:rFonts w:ascii="宋体" w:hAnsi="宋体" w:cs="宋体" w:eastAsia="宋体" w:hint="default"/>
                <w:sz w:val="15"/>
                <w:szCs w:val="15"/>
              </w:rPr>
              <w:t>尚未使用的募集资金用途及</w:t>
            </w:r>
            <w:r>
              <w:rPr>
                <w:rFonts w:ascii="宋体" w:hAnsi="宋体" w:cs="宋体" w:eastAsia="宋体" w:hint="default"/>
                <w:spacing w:val="-61"/>
                <w:sz w:val="15"/>
                <w:szCs w:val="15"/>
              </w:rPr>
              <w:t> </w:t>
            </w:r>
            <w:r>
              <w:rPr>
                <w:rFonts w:ascii="宋体" w:hAnsi="宋体" w:cs="宋体" w:eastAsia="宋体" w:hint="default"/>
                <w:sz w:val="15"/>
                <w:szCs w:val="15"/>
              </w:rPr>
              <w:t>去向</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本公司尚未使用的募集资金将主要用于 </w:t>
            </w:r>
            <w:r>
              <w:rPr>
                <w:rFonts w:ascii="宋体" w:hAnsi="宋体" w:cs="宋体" w:eastAsia="宋体" w:hint="default"/>
                <w:sz w:val="15"/>
                <w:szCs w:val="15"/>
              </w:rPr>
              <w:t>250</w:t>
            </w:r>
            <w:r>
              <w:rPr>
                <w:rFonts w:ascii="宋体" w:hAnsi="宋体" w:cs="宋体" w:eastAsia="宋体" w:hint="default"/>
                <w:spacing w:val="-38"/>
                <w:sz w:val="15"/>
                <w:szCs w:val="15"/>
              </w:rPr>
              <w:t> </w:t>
            </w:r>
            <w:r>
              <w:rPr>
                <w:rFonts w:ascii="宋体" w:hAnsi="宋体" w:cs="宋体" w:eastAsia="宋体" w:hint="default"/>
                <w:spacing w:val="-3"/>
                <w:sz w:val="15"/>
                <w:szCs w:val="15"/>
              </w:rPr>
              <w:t>家连锁店发展项目及沈阳物流中心项目的建设。公司将尚未使用的募集资金存</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3"/>
                <w:sz w:val="15"/>
                <w:szCs w:val="15"/>
              </w:rPr>
              <w:t>放于公司专户中，其中为提高资金使用效率，将闲置的募集资金 </w:t>
            </w:r>
            <w:r>
              <w:rPr>
                <w:rFonts w:ascii="宋体" w:hAnsi="宋体" w:cs="宋体" w:eastAsia="宋体" w:hint="default"/>
                <w:sz w:val="15"/>
                <w:szCs w:val="15"/>
              </w:rPr>
              <w:t>1.3 </w:t>
            </w:r>
            <w:r>
              <w:rPr>
                <w:rFonts w:ascii="宋体" w:hAnsi="宋体" w:cs="宋体" w:eastAsia="宋体" w:hint="default"/>
                <w:spacing w:val="-3"/>
                <w:sz w:val="15"/>
                <w:szCs w:val="15"/>
              </w:rPr>
              <w:t>亿元以通知存款的方式存放，不存在存单抵押、质押</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及其他所有权、使用权受到限制的情况。</w:t>
            </w:r>
          </w:p>
        </w:tc>
      </w:tr>
      <w:tr>
        <w:trPr>
          <w:trHeight w:val="401" w:hRule="exact"/>
        </w:trPr>
        <w:tc>
          <w:tcPr>
            <w:tcW w:w="2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募集资金使用及披露中存在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的问题或其他情况</w:t>
            </w:r>
          </w:p>
        </w:tc>
        <w:tc>
          <w:tcPr>
            <w:tcW w:w="81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57" w:lineRule="exact" w:before="0"/>
        <w:ind w:left="110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年非公开发行股票募集的资金低于募集资金原承诺金额的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3,350.46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万元已经调整上</w:t>
      </w:r>
    </w:p>
    <w:p>
      <w:pPr>
        <w:spacing w:after="0" w:line="257" w:lineRule="exact"/>
        <w:jc w:val="left"/>
        <w:rPr>
          <w:rFonts w:ascii="宋体" w:hAnsi="宋体" w:cs="宋体" w:eastAsia="宋体" w:hint="default"/>
          <w:sz w:val="21"/>
          <w:szCs w:val="21"/>
        </w:rPr>
        <w:sectPr>
          <w:pgSz w:w="11910" w:h="16840"/>
          <w:pgMar w:header="748" w:footer="783" w:top="980" w:bottom="980" w:left="760" w:right="0"/>
        </w:sectPr>
      </w:pPr>
    </w:p>
    <w:p>
      <w:pPr>
        <w:spacing w:line="240" w:lineRule="auto" w:before="2"/>
        <w:rPr>
          <w:rFonts w:ascii="宋体" w:hAnsi="宋体" w:cs="宋体" w:eastAsia="宋体" w:hint="default"/>
          <w:sz w:val="29"/>
          <w:szCs w:val="29"/>
        </w:rPr>
      </w:pPr>
    </w:p>
    <w:p>
      <w:pPr>
        <w:spacing w:before="36"/>
        <w:ind w:left="140" w:right="0" w:firstLine="0"/>
        <w:jc w:val="both"/>
        <w:rPr>
          <w:rFonts w:ascii="宋体" w:hAnsi="宋体" w:cs="宋体" w:eastAsia="宋体" w:hint="default"/>
          <w:sz w:val="21"/>
          <w:szCs w:val="21"/>
        </w:rPr>
      </w:pPr>
      <w:r>
        <w:rPr>
          <w:rFonts w:ascii="宋体" w:hAnsi="宋体" w:cs="宋体" w:eastAsia="宋体" w:hint="default"/>
          <w:sz w:val="21"/>
          <w:szCs w:val="21"/>
        </w:rPr>
        <w:t>海浦东旗舰店购置项目的投资总额。</w:t>
      </w:r>
    </w:p>
    <w:p>
      <w:pPr>
        <w:spacing w:line="278" w:lineRule="auto" w:before="51"/>
        <w:ind w:left="140" w:right="143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家连锁店项目尚未全部实施完毕，且连锁店均在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年之后开设，部分已开设店面</w:t>
      </w:r>
      <w:r>
        <w:rPr>
          <w:rFonts w:ascii="宋体" w:hAnsi="宋体" w:cs="宋体" w:eastAsia="宋体" w:hint="default"/>
          <w:w w:val="100"/>
          <w:sz w:val="21"/>
          <w:szCs w:val="21"/>
        </w:rPr>
        <w:t> </w:t>
      </w:r>
      <w:r>
        <w:rPr>
          <w:rFonts w:ascii="宋体" w:hAnsi="宋体" w:cs="宋体" w:eastAsia="宋体" w:hint="default"/>
          <w:spacing w:val="-2"/>
          <w:w w:val="100"/>
          <w:sz w:val="21"/>
          <w:szCs w:val="21"/>
        </w:rPr>
        <w:t>经营没有达到非公开发行上市公告书判定年限－正常年（开业后第三年）。随着项目实施的推进，</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已开设连锁店进入成熟稳定期，经营效益逐步提高，该项目效益情况将会进一步体现。</w:t>
      </w:r>
    </w:p>
    <w:p>
      <w:pPr>
        <w:spacing w:before="22"/>
        <w:ind w:left="560" w:right="1314"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家连锁店发展项目开业计算，共有</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家连锁店在</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年达到开业后第三年，其中公</w:t>
      </w:r>
    </w:p>
    <w:p>
      <w:pPr>
        <w:spacing w:before="91"/>
        <w:ind w:left="140" w:right="0" w:firstLine="0"/>
        <w:jc w:val="both"/>
        <w:rPr>
          <w:rFonts w:ascii="宋体" w:hAnsi="宋体" w:cs="宋体" w:eastAsia="宋体" w:hint="default"/>
          <w:sz w:val="21"/>
          <w:szCs w:val="21"/>
        </w:rPr>
      </w:pPr>
      <w:r>
        <w:rPr>
          <w:rFonts w:ascii="宋体" w:hAnsi="宋体" w:cs="宋体" w:eastAsia="宋体" w:hint="default"/>
          <w:sz w:val="21"/>
          <w:szCs w:val="21"/>
        </w:rPr>
        <w:t>司调整关闭</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家，因此截至报告期末实际有</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97</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家连锁店达到上市公告书判定年限</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正常年（开业后</w:t>
      </w:r>
    </w:p>
    <w:p>
      <w:pPr>
        <w:spacing w:before="91"/>
        <w:ind w:left="140" w:right="0" w:firstLine="0"/>
        <w:jc w:val="both"/>
        <w:rPr>
          <w:rFonts w:ascii="宋体" w:hAnsi="宋体" w:cs="宋体" w:eastAsia="宋体" w:hint="default"/>
          <w:sz w:val="21"/>
          <w:szCs w:val="21"/>
        </w:rPr>
      </w:pPr>
      <w:r>
        <w:rPr>
          <w:rFonts w:ascii="宋体" w:hAnsi="宋体" w:cs="宋体" w:eastAsia="宋体" w:hint="default"/>
          <w:w w:val="100"/>
          <w:sz w:val="21"/>
          <w:szCs w:val="21"/>
        </w:rPr>
        <w:t>第三</w:t>
      </w:r>
      <w:r>
        <w:rPr>
          <w:rFonts w:ascii="宋体" w:hAnsi="宋体" w:cs="宋体" w:eastAsia="宋体" w:hint="default"/>
          <w:spacing w:val="-3"/>
          <w:w w:val="100"/>
          <w:sz w:val="21"/>
          <w:szCs w:val="21"/>
        </w:rPr>
        <w:t>年</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97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家</w:t>
      </w:r>
      <w:r>
        <w:rPr>
          <w:rFonts w:ascii="宋体" w:hAnsi="宋体" w:cs="宋体" w:eastAsia="宋体" w:hint="default"/>
          <w:w w:val="100"/>
          <w:sz w:val="21"/>
          <w:szCs w:val="21"/>
        </w:rPr>
        <w:t>连</w:t>
      </w:r>
      <w:r>
        <w:rPr>
          <w:rFonts w:ascii="宋体" w:hAnsi="宋体" w:cs="宋体" w:eastAsia="宋体" w:hint="default"/>
          <w:spacing w:val="-3"/>
          <w:w w:val="100"/>
          <w:sz w:val="21"/>
          <w:szCs w:val="21"/>
        </w:rPr>
        <w:t>锁店</w:t>
      </w:r>
      <w:r>
        <w:rPr>
          <w:rFonts w:ascii="宋体" w:hAnsi="宋体" w:cs="宋体" w:eastAsia="宋体" w:hint="default"/>
          <w:w w:val="100"/>
          <w:sz w:val="21"/>
          <w:szCs w:val="21"/>
        </w:rPr>
        <w:t>预计</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年</w:t>
      </w:r>
      <w:r>
        <w:rPr>
          <w:rFonts w:ascii="宋体" w:hAnsi="宋体" w:cs="宋体" w:eastAsia="宋体" w:hint="default"/>
          <w:w w:val="100"/>
          <w:sz w:val="21"/>
          <w:szCs w:val="21"/>
        </w:rPr>
        <w:t>实</w:t>
      </w:r>
      <w:r>
        <w:rPr>
          <w:rFonts w:ascii="宋体" w:hAnsi="宋体" w:cs="宋体" w:eastAsia="宋体" w:hint="default"/>
          <w:spacing w:val="-3"/>
          <w:w w:val="100"/>
          <w:sz w:val="21"/>
          <w:szCs w:val="21"/>
        </w:rPr>
        <w:t>现</w:t>
      </w:r>
      <w:r>
        <w:rPr>
          <w:rFonts w:ascii="宋体" w:hAnsi="宋体" w:cs="宋体" w:eastAsia="宋体" w:hint="default"/>
          <w:w w:val="100"/>
          <w:sz w:val="21"/>
          <w:szCs w:val="21"/>
        </w:rPr>
        <w:t>销</w:t>
      </w:r>
      <w:r>
        <w:rPr>
          <w:rFonts w:ascii="宋体" w:hAnsi="宋体" w:cs="宋体" w:eastAsia="宋体" w:hint="default"/>
          <w:spacing w:val="-3"/>
          <w:w w:val="100"/>
          <w:sz w:val="21"/>
          <w:szCs w:val="21"/>
        </w:rPr>
        <w:t>售收</w:t>
      </w:r>
      <w:r>
        <w:rPr>
          <w:rFonts w:ascii="宋体" w:hAnsi="宋体" w:cs="宋体" w:eastAsia="宋体" w:hint="default"/>
          <w:w w:val="100"/>
          <w:sz w:val="21"/>
          <w:szCs w:val="21"/>
        </w:rPr>
        <w:t>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794,0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spacing w:val="-20"/>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9"/>
          <w:w w:val="100"/>
          <w:sz w:val="21"/>
          <w:szCs w:val="21"/>
        </w:rPr>
        <w:t>）</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实</w:t>
      </w:r>
      <w:r>
        <w:rPr>
          <w:rFonts w:ascii="宋体" w:hAnsi="宋体" w:cs="宋体" w:eastAsia="宋体" w:hint="default"/>
          <w:w w:val="100"/>
          <w:sz w:val="21"/>
          <w:szCs w:val="21"/>
        </w:rPr>
        <w:t>现</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p>
    <w:p>
      <w:pPr>
        <w:spacing w:line="326" w:lineRule="auto" w:before="93"/>
        <w:ind w:left="140" w:right="1431" w:firstLine="0"/>
        <w:jc w:val="both"/>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623,733.84</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11"/>
          <w:w w:val="100"/>
          <w:sz w:val="21"/>
          <w:szCs w:val="21"/>
        </w:rPr>
        <w:t>万元（含税），完成了预计销售的</w:t>
      </w:r>
      <w:r>
        <w:rPr>
          <w:rFonts w:ascii="宋体" w:hAnsi="宋体" w:cs="宋体" w:eastAsia="宋体" w:hint="default"/>
          <w:spacing w:val="-34"/>
          <w:w w:val="100"/>
          <w:sz w:val="21"/>
          <w:szCs w:val="21"/>
        </w:rPr>
        <w:t> </w:t>
      </w:r>
      <w:r>
        <w:rPr>
          <w:rFonts w:ascii="Times New Roman" w:hAnsi="Times New Roman" w:cs="Times New Roman" w:eastAsia="Times New Roman" w:hint="default"/>
          <w:spacing w:val="-4"/>
          <w:w w:val="100"/>
          <w:sz w:val="21"/>
          <w:szCs w:val="21"/>
        </w:rPr>
        <w:t>79%</w:t>
      </w:r>
      <w:r>
        <w:rPr>
          <w:rFonts w:ascii="宋体" w:hAnsi="宋体" w:cs="宋体" w:eastAsia="宋体" w:hint="default"/>
          <w:spacing w:val="-4"/>
          <w:w w:val="100"/>
          <w:sz w:val="21"/>
          <w:szCs w:val="21"/>
        </w:rPr>
        <w:t>，较预期有一定的差距，主要原因为：部分店面所</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在商圈有待进一步培育、成熟，同时由于满足公司连锁发展标准的优质店面资源有一定的稀缺性，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部分连锁店未能取得目标商圈中的理想物业，随着本公司店面经营管理能力的提升，以及店面经营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的成熟，效益水平将会进一步提升。</w:t>
      </w:r>
    </w:p>
    <w:p>
      <w:pPr>
        <w:spacing w:line="324" w:lineRule="auto" w:before="33"/>
        <w:ind w:left="140" w:right="14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：沈阳物流中心项目不直接产生经济效益，但沈阳物流中心建成后有助于公司的东北区域</w:t>
      </w:r>
      <w:r>
        <w:rPr>
          <w:rFonts w:ascii="宋体" w:hAnsi="宋体" w:cs="宋体" w:eastAsia="宋体" w:hint="default"/>
          <w:w w:val="100"/>
          <w:sz w:val="21"/>
          <w:szCs w:val="21"/>
        </w:rPr>
        <w:t> </w:t>
      </w:r>
      <w:r>
        <w:rPr>
          <w:rFonts w:ascii="宋体" w:hAnsi="宋体" w:cs="宋体" w:eastAsia="宋体" w:hint="default"/>
          <w:spacing w:val="-2"/>
          <w:sz w:val="21"/>
          <w:szCs w:val="21"/>
        </w:rPr>
        <w:t>物流整合，在有效保障货源的前提下加快库存周转率，有效节约人力成本和租赁费用，提高作业效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率，进一步提升公司的配送服务质量和品牌形象。</w:t>
      </w:r>
    </w:p>
    <w:p>
      <w:pPr>
        <w:spacing w:line="316" w:lineRule="auto" w:before="33"/>
        <w:ind w:left="140" w:right="1431" w:firstLine="420"/>
        <w:jc w:val="both"/>
        <w:rPr>
          <w:rFonts w:ascii="宋体" w:hAnsi="宋体" w:cs="宋体" w:eastAsia="宋体" w:hint="default"/>
          <w:sz w:val="21"/>
          <w:szCs w:val="21"/>
        </w:rPr>
      </w:pPr>
      <w:r>
        <w:rPr>
          <w:rFonts w:ascii="宋体" w:hAnsi="宋体" w:cs="宋体" w:eastAsia="宋体" w:hint="default"/>
          <w:sz w:val="21"/>
          <w:szCs w:val="21"/>
        </w:rPr>
        <w:t>注 </w:t>
      </w:r>
      <w:r>
        <w:rPr>
          <w:rFonts w:ascii="Times New Roman" w:hAnsi="Times New Roman" w:cs="Times New Roman" w:eastAsia="Times New Roman" w:hint="default"/>
          <w:sz w:val="21"/>
          <w:szCs w:val="21"/>
        </w:rPr>
        <w:t>7</w:t>
      </w:r>
      <w:r>
        <w:rPr>
          <w:rFonts w:ascii="宋体" w:hAnsi="宋体" w:cs="宋体" w:eastAsia="宋体" w:hint="default"/>
          <w:sz w:val="21"/>
          <w:szCs w:val="21"/>
        </w:rPr>
        <w:t>：武汉中南旗舰店购置项目、上海浦东旗舰店购置项目预计正常年分别实现人民币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 </w:t>
      </w:r>
      <w:r>
        <w:rPr>
          <w:rFonts w:ascii="Times New Roman" w:hAnsi="Times New Roman" w:cs="Times New Roman" w:eastAsia="Times New Roman" w:hint="default"/>
          <w:sz w:val="21"/>
          <w:szCs w:val="21"/>
        </w:rPr>
        <w:t>7.5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的销售规模，武汉中南旗舰店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年度实际实现销售收入人民币</w:t>
      </w:r>
    </w:p>
    <w:p>
      <w:pPr>
        <w:spacing w:line="314" w:lineRule="auto" w:before="16"/>
        <w:ind w:left="140" w:right="143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，上海浦东旗舰店</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年度实际实现销售收入人民币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4.48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，分别完成了</w:t>
      </w:r>
      <w:r>
        <w:rPr>
          <w:rFonts w:ascii="宋体" w:hAnsi="宋体" w:cs="宋体" w:eastAsia="宋体" w:hint="default"/>
          <w:w w:val="100"/>
          <w:sz w:val="21"/>
          <w:szCs w:val="21"/>
        </w:rPr>
        <w:t> </w:t>
      </w:r>
      <w:r>
        <w:rPr>
          <w:rFonts w:ascii="宋体" w:hAnsi="宋体" w:cs="宋体" w:eastAsia="宋体" w:hint="default"/>
          <w:sz w:val="21"/>
          <w:szCs w:val="21"/>
        </w:rPr>
        <w:t>预期销售收入的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85%</w:t>
      </w:r>
      <w:r>
        <w:rPr>
          <w:rFonts w:ascii="宋体" w:hAnsi="宋体" w:cs="宋体" w:eastAsia="宋体" w:hint="default"/>
          <w:sz w:val="21"/>
          <w:szCs w:val="21"/>
        </w:rPr>
        <w:t>、</w:t>
      </w:r>
      <w:r>
        <w:rPr>
          <w:rFonts w:ascii="Times New Roman" w:hAnsi="Times New Roman" w:cs="Times New Roman" w:eastAsia="Times New Roman" w:hint="default"/>
          <w:sz w:val="21"/>
          <w:szCs w:val="21"/>
        </w:rPr>
        <w:t>60%</w:t>
      </w:r>
      <w:r>
        <w:rPr>
          <w:rFonts w:ascii="宋体" w:hAnsi="宋体" w:cs="宋体" w:eastAsia="宋体" w:hint="default"/>
          <w:sz w:val="21"/>
          <w:szCs w:val="21"/>
        </w:rPr>
        <w:t>。</w:t>
      </w:r>
    </w:p>
    <w:p>
      <w:pPr>
        <w:spacing w:line="331" w:lineRule="auto" w:before="19"/>
        <w:ind w:left="140" w:right="1431" w:firstLine="420"/>
        <w:jc w:val="both"/>
        <w:rPr>
          <w:rFonts w:ascii="宋体" w:hAnsi="宋体" w:cs="宋体" w:eastAsia="宋体" w:hint="default"/>
          <w:sz w:val="21"/>
          <w:szCs w:val="21"/>
        </w:rPr>
      </w:pPr>
      <w:r>
        <w:rPr>
          <w:rFonts w:ascii="宋体" w:hAnsi="宋体" w:cs="宋体" w:eastAsia="宋体" w:hint="default"/>
          <w:spacing w:val="-2"/>
          <w:sz w:val="21"/>
          <w:szCs w:val="21"/>
        </w:rPr>
        <w:t>上述两家连锁店的购置，能够有效地保障公司店面经营的持续性和稳定性，并且在商业物业租</w:t>
      </w:r>
      <w:r>
        <w:rPr>
          <w:rFonts w:ascii="宋体" w:hAnsi="宋体" w:cs="宋体" w:eastAsia="宋体" w:hint="default"/>
          <w:w w:val="100"/>
          <w:sz w:val="21"/>
          <w:szCs w:val="21"/>
        </w:rPr>
        <w:t> </w:t>
      </w:r>
      <w:r>
        <w:rPr>
          <w:rFonts w:ascii="宋体" w:hAnsi="宋体" w:cs="宋体" w:eastAsia="宋体" w:hint="default"/>
          <w:spacing w:val="-2"/>
          <w:sz w:val="21"/>
          <w:szCs w:val="21"/>
        </w:rPr>
        <w:t>金水平不断上涨的市场环境下，以购置方式提前锁定物业成本，有助于公司降低店面运营成本。武</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汉中南旗舰店和上海浦东旗舰店的开设，对公司在当地的连锁发展起到了一锤定音的效果，有力的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提升了消费者对公司的认知度与公司的品牌美誉度，增强了公司的市场竞争力，扩大了公司的市场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份额。</w:t>
      </w:r>
      <w:r>
        <w:rPr>
          <w:rFonts w:ascii="Times New Roman" w:hAnsi="Times New Roman" w:cs="Times New Roman" w:eastAsia="Times New Roman" w:hint="default"/>
          <w:spacing w:val="-4"/>
          <w:sz w:val="21"/>
          <w:szCs w:val="21"/>
        </w:rPr>
        <w:t>2011 </w:t>
      </w:r>
      <w:r>
        <w:rPr>
          <w:rFonts w:ascii="宋体" w:hAnsi="宋体" w:cs="宋体" w:eastAsia="宋体" w:hint="default"/>
          <w:spacing w:val="-3"/>
          <w:sz w:val="21"/>
          <w:szCs w:val="21"/>
        </w:rPr>
        <w:t>年，受一系列调控政策的影响，家电消费受到一定的抑制，相较于原先较为积极的销售</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收入预计金额，两家连锁店的销售收入完成率尚有一定的差距。本公司相信通过进一步增强商品规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划，丰富产品类别以及加强宣传推广等措施，两家门店的销售收入将能进一步提升。</w:t>
      </w:r>
    </w:p>
    <w:p>
      <w:pPr>
        <w:spacing w:after="0" w:line="331" w:lineRule="auto"/>
        <w:jc w:val="both"/>
        <w:rPr>
          <w:rFonts w:ascii="宋体" w:hAnsi="宋体" w:cs="宋体" w:eastAsia="宋体" w:hint="default"/>
          <w:sz w:val="21"/>
          <w:szCs w:val="21"/>
        </w:rPr>
        <w:sectPr>
          <w:footerReference w:type="default" r:id="rId48"/>
          <w:pgSz w:w="11910" w:h="16840"/>
          <w:pgMar w:footer="955" w:header="748" w:top="980" w:bottom="1140" w:left="1300" w:right="0"/>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264" type="#_x0000_t75" stroked="false">
            <v:imagedata r:id="rId21" o:title=""/>
          </v:shape>
        </w:pict>
      </w:r>
    </w:p>
    <w:p>
      <w:pPr>
        <w:pStyle w:val="BodyText"/>
        <w:tabs>
          <w:tab w:pos="1560" w:val="left" w:leader="none"/>
        </w:tabs>
        <w:spacing w:line="240" w:lineRule="auto" w:before="26"/>
        <w:ind w:left="1140" w:right="0"/>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2009 </w:t>
      </w:r>
      <w:r>
        <w:rPr/>
        <w:t>年非公开发行股票募集资金使用情况</w:t>
      </w:r>
    </w:p>
    <w:p>
      <w:pPr>
        <w:spacing w:line="240" w:lineRule="auto" w:before="1"/>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32"/>
        <w:gridCol w:w="360"/>
        <w:gridCol w:w="900"/>
        <w:gridCol w:w="1081"/>
        <w:gridCol w:w="1080"/>
        <w:gridCol w:w="900"/>
        <w:gridCol w:w="1080"/>
        <w:gridCol w:w="900"/>
        <w:gridCol w:w="721"/>
        <w:gridCol w:w="540"/>
        <w:gridCol w:w="658"/>
        <w:gridCol w:w="710"/>
        <w:gridCol w:w="471"/>
      </w:tblGrid>
      <w:tr>
        <w:trPr>
          <w:trHeight w:val="204" w:hRule="exact"/>
        </w:trPr>
        <w:tc>
          <w:tcPr>
            <w:tcW w:w="3073" w:type="dxa"/>
            <w:gridSpan w:val="4"/>
            <w:vMerge w:val="restart"/>
            <w:tcBorders>
              <w:top w:val="single" w:sz="4" w:space="0" w:color="000000"/>
              <w:left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募集资金总额</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变更用途的募集资金总额</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3,000,000</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8</w:t>
            </w:r>
            <w:r>
              <w:rPr>
                <w:rFonts w:ascii="宋体" w:hAnsi="宋体" w:cs="宋体" w:eastAsia="宋体" w:hint="default"/>
                <w:sz w:val="15"/>
                <w:szCs w:val="15"/>
              </w:rPr>
              <w:t>）</w:t>
            </w:r>
          </w:p>
        </w:tc>
        <w:tc>
          <w:tcPr>
            <w:tcW w:w="3899" w:type="dxa"/>
            <w:gridSpan w:val="5"/>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18" w:right="0"/>
              <w:jc w:val="left"/>
              <w:rPr>
                <w:rFonts w:ascii="宋体" w:hAnsi="宋体" w:cs="宋体" w:eastAsia="宋体" w:hint="default"/>
                <w:sz w:val="15"/>
                <w:szCs w:val="15"/>
              </w:rPr>
            </w:pPr>
            <w:r>
              <w:rPr>
                <w:rFonts w:ascii="宋体" w:hAnsi="宋体" w:cs="宋体" w:eastAsia="宋体" w:hint="default"/>
                <w:sz w:val="15"/>
                <w:szCs w:val="15"/>
              </w:rPr>
              <w:t>本年度投入募集资金总额</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7" w:right="0"/>
              <w:jc w:val="left"/>
              <w:rPr>
                <w:rFonts w:ascii="Times New Roman" w:hAnsi="Times New Roman" w:cs="Times New Roman" w:eastAsia="Times New Roman" w:hint="default"/>
                <w:sz w:val="15"/>
                <w:szCs w:val="15"/>
              </w:rPr>
            </w:pPr>
            <w:r>
              <w:rPr>
                <w:rFonts w:ascii="Times New Roman"/>
                <w:sz w:val="15"/>
              </w:rPr>
              <w:t>1,425,928.6</w:t>
            </w:r>
          </w:p>
        </w:tc>
      </w:tr>
      <w:tr>
        <w:trPr>
          <w:trHeight w:val="197" w:hRule="exact"/>
        </w:trPr>
        <w:tc>
          <w:tcPr>
            <w:tcW w:w="3073" w:type="dxa"/>
            <w:gridSpan w:val="4"/>
            <w:vMerge/>
            <w:tcBorders>
              <w:left w:val="single" w:sz="4" w:space="0" w:color="000000"/>
              <w:bottom w:val="single" w:sz="4" w:space="0" w:color="000000"/>
              <w:right w:val="single" w:sz="4" w:space="0" w:color="000000"/>
            </w:tcBorders>
          </w:tcPr>
          <w:p>
            <w:pP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Times New Roman" w:hAnsi="Times New Roman" w:cs="Times New Roman" w:eastAsia="Times New Roman" w:hint="default"/>
                <w:sz w:val="15"/>
                <w:szCs w:val="15"/>
              </w:rPr>
            </w:pPr>
            <w:r>
              <w:rPr>
                <w:rFonts w:ascii="Times New Roman"/>
                <w:spacing w:val="-1"/>
                <w:sz w:val="15"/>
              </w:rPr>
              <w:t>0.0</w:t>
            </w:r>
          </w:p>
        </w:tc>
        <w:tc>
          <w:tcPr>
            <w:tcW w:w="3899" w:type="dxa"/>
            <w:gridSpan w:val="5"/>
            <w:vMerge w:val="restart"/>
            <w:tcBorders>
              <w:top w:val="single" w:sz="4" w:space="0" w:color="000000"/>
              <w:left w:val="single" w:sz="4" w:space="0" w:color="000000"/>
              <w:right w:val="single" w:sz="4" w:space="0" w:color="000000"/>
            </w:tcBorders>
          </w:tcPr>
          <w:p>
            <w:pPr>
              <w:pStyle w:val="TableParagraph"/>
              <w:spacing w:line="240" w:lineRule="auto" w:before="98"/>
              <w:ind w:left="1118" w:right="0"/>
              <w:jc w:val="left"/>
              <w:rPr>
                <w:rFonts w:ascii="宋体" w:hAnsi="宋体" w:cs="宋体" w:eastAsia="宋体" w:hint="default"/>
                <w:sz w:val="15"/>
                <w:szCs w:val="15"/>
              </w:rPr>
            </w:pPr>
            <w:r>
              <w:rPr>
                <w:rFonts w:ascii="宋体" w:hAnsi="宋体" w:cs="宋体" w:eastAsia="宋体" w:hint="default"/>
                <w:sz w:val="15"/>
                <w:szCs w:val="15"/>
              </w:rPr>
              <w:t>已累计投入募集资金总额</w:t>
            </w:r>
          </w:p>
        </w:tc>
        <w:tc>
          <w:tcPr>
            <w:tcW w:w="1181"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7" w:right="0"/>
              <w:jc w:val="left"/>
              <w:rPr>
                <w:rFonts w:ascii="Times New Roman" w:hAnsi="Times New Roman" w:cs="Times New Roman" w:eastAsia="Times New Roman" w:hint="default"/>
                <w:sz w:val="15"/>
                <w:szCs w:val="15"/>
              </w:rPr>
            </w:pPr>
            <w:r>
              <w:rPr>
                <w:rFonts w:ascii="Times New Roman"/>
                <w:sz w:val="15"/>
              </w:rPr>
              <w:t>2,400,451.3</w:t>
            </w:r>
          </w:p>
        </w:tc>
      </w:tr>
      <w:tr>
        <w:trPr>
          <w:trHeight w:val="252" w:hRule="exact"/>
        </w:trPr>
        <w:tc>
          <w:tcPr>
            <w:tcW w:w="30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54" w:right="0"/>
              <w:jc w:val="left"/>
              <w:rPr>
                <w:rFonts w:ascii="宋体" w:hAnsi="宋体" w:cs="宋体" w:eastAsia="宋体" w:hint="default"/>
                <w:sz w:val="15"/>
                <w:szCs w:val="15"/>
              </w:rPr>
            </w:pPr>
            <w:r>
              <w:rPr>
                <w:rFonts w:ascii="宋体" w:hAnsi="宋体" w:cs="宋体" w:eastAsia="宋体" w:hint="default"/>
                <w:sz w:val="15"/>
                <w:szCs w:val="15"/>
              </w:rPr>
              <w:t>变更用途的募集资金总额比例</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Times New Roman" w:hAnsi="Times New Roman" w:cs="Times New Roman" w:eastAsia="Times New Roman" w:hint="default"/>
                <w:sz w:val="15"/>
                <w:szCs w:val="15"/>
              </w:rPr>
            </w:pPr>
            <w:r>
              <w:rPr>
                <w:rFonts w:ascii="Times New Roman"/>
                <w:sz w:val="15"/>
              </w:rPr>
              <w:t>0%</w:t>
            </w:r>
          </w:p>
        </w:tc>
        <w:tc>
          <w:tcPr>
            <w:tcW w:w="3899" w:type="dxa"/>
            <w:gridSpan w:val="5"/>
            <w:vMerge/>
            <w:tcBorders>
              <w:left w:val="single" w:sz="4" w:space="0" w:color="000000"/>
              <w:bottom w:val="single" w:sz="4" w:space="0" w:color="000000"/>
              <w:right w:val="single" w:sz="4" w:space="0" w:color="000000"/>
            </w:tcBorders>
          </w:tcPr>
          <w:p>
            <w:pPr/>
          </w:p>
        </w:tc>
        <w:tc>
          <w:tcPr>
            <w:tcW w:w="1181" w:type="dxa"/>
            <w:gridSpan w:val="2"/>
            <w:vMerge/>
            <w:tcBorders>
              <w:left w:val="single" w:sz="4" w:space="0" w:color="000000"/>
              <w:bottom w:val="single" w:sz="4" w:space="0" w:color="000000"/>
              <w:right w:val="single" w:sz="4" w:space="0" w:color="000000"/>
            </w:tcBorders>
          </w:tcPr>
          <w:p>
            <w:pPr/>
          </w:p>
        </w:tc>
      </w:tr>
      <w:tr>
        <w:trPr>
          <w:trHeight w:val="139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1" w:right="132" w:hanging="77"/>
              <w:jc w:val="left"/>
              <w:rPr>
                <w:rFonts w:ascii="宋体" w:hAnsi="宋体" w:cs="宋体" w:eastAsia="宋体" w:hint="default"/>
                <w:sz w:val="15"/>
                <w:szCs w:val="15"/>
              </w:rPr>
            </w:pPr>
            <w:r>
              <w:rPr>
                <w:rFonts w:ascii="宋体" w:hAnsi="宋体" w:cs="宋体" w:eastAsia="宋体" w:hint="default"/>
                <w:sz w:val="15"/>
                <w:szCs w:val="15"/>
              </w:rPr>
              <w:t>诺投资</w:t>
            </w:r>
            <w:r>
              <w:rPr>
                <w:rFonts w:ascii="宋体" w:hAnsi="宋体" w:cs="宋体" w:eastAsia="宋体" w:hint="default"/>
                <w:spacing w:val="-72"/>
                <w:sz w:val="15"/>
                <w:szCs w:val="15"/>
              </w:rPr>
              <w:t> </w:t>
            </w:r>
            <w:r>
              <w:rPr>
                <w:rFonts w:ascii="宋体" w:hAnsi="宋体" w:cs="宋体" w:eastAsia="宋体" w:hint="default"/>
                <w:sz w:val="15"/>
                <w:szCs w:val="15"/>
              </w:rPr>
              <w:t>项目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6" w:right="19"/>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已变</w:t>
            </w:r>
            <w:r>
              <w:rPr>
                <w:rFonts w:ascii="宋体" w:hAnsi="宋体" w:cs="宋体" w:eastAsia="宋体" w:hint="default"/>
                <w:spacing w:val="-73"/>
                <w:sz w:val="15"/>
                <w:szCs w:val="15"/>
              </w:rPr>
              <w:t> </w:t>
            </w:r>
            <w:r>
              <w:rPr>
                <w:rFonts w:ascii="宋体" w:hAnsi="宋体" w:cs="宋体" w:eastAsia="宋体" w:hint="default"/>
                <w:sz w:val="15"/>
                <w:szCs w:val="15"/>
              </w:rPr>
              <w:t>更项</w:t>
            </w:r>
            <w:r>
              <w:rPr>
                <w:rFonts w:ascii="宋体" w:hAnsi="宋体" w:cs="宋体" w:eastAsia="宋体" w:hint="default"/>
                <w:spacing w:val="-73"/>
                <w:sz w:val="15"/>
                <w:szCs w:val="15"/>
              </w:rPr>
              <w:t> </w:t>
            </w:r>
            <w:r>
              <w:rPr>
                <w:rFonts w:ascii="宋体" w:hAnsi="宋体" w:cs="宋体" w:eastAsia="宋体" w:hint="default"/>
                <w:sz w:val="15"/>
                <w:szCs w:val="15"/>
              </w:rPr>
              <w:t>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22" w:right="12"/>
              <w:jc w:val="left"/>
              <w:rPr>
                <w:rFonts w:ascii="宋体" w:hAnsi="宋体" w:cs="宋体" w:eastAsia="宋体" w:hint="default"/>
                <w:sz w:val="15"/>
                <w:szCs w:val="15"/>
              </w:rPr>
            </w:pPr>
            <w:r>
              <w:rPr>
                <w:rFonts w:ascii="宋体" w:hAnsi="宋体" w:cs="宋体" w:eastAsia="宋体" w:hint="default"/>
                <w:sz w:val="15"/>
                <w:szCs w:val="15"/>
              </w:rPr>
              <w:t>募集资金承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诺投资总额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83" w:right="157" w:hanging="226"/>
              <w:jc w:val="left"/>
              <w:rPr>
                <w:rFonts w:ascii="宋体" w:hAnsi="宋体" w:cs="宋体" w:eastAsia="宋体" w:hint="default"/>
                <w:sz w:val="15"/>
                <w:szCs w:val="15"/>
              </w:rPr>
            </w:pPr>
            <w:r>
              <w:rPr>
                <w:rFonts w:ascii="宋体" w:hAnsi="宋体" w:cs="宋体" w:eastAsia="宋体" w:hint="default"/>
                <w:sz w:val="15"/>
                <w:szCs w:val="15"/>
              </w:rPr>
              <w:t>调整后投资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9" w:lineRule="auto"/>
              <w:ind w:left="158" w:right="156"/>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截至期末承</w:t>
            </w:r>
            <w:r>
              <w:rPr>
                <w:rFonts w:ascii="宋体" w:hAnsi="宋体" w:cs="宋体" w:eastAsia="宋体" w:hint="default"/>
                <w:w w:val="100"/>
                <w:sz w:val="15"/>
                <w:szCs w:val="15"/>
              </w:rPr>
              <w:t> </w:t>
            </w:r>
            <w:r>
              <w:rPr>
                <w:rFonts w:ascii="宋体" w:hAnsi="宋体" w:cs="宋体" w:eastAsia="宋体" w:hint="default"/>
                <w:sz w:val="15"/>
                <w:szCs w:val="15"/>
              </w:rPr>
              <w:t>诺投入金额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8" w:right="142" w:hanging="75"/>
              <w:jc w:val="left"/>
              <w:rPr>
                <w:rFonts w:ascii="宋体" w:hAnsi="宋体" w:cs="宋体" w:eastAsia="宋体" w:hint="default"/>
                <w:sz w:val="15"/>
                <w:szCs w:val="15"/>
              </w:rPr>
            </w:pPr>
            <w:r>
              <w:rPr>
                <w:rFonts w:ascii="宋体" w:hAnsi="宋体" w:cs="宋体" w:eastAsia="宋体" w:hint="default"/>
                <w:sz w:val="15"/>
                <w:szCs w:val="15"/>
              </w:rPr>
              <w:t>本年度投</w:t>
            </w:r>
            <w:r>
              <w:rPr>
                <w:rFonts w:ascii="宋体" w:hAnsi="宋体" w:cs="宋体" w:eastAsia="宋体" w:hint="default"/>
                <w:w w:val="100"/>
                <w:sz w:val="15"/>
                <w:szCs w:val="15"/>
              </w:rPr>
              <w:t> </w:t>
            </w:r>
            <w:r>
              <w:rPr>
                <w:rFonts w:ascii="宋体" w:hAnsi="宋体" w:cs="宋体" w:eastAsia="宋体" w:hint="default"/>
                <w:sz w:val="15"/>
                <w:szCs w:val="15"/>
              </w:rPr>
              <w:t>入金额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9" w:lineRule="auto"/>
              <w:ind w:left="158" w:right="156"/>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截至期末累</w:t>
            </w:r>
            <w:r>
              <w:rPr>
                <w:rFonts w:ascii="宋体" w:hAnsi="宋体" w:cs="宋体" w:eastAsia="宋体" w:hint="default"/>
                <w:w w:val="100"/>
                <w:sz w:val="15"/>
                <w:szCs w:val="15"/>
              </w:rPr>
              <w:t> </w:t>
            </w:r>
            <w:r>
              <w:rPr>
                <w:rFonts w:ascii="宋体" w:hAnsi="宋体" w:cs="宋体" w:eastAsia="宋体" w:hint="default"/>
                <w:sz w:val="15"/>
                <w:szCs w:val="15"/>
              </w:rPr>
              <w:t>计投入金额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8"/>
              <w:ind w:left="115" w:right="111" w:firstLine="28"/>
              <w:jc w:val="both"/>
              <w:rPr>
                <w:rFonts w:ascii="Times New Roman" w:hAnsi="Times New Roman" w:cs="Times New Roman" w:eastAsia="Times New Roman" w:hint="default"/>
                <w:sz w:val="15"/>
                <w:szCs w:val="15"/>
              </w:rPr>
            </w:pPr>
            <w:r>
              <w:rPr>
                <w:rFonts w:ascii="宋体" w:hAnsi="宋体" w:cs="宋体" w:eastAsia="宋体" w:hint="default"/>
                <w:sz w:val="15"/>
                <w:szCs w:val="15"/>
              </w:rPr>
              <w:t>截至期末</w:t>
            </w:r>
            <w:r>
              <w:rPr>
                <w:rFonts w:ascii="宋体" w:hAnsi="宋体" w:cs="宋体" w:eastAsia="宋体" w:hint="default"/>
                <w:w w:val="100"/>
                <w:sz w:val="15"/>
                <w:szCs w:val="15"/>
              </w:rPr>
              <w:t> </w:t>
            </w:r>
            <w:r>
              <w:rPr>
                <w:rFonts w:ascii="宋体" w:hAnsi="宋体" w:cs="宋体" w:eastAsia="宋体" w:hint="default"/>
                <w:sz w:val="15"/>
                <w:szCs w:val="15"/>
              </w:rPr>
              <w:t>累计投入</w:t>
            </w:r>
            <w:r>
              <w:rPr>
                <w:rFonts w:ascii="宋体" w:hAnsi="宋体" w:cs="宋体" w:eastAsia="宋体" w:hint="default"/>
                <w:w w:val="100"/>
                <w:sz w:val="15"/>
                <w:szCs w:val="15"/>
              </w:rPr>
              <w:t> </w:t>
            </w:r>
            <w:r>
              <w:rPr>
                <w:rFonts w:ascii="宋体" w:hAnsi="宋体" w:cs="宋体" w:eastAsia="宋体" w:hint="default"/>
                <w:sz w:val="15"/>
                <w:szCs w:val="15"/>
              </w:rPr>
              <w:t>金额与承</w:t>
            </w:r>
            <w:r>
              <w:rPr>
                <w:rFonts w:ascii="宋体" w:hAnsi="宋体" w:cs="宋体" w:eastAsia="宋体" w:hint="default"/>
                <w:w w:val="100"/>
                <w:sz w:val="15"/>
                <w:szCs w:val="15"/>
              </w:rPr>
              <w:t> </w:t>
            </w:r>
            <w:r>
              <w:rPr>
                <w:rFonts w:ascii="宋体" w:hAnsi="宋体" w:cs="宋体" w:eastAsia="宋体" w:hint="default"/>
                <w:sz w:val="15"/>
                <w:szCs w:val="15"/>
              </w:rPr>
              <w:t>诺投入金</w:t>
            </w:r>
            <w:r>
              <w:rPr>
                <w:rFonts w:ascii="宋体" w:hAnsi="宋体" w:cs="宋体" w:eastAsia="宋体" w:hint="default"/>
                <w:w w:val="100"/>
                <w:sz w:val="15"/>
                <w:szCs w:val="15"/>
              </w:rPr>
              <w:t> </w:t>
            </w:r>
            <w:r>
              <w:rPr>
                <w:rFonts w:ascii="宋体" w:hAnsi="宋体" w:cs="宋体" w:eastAsia="宋体" w:hint="default"/>
                <w:sz w:val="15"/>
                <w:szCs w:val="15"/>
              </w:rPr>
              <w:t>额的差额</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9" w:right="125"/>
              <w:jc w:val="both"/>
              <w:rPr>
                <w:rFonts w:ascii="宋体" w:hAnsi="宋体" w:cs="宋体" w:eastAsia="宋体" w:hint="default"/>
                <w:sz w:val="15"/>
                <w:szCs w:val="15"/>
              </w:rPr>
            </w:pPr>
            <w:r>
              <w:rPr>
                <w:rFonts w:ascii="宋体" w:hAnsi="宋体" w:cs="宋体" w:eastAsia="宋体" w:hint="default"/>
                <w:sz w:val="15"/>
                <w:szCs w:val="15"/>
              </w:rPr>
              <w:t>截至期</w:t>
            </w:r>
            <w:r>
              <w:rPr>
                <w:rFonts w:ascii="宋体" w:hAnsi="宋体" w:cs="宋体" w:eastAsia="宋体" w:hint="default"/>
                <w:spacing w:val="-72"/>
                <w:sz w:val="15"/>
                <w:szCs w:val="15"/>
              </w:rPr>
              <w:t> </w:t>
            </w:r>
            <w:r>
              <w:rPr>
                <w:rFonts w:ascii="宋体" w:hAnsi="宋体" w:cs="宋体" w:eastAsia="宋体" w:hint="default"/>
                <w:sz w:val="15"/>
                <w:szCs w:val="15"/>
              </w:rPr>
              <w:t>末投入</w:t>
            </w:r>
            <w:r>
              <w:rPr>
                <w:rFonts w:ascii="宋体" w:hAnsi="宋体" w:cs="宋体" w:eastAsia="宋体" w:hint="default"/>
                <w:spacing w:val="-72"/>
                <w:sz w:val="15"/>
                <w:szCs w:val="15"/>
              </w:rPr>
              <w:t> </w:t>
            </w:r>
            <w:r>
              <w:rPr>
                <w:rFonts w:ascii="宋体" w:hAnsi="宋体" w:cs="宋体" w:eastAsia="宋体" w:hint="default"/>
                <w:sz w:val="15"/>
                <w:szCs w:val="15"/>
              </w:rPr>
              <w:t>进度</w:t>
            </w:r>
          </w:p>
          <w:p>
            <w:pPr>
              <w:pStyle w:val="TableParagraph"/>
              <w:spacing w:line="242" w:lineRule="auto"/>
              <w:ind w:left="117" w:right="115" w:hanging="1"/>
              <w:jc w:val="center"/>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宋体" w:hAnsi="宋体" w:cs="宋体" w:eastAsia="宋体" w:hint="default"/>
                <w:w w:val="100"/>
                <w:sz w:val="15"/>
                <w:szCs w:val="15"/>
              </w:rPr>
              <w:t> </w:t>
            </w:r>
            <w:r>
              <w:rPr>
                <w:rFonts w:ascii="Times New Roman" w:hAnsi="Times New Roman" w:cs="Times New Roman" w:eastAsia="Times New Roman" w:hint="default"/>
                <w:spacing w:val="-1"/>
                <w:sz w:val="15"/>
                <w:szCs w:val="15"/>
              </w:rPr>
              <w:t>(4)=(2)/</w:t>
            </w:r>
            <w:r>
              <w:rPr>
                <w:rFonts w:ascii="Times New Roman" w:hAnsi="Times New Roman" w:cs="Times New Roman" w:eastAsia="Times New Roman" w:hint="default"/>
                <w:w w:val="100"/>
                <w:sz w:val="15"/>
                <w:szCs w:val="15"/>
              </w:rPr>
              <w:t> </w:t>
            </w:r>
            <w:r>
              <w:rPr>
                <w:rFonts w:ascii="Times New Roman" w:hAnsi="Times New Roman" w:cs="Times New Roman" w:eastAsia="Times New Roman" w:hint="default"/>
                <w:sz w:val="15"/>
                <w:szCs w:val="15"/>
              </w:rPr>
              <w:t>(1)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110" w:right="115"/>
              <w:jc w:val="both"/>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达到</w:t>
            </w:r>
          </w:p>
          <w:p>
            <w:pPr>
              <w:pStyle w:val="TableParagraph"/>
              <w:spacing w:line="194" w:lineRule="exact" w:before="3"/>
              <w:ind w:left="110" w:right="115"/>
              <w:jc w:val="both"/>
              <w:rPr>
                <w:rFonts w:ascii="宋体" w:hAnsi="宋体" w:cs="宋体" w:eastAsia="宋体" w:hint="default"/>
                <w:sz w:val="15"/>
                <w:szCs w:val="15"/>
              </w:rPr>
            </w:pPr>
            <w:r>
              <w:rPr>
                <w:rFonts w:ascii="宋体" w:hAnsi="宋体" w:cs="宋体" w:eastAsia="宋体" w:hint="default"/>
                <w:sz w:val="15"/>
                <w:szCs w:val="15"/>
              </w:rPr>
              <w:t>预定</w:t>
            </w:r>
            <w:r>
              <w:rPr>
                <w:rFonts w:ascii="宋体" w:hAnsi="宋体" w:cs="宋体" w:eastAsia="宋体" w:hint="default"/>
                <w:spacing w:val="-73"/>
                <w:sz w:val="15"/>
                <w:szCs w:val="15"/>
              </w:rPr>
              <w:t> </w:t>
            </w:r>
            <w:r>
              <w:rPr>
                <w:rFonts w:ascii="宋体" w:hAnsi="宋体" w:cs="宋体" w:eastAsia="宋体" w:hint="default"/>
                <w:sz w:val="15"/>
                <w:szCs w:val="15"/>
              </w:rPr>
              <w:t>可使</w:t>
            </w:r>
            <w:r>
              <w:rPr>
                <w:rFonts w:ascii="宋体" w:hAnsi="宋体" w:cs="宋体" w:eastAsia="宋体" w:hint="default"/>
                <w:spacing w:val="-73"/>
                <w:sz w:val="15"/>
                <w:szCs w:val="15"/>
              </w:rPr>
              <w:t> </w:t>
            </w:r>
            <w:r>
              <w:rPr>
                <w:rFonts w:ascii="宋体" w:hAnsi="宋体" w:cs="宋体" w:eastAsia="宋体" w:hint="default"/>
                <w:sz w:val="15"/>
                <w:szCs w:val="15"/>
              </w:rPr>
              <w:t>用状</w:t>
            </w:r>
            <w:r>
              <w:rPr>
                <w:rFonts w:ascii="宋体" w:hAnsi="宋体" w:cs="宋体" w:eastAsia="宋体" w:hint="default"/>
                <w:spacing w:val="-73"/>
                <w:sz w:val="15"/>
                <w:szCs w:val="15"/>
              </w:rPr>
              <w:t> </w:t>
            </w:r>
            <w:r>
              <w:rPr>
                <w:rFonts w:ascii="宋体" w:hAnsi="宋体" w:cs="宋体" w:eastAsia="宋体" w:hint="default"/>
                <w:sz w:val="15"/>
                <w:szCs w:val="15"/>
              </w:rPr>
              <w:t>态日</w:t>
            </w:r>
          </w:p>
          <w:p>
            <w:pPr>
              <w:pStyle w:val="TableParagraph"/>
              <w:spacing w:line="179" w:lineRule="exact"/>
              <w:ind w:right="7"/>
              <w:jc w:val="center"/>
              <w:rPr>
                <w:rFonts w:ascii="宋体" w:hAnsi="宋体" w:cs="宋体" w:eastAsia="宋体" w:hint="default"/>
                <w:sz w:val="15"/>
                <w:szCs w:val="15"/>
              </w:rPr>
            </w:pPr>
            <w:r>
              <w:rPr>
                <w:rFonts w:ascii="宋体" w:hAnsi="宋体" w:cs="宋体" w:eastAsia="宋体" w:hint="default"/>
                <w:w w:val="100"/>
                <w:sz w:val="15"/>
                <w:szCs w:val="15"/>
              </w:rPr>
              <w:t>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 w:right="24"/>
              <w:jc w:val="center"/>
              <w:rPr>
                <w:rFonts w:ascii="宋体" w:hAnsi="宋体" w:cs="宋体" w:eastAsia="宋体" w:hint="default"/>
                <w:sz w:val="15"/>
                <w:szCs w:val="15"/>
              </w:rPr>
            </w:pPr>
            <w:r>
              <w:rPr>
                <w:rFonts w:ascii="宋体" w:hAnsi="宋体" w:cs="宋体" w:eastAsia="宋体" w:hint="default"/>
                <w:sz w:val="15"/>
                <w:szCs w:val="15"/>
              </w:rPr>
              <w:t>本年度实</w:t>
            </w:r>
            <w:r>
              <w:rPr>
                <w:rFonts w:ascii="宋体" w:hAnsi="宋体" w:cs="宋体" w:eastAsia="宋体" w:hint="default"/>
                <w:w w:val="100"/>
                <w:sz w:val="15"/>
                <w:szCs w:val="15"/>
              </w:rPr>
              <w:t> </w:t>
            </w:r>
            <w:r>
              <w:rPr>
                <w:rFonts w:ascii="宋体" w:hAnsi="宋体" w:cs="宋体" w:eastAsia="宋体" w:hint="default"/>
                <w:sz w:val="15"/>
                <w:szCs w:val="15"/>
              </w:rPr>
              <w:t>现的效益</w:t>
            </w:r>
          </w:p>
          <w:p>
            <w:pPr>
              <w:pStyle w:val="TableParagraph"/>
              <w:spacing w:line="240" w:lineRule="auto"/>
              <w:ind w:left="19" w:right="24"/>
              <w:jc w:val="center"/>
              <w:rPr>
                <w:rFonts w:ascii="宋体" w:hAnsi="宋体" w:cs="宋体" w:eastAsia="宋体" w:hint="default"/>
                <w:sz w:val="15"/>
                <w:szCs w:val="15"/>
              </w:rPr>
            </w:pPr>
            <w:r>
              <w:rPr>
                <w:rFonts w:ascii="宋体" w:hAnsi="宋体" w:cs="宋体" w:eastAsia="宋体" w:hint="default"/>
                <w:sz w:val="15"/>
                <w:szCs w:val="15"/>
              </w:rPr>
              <w:t>（利润总</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4" w:right="120"/>
              <w:jc w:val="both"/>
              <w:rPr>
                <w:rFonts w:ascii="宋体" w:hAnsi="宋体" w:cs="宋体" w:eastAsia="宋体" w:hint="default"/>
                <w:sz w:val="15"/>
                <w:szCs w:val="15"/>
              </w:rPr>
            </w:pPr>
            <w:r>
              <w:rPr>
                <w:rFonts w:ascii="宋体" w:hAnsi="宋体" w:cs="宋体" w:eastAsia="宋体" w:hint="default"/>
                <w:sz w:val="15"/>
                <w:szCs w:val="15"/>
              </w:rPr>
              <w:t>是否达</w:t>
            </w:r>
            <w:r>
              <w:rPr>
                <w:rFonts w:ascii="宋体" w:hAnsi="宋体" w:cs="宋体" w:eastAsia="宋体" w:hint="default"/>
                <w:spacing w:val="-72"/>
                <w:sz w:val="15"/>
                <w:szCs w:val="15"/>
              </w:rPr>
              <w:t> </w:t>
            </w:r>
            <w:r>
              <w:rPr>
                <w:rFonts w:ascii="宋体" w:hAnsi="宋体" w:cs="宋体" w:eastAsia="宋体" w:hint="default"/>
                <w:sz w:val="15"/>
                <w:szCs w:val="15"/>
              </w:rPr>
              <w:t>到预计</w:t>
            </w:r>
            <w:r>
              <w:rPr>
                <w:rFonts w:ascii="宋体" w:hAnsi="宋体" w:cs="宋体" w:eastAsia="宋体" w:hint="default"/>
                <w:spacing w:val="-72"/>
                <w:sz w:val="15"/>
                <w:szCs w:val="15"/>
              </w:rPr>
              <w:t> </w:t>
            </w:r>
            <w:r>
              <w:rPr>
                <w:rFonts w:ascii="宋体" w:hAnsi="宋体" w:cs="宋体" w:eastAsia="宋体" w:hint="default"/>
                <w:sz w:val="15"/>
                <w:szCs w:val="15"/>
              </w:rPr>
              <w:t>效益</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8"/>
              <w:ind w:left="81" w:right="75"/>
              <w:jc w:val="both"/>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pacing w:val="-73"/>
                <w:sz w:val="15"/>
                <w:szCs w:val="15"/>
              </w:rPr>
              <w:t> </w:t>
            </w:r>
            <w:r>
              <w:rPr>
                <w:rFonts w:ascii="宋体" w:hAnsi="宋体" w:cs="宋体" w:eastAsia="宋体" w:hint="default"/>
                <w:sz w:val="15"/>
                <w:szCs w:val="15"/>
              </w:rPr>
              <w:t>可行</w:t>
            </w:r>
          </w:p>
          <w:p>
            <w:pPr>
              <w:pStyle w:val="TableParagraph"/>
              <w:spacing w:line="194" w:lineRule="exact" w:before="3"/>
              <w:ind w:left="81" w:right="75"/>
              <w:jc w:val="both"/>
              <w:rPr>
                <w:rFonts w:ascii="宋体" w:hAnsi="宋体" w:cs="宋体" w:eastAsia="宋体" w:hint="default"/>
                <w:sz w:val="15"/>
                <w:szCs w:val="15"/>
              </w:rPr>
            </w:pPr>
            <w:r>
              <w:rPr>
                <w:rFonts w:ascii="宋体" w:hAnsi="宋体" w:cs="宋体" w:eastAsia="宋体" w:hint="default"/>
                <w:sz w:val="15"/>
                <w:szCs w:val="15"/>
              </w:rPr>
              <w:t>性是</w:t>
            </w:r>
            <w:r>
              <w:rPr>
                <w:rFonts w:ascii="宋体" w:hAnsi="宋体" w:cs="宋体" w:eastAsia="宋体" w:hint="default"/>
                <w:spacing w:val="-73"/>
                <w:sz w:val="15"/>
                <w:szCs w:val="15"/>
              </w:rPr>
              <w:t> </w:t>
            </w:r>
            <w:r>
              <w:rPr>
                <w:rFonts w:ascii="宋体" w:hAnsi="宋体" w:cs="宋体" w:eastAsia="宋体" w:hint="default"/>
                <w:sz w:val="15"/>
                <w:szCs w:val="15"/>
              </w:rPr>
              <w:t>否发</w:t>
            </w:r>
            <w:r>
              <w:rPr>
                <w:rFonts w:ascii="宋体" w:hAnsi="宋体" w:cs="宋体" w:eastAsia="宋体" w:hint="default"/>
                <w:spacing w:val="-73"/>
                <w:sz w:val="15"/>
                <w:szCs w:val="15"/>
              </w:rPr>
              <w:t> </w:t>
            </w:r>
            <w:r>
              <w:rPr>
                <w:rFonts w:ascii="宋体" w:hAnsi="宋体" w:cs="宋体" w:eastAsia="宋体" w:hint="default"/>
                <w:sz w:val="15"/>
                <w:szCs w:val="15"/>
              </w:rPr>
              <w:t>生重</w:t>
            </w:r>
            <w:r>
              <w:rPr>
                <w:rFonts w:ascii="宋体" w:hAnsi="宋体" w:cs="宋体" w:eastAsia="宋体" w:hint="default"/>
                <w:spacing w:val="-73"/>
                <w:sz w:val="15"/>
                <w:szCs w:val="15"/>
              </w:rPr>
              <w:t> </w:t>
            </w:r>
            <w:r>
              <w:rPr>
                <w:rFonts w:ascii="宋体" w:hAnsi="宋体" w:cs="宋体" w:eastAsia="宋体" w:hint="default"/>
                <w:sz w:val="15"/>
                <w:szCs w:val="15"/>
              </w:rPr>
              <w:t>大变</w:t>
            </w:r>
          </w:p>
          <w:p>
            <w:pPr>
              <w:pStyle w:val="TableParagraph"/>
              <w:spacing w:line="179" w:lineRule="exact"/>
              <w:ind w:left="1" w:right="0"/>
              <w:jc w:val="center"/>
              <w:rPr>
                <w:rFonts w:ascii="宋体" w:hAnsi="宋体" w:cs="宋体" w:eastAsia="宋体" w:hint="default"/>
                <w:sz w:val="15"/>
                <w:szCs w:val="15"/>
              </w:rPr>
            </w:pPr>
            <w:r>
              <w:rPr>
                <w:rFonts w:ascii="宋体" w:hAnsi="宋体" w:cs="宋体" w:eastAsia="宋体" w:hint="default"/>
                <w:w w:val="100"/>
                <w:sz w:val="15"/>
                <w:szCs w:val="15"/>
              </w:rPr>
              <w:t>化</w:t>
            </w:r>
          </w:p>
        </w:tc>
      </w:tr>
      <w:tr>
        <w:trPr>
          <w:trHeight w:val="79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0"/>
              <w:jc w:val="center"/>
              <w:rPr>
                <w:rFonts w:ascii="黑体" w:hAnsi="黑体" w:cs="黑体" w:eastAsia="黑体" w:hint="default"/>
                <w:sz w:val="15"/>
                <w:szCs w:val="15"/>
              </w:rPr>
            </w:pP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2"/>
                <w:sz w:val="15"/>
                <w:szCs w:val="15"/>
              </w:rPr>
              <w:t> </w:t>
            </w:r>
            <w:r>
              <w:rPr>
                <w:rFonts w:ascii="黑体" w:hAnsi="黑体" w:cs="黑体" w:eastAsia="黑体" w:hint="default"/>
                <w:sz w:val="15"/>
                <w:szCs w:val="15"/>
              </w:rPr>
              <w:t>家</w:t>
            </w:r>
          </w:p>
          <w:p>
            <w:pPr>
              <w:pStyle w:val="TableParagraph"/>
              <w:spacing w:line="194" w:lineRule="exact" w:before="13"/>
              <w:ind w:left="134" w:right="132"/>
              <w:jc w:val="center"/>
              <w:rPr>
                <w:rFonts w:ascii="黑体" w:hAnsi="黑体" w:cs="黑体" w:eastAsia="黑体" w:hint="default"/>
                <w:sz w:val="15"/>
                <w:szCs w:val="15"/>
              </w:rPr>
            </w:pPr>
            <w:r>
              <w:rPr>
                <w:rFonts w:ascii="黑体" w:hAnsi="黑体" w:cs="黑体" w:eastAsia="黑体" w:hint="default"/>
                <w:sz w:val="15"/>
                <w:szCs w:val="15"/>
              </w:rPr>
              <w:t>连锁店</w:t>
            </w:r>
            <w:r>
              <w:rPr>
                <w:rFonts w:ascii="黑体" w:hAnsi="黑体" w:cs="黑体" w:eastAsia="黑体" w:hint="default"/>
                <w:w w:val="100"/>
                <w:sz w:val="15"/>
                <w:szCs w:val="15"/>
              </w:rPr>
              <w:t> </w:t>
            </w:r>
            <w:r>
              <w:rPr>
                <w:rFonts w:ascii="黑体" w:hAnsi="黑体" w:cs="黑体" w:eastAsia="黑体" w:hint="default"/>
                <w:sz w:val="15"/>
                <w:szCs w:val="15"/>
              </w:rPr>
              <w:t>发展项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25"/>
              <w:jc w:val="center"/>
              <w:rPr>
                <w:rFonts w:ascii="Times New Roman" w:hAnsi="Times New Roman" w:cs="Times New Roman" w:eastAsia="Times New Roman" w:hint="default"/>
                <w:sz w:val="15"/>
                <w:szCs w:val="15"/>
              </w:rPr>
            </w:pPr>
            <w:r>
              <w:rPr>
                <w:rFonts w:ascii="Times New Roman"/>
                <w:sz w:val="15"/>
              </w:rPr>
              <w:t>1,400,000.0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1,400,000.0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783,255.9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1,024,467.6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(375,532.4)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4"/>
              <w:jc w:val="right"/>
              <w:rPr>
                <w:rFonts w:ascii="Times New Roman" w:hAnsi="Times New Roman" w:cs="Times New Roman" w:eastAsia="Times New Roman" w:hint="default"/>
                <w:sz w:val="15"/>
                <w:szCs w:val="15"/>
              </w:rPr>
            </w:pPr>
            <w:r>
              <w:rPr>
                <w:rFonts w:ascii="Times New Roman"/>
                <w:spacing w:val="-2"/>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65,559.5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9</w:t>
            </w:r>
            <w:r>
              <w:rPr>
                <w:rFonts w:ascii="宋体" w:hAnsi="宋体" w:cs="宋体" w:eastAsia="宋体" w:hint="default"/>
                <w:sz w:val="15"/>
                <w:szCs w:val="15"/>
              </w:rPr>
              <w:t>）</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黑体" w:hAnsi="黑体" w:cs="黑体" w:eastAsia="黑体" w:hint="default"/>
                <w:sz w:val="15"/>
                <w:szCs w:val="15"/>
              </w:rPr>
            </w:pPr>
            <w:r>
              <w:rPr>
                <w:rFonts w:ascii="黑体" w:hAnsi="黑体" w:cs="黑体" w:eastAsia="黑体" w:hint="default"/>
                <w:sz w:val="15"/>
                <w:szCs w:val="15"/>
              </w:rPr>
              <w:t>成都物</w:t>
            </w:r>
          </w:p>
          <w:p>
            <w:pPr>
              <w:pStyle w:val="TableParagraph"/>
              <w:spacing w:line="240" w:lineRule="auto"/>
              <w:ind w:left="134" w:right="132"/>
              <w:jc w:val="center"/>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w w:val="100"/>
                <w:sz w:val="15"/>
                <w:szCs w:val="15"/>
              </w:rPr>
              <w:t> </w:t>
            </w:r>
            <w:r>
              <w:rPr>
                <w:rFonts w:ascii="黑体" w:hAnsi="黑体" w:cs="黑体" w:eastAsia="黑体" w:hint="default"/>
                <w:sz w:val="15"/>
                <w:szCs w:val="15"/>
              </w:rPr>
              <w:t>建设项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85" w:right="0"/>
              <w:jc w:val="center"/>
              <w:rPr>
                <w:rFonts w:ascii="Times New Roman" w:hAnsi="Times New Roman" w:cs="Times New Roman" w:eastAsia="Times New Roman" w:hint="default"/>
                <w:sz w:val="15"/>
                <w:szCs w:val="15"/>
              </w:rPr>
            </w:pPr>
            <w:r>
              <w:rPr>
                <w:rFonts w:ascii="Times New Roman"/>
                <w:sz w:val="15"/>
              </w:rPr>
              <w:t>151,980.8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1"/>
              <w:jc w:val="right"/>
              <w:rPr>
                <w:rFonts w:ascii="Times New Roman" w:hAnsi="Times New Roman" w:cs="Times New Roman" w:eastAsia="Times New Roman" w:hint="default"/>
                <w:sz w:val="15"/>
                <w:szCs w:val="15"/>
              </w:rPr>
            </w:pPr>
            <w:r>
              <w:rPr>
                <w:rFonts w:ascii="Times New Roman"/>
                <w:spacing w:val="-1"/>
                <w:sz w:val="15"/>
              </w:rPr>
              <w:t>151,980.8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151,980.8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100,984.6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0"/>
              <w:jc w:val="right"/>
              <w:rPr>
                <w:rFonts w:ascii="Times New Roman" w:hAnsi="Times New Roman" w:cs="Times New Roman" w:eastAsia="Times New Roman" w:hint="default"/>
                <w:sz w:val="15"/>
                <w:szCs w:val="15"/>
              </w:rPr>
            </w:pPr>
            <w:r>
              <w:rPr>
                <w:rFonts w:ascii="Times New Roman"/>
                <w:spacing w:val="-1"/>
                <w:sz w:val="15"/>
              </w:rPr>
              <w:t>149,165.3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(2,815.5)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97"/>
              <w:jc w:val="right"/>
              <w:rPr>
                <w:rFonts w:ascii="Times New Roman" w:hAnsi="Times New Roman" w:cs="Times New Roman" w:eastAsia="Times New Roman" w:hint="default"/>
                <w:sz w:val="15"/>
                <w:szCs w:val="15"/>
              </w:rPr>
            </w:pPr>
            <w:r>
              <w:rPr>
                <w:rFonts w:ascii="Times New Roman"/>
                <w:sz w:val="15"/>
              </w:rPr>
              <w:t>98%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14"/>
              <w:jc w:val="right"/>
              <w:rPr>
                <w:rFonts w:ascii="Times New Roman" w:hAnsi="Times New Roman" w:cs="Times New Roman" w:eastAsia="Times New Roman" w:hint="default"/>
                <w:sz w:val="15"/>
                <w:szCs w:val="15"/>
              </w:rPr>
            </w:pPr>
            <w:r>
              <w:rPr>
                <w:rFonts w:ascii="Times New Roman"/>
                <w:spacing w:val="-2"/>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6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10)</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黑体" w:hAnsi="黑体" w:cs="黑体" w:eastAsia="黑体" w:hint="default"/>
                <w:sz w:val="15"/>
                <w:szCs w:val="15"/>
              </w:rPr>
            </w:pPr>
            <w:r>
              <w:rPr>
                <w:rFonts w:ascii="黑体" w:hAnsi="黑体" w:cs="黑体" w:eastAsia="黑体" w:hint="default"/>
                <w:sz w:val="15"/>
                <w:szCs w:val="15"/>
              </w:rPr>
              <w:t>无锡物</w:t>
            </w:r>
          </w:p>
          <w:p>
            <w:pPr>
              <w:pStyle w:val="TableParagraph"/>
              <w:spacing w:line="240" w:lineRule="auto"/>
              <w:ind w:left="134" w:right="132"/>
              <w:jc w:val="center"/>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w w:val="100"/>
                <w:sz w:val="15"/>
                <w:szCs w:val="15"/>
              </w:rPr>
              <w:t> </w:t>
            </w:r>
            <w:r>
              <w:rPr>
                <w:rFonts w:ascii="黑体" w:hAnsi="黑体" w:cs="黑体" w:eastAsia="黑体" w:hint="default"/>
                <w:sz w:val="15"/>
                <w:szCs w:val="15"/>
              </w:rPr>
              <w:t>建设项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85" w:right="0"/>
              <w:jc w:val="center"/>
              <w:rPr>
                <w:rFonts w:ascii="Times New Roman" w:hAnsi="Times New Roman" w:cs="Times New Roman" w:eastAsia="Times New Roman" w:hint="default"/>
                <w:sz w:val="15"/>
                <w:szCs w:val="15"/>
              </w:rPr>
            </w:pPr>
            <w:r>
              <w:rPr>
                <w:rFonts w:ascii="Times New Roman"/>
                <w:sz w:val="15"/>
              </w:rPr>
              <w:t>152,469.9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152,469.9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152,469.9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58,075.1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126,977.2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(25,492.7)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83%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4"/>
              <w:jc w:val="right"/>
              <w:rPr>
                <w:rFonts w:ascii="Times New Roman" w:hAnsi="Times New Roman" w:cs="Times New Roman" w:eastAsia="Times New Roman" w:hint="default"/>
                <w:sz w:val="15"/>
                <w:szCs w:val="15"/>
              </w:rPr>
            </w:pPr>
            <w:r>
              <w:rPr>
                <w:rFonts w:ascii="Times New Roman"/>
                <w:spacing w:val="-2"/>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tcBorders>
              <w:left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黑体" w:hAnsi="黑体" w:cs="黑体" w:eastAsia="黑体" w:hint="default"/>
                <w:sz w:val="15"/>
                <w:szCs w:val="15"/>
              </w:rPr>
            </w:pPr>
            <w:r>
              <w:rPr>
                <w:rFonts w:ascii="黑体" w:hAnsi="黑体" w:cs="黑体" w:eastAsia="黑体" w:hint="default"/>
                <w:sz w:val="15"/>
                <w:szCs w:val="15"/>
              </w:rPr>
              <w:t>重庆物</w:t>
            </w:r>
          </w:p>
          <w:p>
            <w:pPr>
              <w:pStyle w:val="TableParagraph"/>
              <w:spacing w:line="240" w:lineRule="auto"/>
              <w:ind w:left="134" w:right="132"/>
              <w:jc w:val="center"/>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w w:val="100"/>
                <w:sz w:val="15"/>
                <w:szCs w:val="15"/>
              </w:rPr>
              <w:t> </w:t>
            </w:r>
            <w:r>
              <w:rPr>
                <w:rFonts w:ascii="黑体" w:hAnsi="黑体" w:cs="黑体" w:eastAsia="黑体" w:hint="default"/>
                <w:sz w:val="15"/>
                <w:szCs w:val="15"/>
              </w:rPr>
              <w:t>建设项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85" w:right="0"/>
              <w:jc w:val="center"/>
              <w:rPr>
                <w:rFonts w:ascii="Times New Roman" w:hAnsi="Times New Roman" w:cs="Times New Roman" w:eastAsia="Times New Roman" w:hint="default"/>
                <w:sz w:val="15"/>
                <w:szCs w:val="15"/>
              </w:rPr>
            </w:pPr>
            <w:r>
              <w:rPr>
                <w:rFonts w:ascii="Times New Roman"/>
                <w:sz w:val="15"/>
              </w:rPr>
              <w:t>166,697.0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166,697.0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158,487.2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95,553.7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158,487.2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2"/>
              <w:jc w:val="right"/>
              <w:rPr>
                <w:rFonts w:ascii="Times New Roman" w:hAnsi="Times New Roman" w:cs="Times New Roman" w:eastAsia="Times New Roman" w:hint="default"/>
                <w:sz w:val="15"/>
                <w:szCs w:val="15"/>
              </w:rPr>
            </w:pPr>
            <w:r>
              <w:rPr>
                <w:rFonts w:ascii="Times New Roman"/>
                <w:spacing w:val="-1"/>
                <w:sz w:val="15"/>
              </w:rPr>
              <w:t>2012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tcBorders>
              <w:left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黑体" w:hAnsi="黑体" w:cs="黑体" w:eastAsia="黑体" w:hint="default"/>
                <w:sz w:val="15"/>
                <w:szCs w:val="15"/>
              </w:rPr>
            </w:pPr>
            <w:r>
              <w:rPr>
                <w:rFonts w:ascii="黑体" w:hAnsi="黑体" w:cs="黑体" w:eastAsia="黑体" w:hint="default"/>
                <w:sz w:val="15"/>
                <w:szCs w:val="15"/>
              </w:rPr>
              <w:t>天津物</w:t>
            </w:r>
          </w:p>
          <w:p>
            <w:pPr>
              <w:pStyle w:val="TableParagraph"/>
              <w:spacing w:line="240" w:lineRule="auto"/>
              <w:ind w:left="134" w:right="132"/>
              <w:jc w:val="center"/>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w w:val="100"/>
                <w:sz w:val="15"/>
                <w:szCs w:val="15"/>
              </w:rPr>
              <w:t> </w:t>
            </w:r>
            <w:r>
              <w:rPr>
                <w:rFonts w:ascii="黑体" w:hAnsi="黑体" w:cs="黑体" w:eastAsia="黑体" w:hint="default"/>
                <w:sz w:val="15"/>
                <w:szCs w:val="15"/>
              </w:rPr>
              <w:t>建设项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85" w:right="0"/>
              <w:jc w:val="center"/>
              <w:rPr>
                <w:rFonts w:ascii="Times New Roman" w:hAnsi="Times New Roman" w:cs="Times New Roman" w:eastAsia="Times New Roman" w:hint="default"/>
                <w:sz w:val="15"/>
                <w:szCs w:val="15"/>
              </w:rPr>
            </w:pPr>
            <w:r>
              <w:rPr>
                <w:rFonts w:ascii="Times New Roman"/>
                <w:sz w:val="15"/>
              </w:rPr>
              <w:t>158,008.0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158,008.0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158,008.0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2"/>
                <w:sz w:val="15"/>
              </w:rPr>
              <w:t>90,118.6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137,429.2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(20,578.8)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87%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4"/>
              <w:jc w:val="right"/>
              <w:rPr>
                <w:rFonts w:ascii="Times New Roman" w:hAnsi="Times New Roman" w:cs="Times New Roman" w:eastAsia="Times New Roman" w:hint="default"/>
                <w:sz w:val="15"/>
                <w:szCs w:val="15"/>
              </w:rPr>
            </w:pPr>
            <w:r>
              <w:rPr>
                <w:rFonts w:ascii="Times New Roman"/>
                <w:spacing w:val="-2"/>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tcBorders>
              <w:left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黑体" w:hAnsi="黑体" w:cs="黑体" w:eastAsia="黑体" w:hint="default"/>
                <w:sz w:val="15"/>
                <w:szCs w:val="15"/>
              </w:rPr>
            </w:pPr>
            <w:r>
              <w:rPr>
                <w:rFonts w:ascii="黑体" w:hAnsi="黑体" w:cs="黑体" w:eastAsia="黑体" w:hint="default"/>
                <w:sz w:val="15"/>
                <w:szCs w:val="15"/>
              </w:rPr>
              <w:t>徐州物</w:t>
            </w:r>
          </w:p>
          <w:p>
            <w:pPr>
              <w:pStyle w:val="TableParagraph"/>
              <w:spacing w:line="240" w:lineRule="auto"/>
              <w:ind w:left="134" w:right="132"/>
              <w:jc w:val="center"/>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w w:val="100"/>
                <w:sz w:val="15"/>
                <w:szCs w:val="15"/>
              </w:rPr>
              <w:t> </w:t>
            </w:r>
            <w:r>
              <w:rPr>
                <w:rFonts w:ascii="黑体" w:hAnsi="黑体" w:cs="黑体" w:eastAsia="黑体" w:hint="default"/>
                <w:sz w:val="15"/>
                <w:szCs w:val="15"/>
              </w:rPr>
              <w:t>建设项</w:t>
            </w:r>
            <w:r>
              <w:rPr>
                <w:rFonts w:ascii="黑体" w:hAnsi="黑体" w:cs="黑体" w:eastAsia="黑体" w:hint="default"/>
                <w:w w:val="100"/>
                <w:sz w:val="15"/>
                <w:szCs w:val="15"/>
              </w:rPr>
              <w:t> </w:t>
            </w:r>
            <w:r>
              <w:rPr>
                <w:rFonts w:ascii="黑体" w:hAnsi="黑体" w:cs="黑体" w:eastAsia="黑体" w:hint="default"/>
                <w:sz w:val="15"/>
                <w:szCs w:val="15"/>
              </w:rPr>
              <w:t>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89" w:right="0"/>
              <w:jc w:val="center"/>
              <w:rPr>
                <w:rFonts w:ascii="Times New Roman" w:hAnsi="Times New Roman" w:cs="Times New Roman" w:eastAsia="Times New Roman" w:hint="default"/>
                <w:sz w:val="15"/>
                <w:szCs w:val="15"/>
              </w:rPr>
            </w:pPr>
            <w:r>
              <w:rPr>
                <w:rFonts w:ascii="Times New Roman"/>
                <w:sz w:val="15"/>
              </w:rPr>
              <w:t>113,994.0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2"/>
                <w:sz w:val="15"/>
              </w:rPr>
              <w:t>113,994.0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2"/>
                <w:sz w:val="15"/>
              </w:rPr>
              <w:t>52,411.1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32,259.4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2"/>
                <w:sz w:val="15"/>
              </w:rPr>
              <w:t>52,411.1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3"/>
              <w:jc w:val="right"/>
              <w:rPr>
                <w:rFonts w:ascii="Times New Roman" w:hAnsi="Times New Roman" w:cs="Times New Roman" w:eastAsia="Times New Roman" w:hint="default"/>
                <w:sz w:val="15"/>
                <w:szCs w:val="15"/>
              </w:rPr>
            </w:pPr>
            <w:r>
              <w:rPr>
                <w:rFonts w:ascii="Times New Roman"/>
                <w:spacing w:val="-2"/>
                <w:sz w:val="15"/>
              </w:rPr>
              <w:t>2012</w:t>
            </w:r>
            <w:r>
              <w:rPr>
                <w:rFonts w:ascii="Times New Roman"/>
                <w:sz w:val="15"/>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tcBorders>
              <w:left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79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4" w:right="0"/>
              <w:jc w:val="both"/>
              <w:rPr>
                <w:rFonts w:ascii="黑体" w:hAnsi="黑体" w:cs="黑体" w:eastAsia="黑体" w:hint="default"/>
                <w:sz w:val="15"/>
                <w:szCs w:val="15"/>
              </w:rPr>
            </w:pPr>
            <w:r>
              <w:rPr>
                <w:rFonts w:ascii="黑体" w:hAnsi="黑体" w:cs="黑体" w:eastAsia="黑体" w:hint="default"/>
                <w:sz w:val="15"/>
                <w:szCs w:val="15"/>
              </w:rPr>
              <w:t>北京物</w:t>
            </w:r>
          </w:p>
          <w:p>
            <w:pPr>
              <w:pStyle w:val="TableParagraph"/>
              <w:spacing w:line="240" w:lineRule="auto"/>
              <w:ind w:left="134" w:right="132"/>
              <w:jc w:val="both"/>
              <w:rPr>
                <w:rFonts w:ascii="黑体" w:hAnsi="黑体" w:cs="黑体" w:eastAsia="黑体" w:hint="default"/>
                <w:sz w:val="15"/>
                <w:szCs w:val="15"/>
              </w:rPr>
            </w:pPr>
            <w:r>
              <w:rPr>
                <w:rFonts w:ascii="黑体" w:hAnsi="黑体" w:cs="黑体" w:eastAsia="黑体" w:hint="default"/>
                <w:sz w:val="15"/>
                <w:szCs w:val="15"/>
              </w:rPr>
              <w:t>流中心</w:t>
            </w:r>
            <w:r>
              <w:rPr>
                <w:rFonts w:ascii="黑体" w:hAnsi="黑体" w:cs="黑体" w:eastAsia="黑体" w:hint="default"/>
                <w:spacing w:val="-72"/>
                <w:sz w:val="15"/>
                <w:szCs w:val="15"/>
              </w:rPr>
              <w:t> </w:t>
            </w:r>
            <w:r>
              <w:rPr>
                <w:rFonts w:ascii="黑体" w:hAnsi="黑体" w:cs="黑体" w:eastAsia="黑体" w:hint="default"/>
                <w:sz w:val="15"/>
                <w:szCs w:val="15"/>
              </w:rPr>
              <w:t>建设二</w:t>
            </w:r>
            <w:r>
              <w:rPr>
                <w:rFonts w:ascii="黑体" w:hAnsi="黑体" w:cs="黑体" w:eastAsia="黑体" w:hint="default"/>
                <w:spacing w:val="-72"/>
                <w:sz w:val="15"/>
                <w:szCs w:val="15"/>
              </w:rPr>
              <w:t> </w:t>
            </w:r>
            <w:r>
              <w:rPr>
                <w:rFonts w:ascii="黑体" w:hAnsi="黑体" w:cs="黑体" w:eastAsia="黑体" w:hint="default"/>
                <w:sz w:val="15"/>
                <w:szCs w:val="15"/>
              </w:rPr>
              <w:t>期项目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85" w:right="0"/>
              <w:jc w:val="center"/>
              <w:rPr>
                <w:rFonts w:ascii="Times New Roman" w:hAnsi="Times New Roman" w:cs="Times New Roman" w:eastAsia="Times New Roman" w:hint="default"/>
                <w:sz w:val="15"/>
                <w:szCs w:val="15"/>
              </w:rPr>
            </w:pPr>
            <w:r>
              <w:rPr>
                <w:rFonts w:ascii="Times New Roman"/>
                <w:sz w:val="15"/>
              </w:rPr>
              <w:t>267,208.0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267,208.0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161,871.4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69,475.9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161,871.4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7"/>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12"/>
              <w:jc w:val="right"/>
              <w:rPr>
                <w:rFonts w:ascii="Times New Roman" w:hAnsi="Times New Roman" w:cs="Times New Roman" w:eastAsia="Times New Roman" w:hint="default"/>
                <w:sz w:val="15"/>
                <w:szCs w:val="15"/>
              </w:rPr>
            </w:pPr>
            <w:r>
              <w:rPr>
                <w:rFonts w:ascii="Times New Roman"/>
                <w:spacing w:val="-1"/>
                <w:sz w:val="15"/>
              </w:rPr>
              <w:t>2012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vMerge/>
            <w:tcBorders>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3"/>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59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4" w:right="0"/>
              <w:jc w:val="left"/>
              <w:rPr>
                <w:rFonts w:ascii="黑体" w:hAnsi="黑体" w:cs="黑体" w:eastAsia="黑体" w:hint="default"/>
                <w:sz w:val="15"/>
                <w:szCs w:val="15"/>
              </w:rPr>
            </w:pPr>
            <w:r>
              <w:rPr>
                <w:rFonts w:ascii="黑体" w:hAnsi="黑体" w:cs="黑体" w:eastAsia="黑体" w:hint="default"/>
                <w:sz w:val="15"/>
                <w:szCs w:val="15"/>
              </w:rPr>
              <w:t>补充流</w:t>
            </w:r>
          </w:p>
          <w:p>
            <w:pPr>
              <w:pStyle w:val="TableParagraph"/>
              <w:spacing w:line="240" w:lineRule="auto"/>
              <w:ind w:left="211" w:right="132" w:hanging="77"/>
              <w:jc w:val="left"/>
              <w:rPr>
                <w:rFonts w:ascii="黑体" w:hAnsi="黑体" w:cs="黑体" w:eastAsia="黑体" w:hint="default"/>
                <w:sz w:val="15"/>
                <w:szCs w:val="15"/>
              </w:rPr>
            </w:pPr>
            <w:r>
              <w:rPr>
                <w:rFonts w:ascii="黑体" w:hAnsi="黑体" w:cs="黑体" w:eastAsia="黑体" w:hint="default"/>
                <w:sz w:val="15"/>
                <w:szCs w:val="15"/>
              </w:rPr>
              <w:t>动资金</w:t>
            </w:r>
            <w:r>
              <w:rPr>
                <w:rFonts w:ascii="黑体" w:hAnsi="黑体" w:cs="黑体" w:eastAsia="黑体" w:hint="default"/>
                <w:spacing w:val="-72"/>
                <w:sz w:val="15"/>
                <w:szCs w:val="15"/>
              </w:rPr>
              <w:t> </w:t>
            </w:r>
            <w:r>
              <w:rPr>
                <w:rFonts w:ascii="黑体" w:hAnsi="黑体" w:cs="黑体" w:eastAsia="黑体" w:hint="default"/>
                <w:sz w:val="15"/>
                <w:szCs w:val="15"/>
              </w:rPr>
              <w:t>项目</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 w:right="0"/>
              <w:jc w:val="center"/>
              <w:rPr>
                <w:rFonts w:ascii="黑体" w:hAnsi="黑体" w:cs="黑体" w:eastAsia="黑体" w:hint="default"/>
                <w:sz w:val="15"/>
                <w:szCs w:val="15"/>
              </w:rPr>
            </w:pPr>
            <w:r>
              <w:rPr>
                <w:rFonts w:ascii="黑体" w:hAnsi="黑体" w:cs="黑体" w:eastAsia="黑体" w:hint="default"/>
                <w:w w:val="100"/>
                <w:sz w:val="15"/>
                <w:szCs w:val="15"/>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5" w:right="0"/>
              <w:jc w:val="center"/>
              <w:rPr>
                <w:rFonts w:ascii="Times New Roman" w:hAnsi="Times New Roman" w:cs="Times New Roman" w:eastAsia="Times New Roman" w:hint="default"/>
                <w:sz w:val="15"/>
                <w:szCs w:val="15"/>
              </w:rPr>
            </w:pPr>
            <w:r>
              <w:rPr>
                <w:rFonts w:ascii="Times New Roman"/>
                <w:sz w:val="15"/>
              </w:rPr>
              <w:t>390,000.0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390,000.0</w:t>
            </w:r>
            <w:r>
              <w:rPr>
                <w:rFonts w:ascii="Times New Roman"/>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196,205.4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2"/>
                <w:sz w:val="15"/>
              </w:rPr>
              <w:t>2011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46" w:right="0"/>
              <w:jc w:val="left"/>
              <w:rPr>
                <w:rFonts w:ascii="宋体" w:hAnsi="宋体" w:cs="宋体" w:eastAsia="宋体" w:hint="default"/>
                <w:sz w:val="15"/>
                <w:szCs w:val="15"/>
              </w:rPr>
            </w:pPr>
            <w:r>
              <w:rPr>
                <w:rFonts w:ascii="宋体" w:hAnsi="宋体" w:cs="宋体" w:eastAsia="宋体" w:hint="default"/>
                <w:sz w:val="15"/>
                <w:szCs w:val="15"/>
              </w:rPr>
              <w:t>不适用</w:t>
            </w:r>
          </w:p>
          <w:p>
            <w:pPr>
              <w:pStyle w:val="TableParagraph"/>
              <w:spacing w:line="207" w:lineRule="exact"/>
              <w:ind w:left="16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11)</w:t>
            </w: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w w:val="100"/>
                <w:sz w:val="15"/>
                <w:szCs w:val="15"/>
              </w:rPr>
              <w:t>否</w:t>
            </w:r>
          </w:p>
        </w:tc>
      </w:tr>
      <w:tr>
        <w:trPr>
          <w:trHeight w:val="9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4" w:right="0"/>
              <w:jc w:val="both"/>
              <w:rPr>
                <w:rFonts w:ascii="黑体" w:hAnsi="黑体" w:cs="黑体" w:eastAsia="黑体" w:hint="default"/>
                <w:sz w:val="15"/>
                <w:szCs w:val="15"/>
              </w:rPr>
            </w:pPr>
            <w:r>
              <w:rPr>
                <w:rFonts w:ascii="黑体" w:hAnsi="黑体" w:cs="黑体" w:eastAsia="黑体" w:hint="default"/>
                <w:sz w:val="15"/>
                <w:szCs w:val="15"/>
              </w:rPr>
              <w:t>超额募</w:t>
            </w:r>
          </w:p>
          <w:p>
            <w:pPr>
              <w:pStyle w:val="TableParagraph"/>
              <w:spacing w:line="240" w:lineRule="auto"/>
              <w:ind w:left="134" w:right="132"/>
              <w:jc w:val="both"/>
              <w:rPr>
                <w:rFonts w:ascii="黑体" w:hAnsi="黑体" w:cs="黑体" w:eastAsia="黑体" w:hint="default"/>
                <w:sz w:val="15"/>
                <w:szCs w:val="15"/>
              </w:rPr>
            </w:pPr>
            <w:r>
              <w:rPr>
                <w:rFonts w:ascii="黑体" w:hAnsi="黑体" w:cs="黑体" w:eastAsia="黑体" w:hint="default"/>
                <w:sz w:val="15"/>
                <w:szCs w:val="15"/>
              </w:rPr>
              <w:t>集资金</w:t>
            </w:r>
            <w:r>
              <w:rPr>
                <w:rFonts w:ascii="黑体" w:hAnsi="黑体" w:cs="黑体" w:eastAsia="黑体" w:hint="default"/>
                <w:spacing w:val="-72"/>
                <w:sz w:val="15"/>
                <w:szCs w:val="15"/>
              </w:rPr>
              <w:t> </w:t>
            </w:r>
            <w:r>
              <w:rPr>
                <w:rFonts w:ascii="黑体" w:hAnsi="黑体" w:cs="黑体" w:eastAsia="黑体" w:hint="default"/>
                <w:sz w:val="15"/>
                <w:szCs w:val="15"/>
              </w:rPr>
              <w:t>补充公</w:t>
            </w:r>
            <w:r>
              <w:rPr>
                <w:rFonts w:ascii="黑体" w:hAnsi="黑体" w:cs="黑体" w:eastAsia="黑体" w:hint="default"/>
                <w:spacing w:val="-72"/>
                <w:sz w:val="15"/>
                <w:szCs w:val="15"/>
              </w:rPr>
              <w:t> </w:t>
            </w:r>
            <w:r>
              <w:rPr>
                <w:rFonts w:ascii="黑体" w:hAnsi="黑体" w:cs="黑体" w:eastAsia="黑体" w:hint="default"/>
                <w:sz w:val="15"/>
                <w:szCs w:val="15"/>
              </w:rPr>
              <w:t>司流动</w:t>
            </w:r>
            <w:r>
              <w:rPr>
                <w:rFonts w:ascii="黑体" w:hAnsi="黑体" w:cs="黑体" w:eastAsia="黑体" w:hint="default"/>
                <w:spacing w:val="-72"/>
                <w:sz w:val="15"/>
                <w:szCs w:val="15"/>
              </w:rPr>
              <w:t> </w:t>
            </w:r>
            <w:r>
              <w:rPr>
                <w:rFonts w:ascii="黑体" w:hAnsi="黑体" w:cs="黑体" w:eastAsia="黑体" w:hint="default"/>
                <w:sz w:val="15"/>
                <w:szCs w:val="15"/>
              </w:rPr>
              <w:t>资金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4" w:right="0"/>
              <w:jc w:val="center"/>
              <w:rPr>
                <w:rFonts w:ascii="Times New Roman" w:hAnsi="Times New Roman" w:cs="Times New Roman" w:eastAsia="Times New Roman" w:hint="default"/>
                <w:sz w:val="15"/>
                <w:szCs w:val="15"/>
              </w:rPr>
            </w:pPr>
            <w:r>
              <w:rPr>
                <w:rFonts w:ascii="Times New Roman"/>
                <w:sz w:val="15"/>
              </w:rPr>
              <w:t>199,642.3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199,642.3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199,642.3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11" w:right="0"/>
              <w:jc w:val="left"/>
              <w:rPr>
                <w:rFonts w:ascii="黑体" w:hAnsi="黑体" w:cs="黑体" w:eastAsia="黑体" w:hint="default"/>
                <w:sz w:val="15"/>
                <w:szCs w:val="15"/>
              </w:rPr>
            </w:pPr>
            <w:r>
              <w:rPr>
                <w:rFonts w:ascii="黑体" w:hAnsi="黑体" w:cs="黑体" w:eastAsia="黑体" w:hint="default"/>
                <w:sz w:val="15"/>
                <w:szCs w:val="15"/>
              </w:rPr>
              <w:t>合计</w:t>
            </w: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Times New Roman" w:hAnsi="Times New Roman" w:cs="Times New Roman" w:eastAsia="Times New Roman" w:hint="default"/>
                <w:sz w:val="15"/>
                <w:szCs w:val="15"/>
              </w:rPr>
            </w:pPr>
            <w:r>
              <w:rPr>
                <w:rFonts w:ascii="Times New Roman"/>
                <w:sz w:val="15"/>
              </w:rPr>
              <w:t>3,000,000.0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3,000,000.0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2,824,870.7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1,425,928.6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2,400,451.3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3"/>
                <w:szCs w:val="13"/>
              </w:rPr>
            </w:pPr>
            <w:r>
              <w:rPr>
                <w:rFonts w:ascii="Times New Roman"/>
                <w:sz w:val="13"/>
              </w:rPr>
              <w:t>(424,419.4)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Times New Roman" w:hAnsi="Times New Roman" w:cs="Times New Roman" w:eastAsia="Times New Roman" w:hint="default"/>
                <w:sz w:val="15"/>
                <w:szCs w:val="15"/>
              </w:rPr>
            </w:pPr>
            <w:r>
              <w:rPr>
                <w:rFonts w:ascii="Times New Roman"/>
                <w:sz w:val="15"/>
              </w:rPr>
              <w:t>85%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w w:val="100"/>
                <w:sz w:val="15"/>
              </w:rPr>
              <w:t>-</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65,559.5</w:t>
            </w:r>
          </w:p>
        </w:tc>
        <w:tc>
          <w:tcPr>
            <w:tcW w:w="710" w:type="dxa"/>
            <w:tcBorders>
              <w:top w:val="single" w:sz="4" w:space="0" w:color="000000"/>
              <w:left w:val="single" w:sz="4" w:space="0" w:color="000000"/>
              <w:bottom w:val="single" w:sz="4" w:space="0" w:color="000000"/>
              <w:right w:val="single" w:sz="4" w:space="0" w:color="000000"/>
            </w:tcBorders>
          </w:tcPr>
          <w:p>
            <w:pPr/>
          </w:p>
        </w:tc>
        <w:tc>
          <w:tcPr>
            <w:tcW w:w="471"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未达到计划进度或预计收</w:t>
            </w: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pacing w:val="-4"/>
                <w:sz w:val="15"/>
                <w:szCs w:val="15"/>
              </w:rPr>
              <w:t>益的情况及原因（分具体项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目）</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截止</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日止，本公司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250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连锁店发展项目已开设</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232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家连锁店，其中</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家店面已投入募集资金，其余</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22</w:t>
            </w:r>
          </w:p>
          <w:p>
            <w:pPr>
              <w:pStyle w:val="TableParagraph"/>
              <w:spacing w:line="240" w:lineRule="auto"/>
              <w:ind w:left="103" w:right="97"/>
              <w:jc w:val="left"/>
              <w:rPr>
                <w:rFonts w:ascii="宋体" w:hAnsi="宋体" w:cs="宋体" w:eastAsia="宋体" w:hint="default"/>
                <w:sz w:val="15"/>
                <w:szCs w:val="15"/>
              </w:rPr>
            </w:pPr>
            <w:r>
              <w:rPr>
                <w:rFonts w:ascii="宋体" w:hAnsi="宋体" w:cs="宋体" w:eastAsia="宋体" w:hint="default"/>
                <w:spacing w:val="-2"/>
                <w:sz w:val="15"/>
                <w:szCs w:val="15"/>
              </w:rPr>
              <w:t>家店面正在办理投入手续。由于符合本公司连锁发展标准的优质店面的稀缺性，且商业租金价格呈上涨趋势，给本公司连</w:t>
            </w:r>
            <w:r>
              <w:rPr>
                <w:rFonts w:ascii="宋体" w:hAnsi="宋体" w:cs="宋体" w:eastAsia="宋体" w:hint="default"/>
                <w:spacing w:val="-5"/>
                <w:sz w:val="15"/>
                <w:szCs w:val="15"/>
              </w:rPr>
              <w:t> </w:t>
            </w:r>
            <w:r>
              <w:rPr>
                <w:rFonts w:ascii="宋体" w:hAnsi="宋体" w:cs="宋体" w:eastAsia="宋体" w:hint="default"/>
                <w:spacing w:val="-5"/>
                <w:sz w:val="15"/>
                <w:szCs w:val="15"/>
              </w:rPr>
            </w:r>
            <w:r>
              <w:rPr>
                <w:rFonts w:ascii="宋体" w:hAnsi="宋体" w:cs="宋体" w:eastAsia="宋体" w:hint="default"/>
                <w:spacing w:val="-2"/>
                <w:sz w:val="15"/>
                <w:szCs w:val="15"/>
              </w:rPr>
              <w:t>锁发展的店面选址工作带来了一定压力。本公司将于</w:t>
            </w:r>
            <w:r>
              <w:rPr>
                <w:rFonts w:ascii="宋体" w:hAnsi="宋体" w:cs="宋体" w:eastAsia="宋体" w:hint="default"/>
                <w:sz w:val="15"/>
                <w:szCs w:val="15"/>
              </w:rPr>
              <w:t> </w:t>
            </w:r>
            <w:r>
              <w:rPr>
                <w:rFonts w:ascii="Times New Roman" w:hAnsi="Times New Roman" w:cs="Times New Roman" w:eastAsia="Times New Roman" w:hint="default"/>
                <w:spacing w:val="-1"/>
                <w:sz w:val="15"/>
                <w:szCs w:val="15"/>
              </w:rPr>
              <w:t>2012</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7"/>
                <w:sz w:val="15"/>
                <w:szCs w:val="15"/>
              </w:rPr>
              <w:t> </w:t>
            </w:r>
            <w:r>
              <w:rPr>
                <w:rFonts w:ascii="宋体" w:hAnsi="宋体" w:cs="宋体" w:eastAsia="宋体" w:hint="default"/>
                <w:spacing w:val="-2"/>
                <w:sz w:val="15"/>
                <w:szCs w:val="15"/>
              </w:rPr>
              <w:t>年进一步加大开发力度，尽快实施完成该项目。</w:t>
            </w:r>
          </w:p>
        </w:tc>
      </w:tr>
      <w:tr>
        <w:trPr>
          <w:trHeight w:val="420"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96" w:lineRule="exact" w:before="4"/>
              <w:ind w:left="103" w:right="101"/>
              <w:jc w:val="left"/>
              <w:rPr>
                <w:rFonts w:ascii="宋体" w:hAnsi="宋体" w:cs="宋体" w:eastAsia="宋体" w:hint="default"/>
                <w:sz w:val="15"/>
                <w:szCs w:val="15"/>
              </w:rPr>
            </w:pPr>
            <w:r>
              <w:rPr>
                <w:rFonts w:ascii="宋体" w:hAnsi="宋体" w:cs="宋体" w:eastAsia="宋体" w:hint="default"/>
                <w:spacing w:val="8"/>
                <w:sz w:val="15"/>
                <w:szCs w:val="15"/>
              </w:rPr>
              <w:t>项目可行性发生重大变化</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的情况说明</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95"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99"/>
              <w:jc w:val="left"/>
              <w:rPr>
                <w:rFonts w:ascii="宋体" w:hAnsi="宋体" w:cs="宋体" w:eastAsia="宋体" w:hint="default"/>
                <w:sz w:val="15"/>
                <w:szCs w:val="15"/>
              </w:rPr>
            </w:pPr>
            <w:r>
              <w:rPr>
                <w:rFonts w:ascii="宋体" w:hAnsi="宋体" w:cs="宋体" w:eastAsia="宋体" w:hint="default"/>
                <w:spacing w:val="-4"/>
                <w:sz w:val="15"/>
                <w:szCs w:val="15"/>
              </w:rPr>
              <w:t>超募集资金的金额、用途及</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使用进展情况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经</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27"/>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00</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12"/>
                <w:sz w:val="15"/>
                <w:szCs w:val="15"/>
              </w:rPr>
              <w:t> </w:t>
            </w:r>
            <w:r>
              <w:rPr>
                <w:rFonts w:ascii="宋体" w:hAnsi="宋体" w:cs="宋体" w:eastAsia="宋体" w:hint="default"/>
                <w:w w:val="100"/>
                <w:sz w:val="15"/>
                <w:szCs w:val="15"/>
              </w:rPr>
              <w:t>年</w:t>
            </w:r>
            <w:r>
              <w:rPr>
                <w:rFonts w:ascii="宋体" w:hAnsi="宋体" w:cs="宋体" w:eastAsia="宋体" w:hint="default"/>
                <w:spacing w:val="-3"/>
                <w:w w:val="100"/>
                <w:sz w:val="15"/>
                <w:szCs w:val="15"/>
              </w:rPr>
              <w:t>第</w:t>
            </w:r>
            <w:r>
              <w:rPr>
                <w:rFonts w:ascii="宋体" w:hAnsi="宋体" w:cs="宋体" w:eastAsia="宋体" w:hint="default"/>
                <w:w w:val="100"/>
                <w:sz w:val="15"/>
                <w:szCs w:val="15"/>
              </w:rPr>
              <w:t>二</w:t>
            </w:r>
            <w:r>
              <w:rPr>
                <w:rFonts w:ascii="宋体" w:hAnsi="宋体" w:cs="宋体" w:eastAsia="宋体" w:hint="default"/>
                <w:spacing w:val="-3"/>
                <w:w w:val="100"/>
                <w:sz w:val="15"/>
                <w:szCs w:val="15"/>
              </w:rPr>
              <w:t>次</w:t>
            </w:r>
            <w:r>
              <w:rPr>
                <w:rFonts w:ascii="宋体" w:hAnsi="宋体" w:cs="宋体" w:eastAsia="宋体" w:hint="default"/>
                <w:w w:val="100"/>
                <w:sz w:val="15"/>
                <w:szCs w:val="15"/>
              </w:rPr>
              <w:t>临</w:t>
            </w:r>
            <w:r>
              <w:rPr>
                <w:rFonts w:ascii="宋体" w:hAnsi="宋体" w:cs="宋体" w:eastAsia="宋体" w:hint="default"/>
                <w:spacing w:val="-3"/>
                <w:w w:val="100"/>
                <w:sz w:val="15"/>
                <w:szCs w:val="15"/>
              </w:rPr>
              <w:t>时</w:t>
            </w:r>
            <w:r>
              <w:rPr>
                <w:rFonts w:ascii="宋体" w:hAnsi="宋体" w:cs="宋体" w:eastAsia="宋体" w:hint="default"/>
                <w:w w:val="100"/>
                <w:sz w:val="15"/>
                <w:szCs w:val="15"/>
              </w:rPr>
              <w:t>股</w:t>
            </w:r>
            <w:r>
              <w:rPr>
                <w:rFonts w:ascii="宋体" w:hAnsi="宋体" w:cs="宋体" w:eastAsia="宋体" w:hint="default"/>
                <w:spacing w:val="-3"/>
                <w:w w:val="100"/>
                <w:sz w:val="15"/>
                <w:szCs w:val="15"/>
              </w:rPr>
              <w:t>东</w:t>
            </w:r>
            <w:r>
              <w:rPr>
                <w:rFonts w:ascii="宋体" w:hAnsi="宋体" w:cs="宋体" w:eastAsia="宋体" w:hint="default"/>
                <w:w w:val="100"/>
                <w:sz w:val="15"/>
                <w:szCs w:val="15"/>
              </w:rPr>
              <w:t>大</w:t>
            </w:r>
            <w:r>
              <w:rPr>
                <w:rFonts w:ascii="宋体" w:hAnsi="宋体" w:cs="宋体" w:eastAsia="宋体" w:hint="default"/>
                <w:spacing w:val="-3"/>
                <w:w w:val="100"/>
                <w:sz w:val="15"/>
                <w:szCs w:val="15"/>
              </w:rPr>
              <w:t>会</w:t>
            </w:r>
            <w:r>
              <w:rPr>
                <w:rFonts w:ascii="宋体" w:hAnsi="宋体" w:cs="宋体" w:eastAsia="宋体" w:hint="default"/>
                <w:w w:val="100"/>
                <w:sz w:val="15"/>
                <w:szCs w:val="15"/>
              </w:rPr>
              <w:t>审议</w:t>
            </w:r>
            <w:r>
              <w:rPr>
                <w:rFonts w:ascii="宋体" w:hAnsi="宋体" w:cs="宋体" w:eastAsia="宋体" w:hint="default"/>
                <w:spacing w:val="-3"/>
                <w:w w:val="100"/>
                <w:sz w:val="15"/>
                <w:szCs w:val="15"/>
              </w:rPr>
              <w:t>通</w:t>
            </w:r>
            <w:r>
              <w:rPr>
                <w:rFonts w:ascii="宋体" w:hAnsi="宋体" w:cs="宋体" w:eastAsia="宋体" w:hint="default"/>
                <w:w w:val="100"/>
                <w:sz w:val="15"/>
                <w:szCs w:val="15"/>
              </w:rPr>
              <w:t>过</w:t>
            </w:r>
            <w:r>
              <w:rPr>
                <w:rFonts w:ascii="宋体" w:hAnsi="宋体" w:cs="宋体" w:eastAsia="宋体" w:hint="default"/>
                <w:spacing w:val="-3"/>
                <w:w w:val="100"/>
                <w:sz w:val="15"/>
                <w:szCs w:val="15"/>
              </w:rPr>
              <w:t>的</w:t>
            </w:r>
            <w:r>
              <w:rPr>
                <w:rFonts w:ascii="宋体" w:hAnsi="宋体" w:cs="宋体" w:eastAsia="宋体" w:hint="default"/>
                <w:w w:val="100"/>
                <w:sz w:val="15"/>
                <w:szCs w:val="15"/>
              </w:rPr>
              <w:t>《</w:t>
            </w:r>
            <w:r>
              <w:rPr>
                <w:rFonts w:ascii="宋体" w:hAnsi="宋体" w:cs="宋体" w:eastAsia="宋体" w:hint="default"/>
                <w:spacing w:val="-3"/>
                <w:w w:val="100"/>
                <w:sz w:val="15"/>
                <w:szCs w:val="15"/>
              </w:rPr>
              <w:t>关</w:t>
            </w:r>
            <w:r>
              <w:rPr>
                <w:rFonts w:ascii="宋体" w:hAnsi="宋体" w:cs="宋体" w:eastAsia="宋体" w:hint="default"/>
                <w:w w:val="100"/>
                <w:sz w:val="15"/>
                <w:szCs w:val="15"/>
              </w:rPr>
              <w:t>于</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27"/>
                <w:sz w:val="15"/>
                <w:szCs w:val="15"/>
              </w:rPr>
              <w:t> </w:t>
            </w:r>
            <w:r>
              <w:rPr>
                <w:rFonts w:ascii="Times New Roman" w:hAnsi="Times New Roman" w:cs="Times New Roman" w:eastAsia="Times New Roman" w:hint="default"/>
                <w:spacing w:val="-2"/>
                <w:w w:val="100"/>
                <w:sz w:val="15"/>
                <w:szCs w:val="15"/>
              </w:rPr>
              <w:t>200</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14"/>
                <w:sz w:val="15"/>
                <w:szCs w:val="15"/>
              </w:rPr>
              <w:t> </w:t>
            </w:r>
            <w:r>
              <w:rPr>
                <w:rFonts w:ascii="宋体" w:hAnsi="宋体" w:cs="宋体" w:eastAsia="宋体" w:hint="default"/>
                <w:spacing w:val="-3"/>
                <w:w w:val="100"/>
                <w:sz w:val="15"/>
                <w:szCs w:val="15"/>
              </w:rPr>
              <w:t>年</w:t>
            </w:r>
            <w:r>
              <w:rPr>
                <w:rFonts w:ascii="宋体" w:hAnsi="宋体" w:cs="宋体" w:eastAsia="宋体" w:hint="default"/>
                <w:w w:val="100"/>
                <w:sz w:val="15"/>
                <w:szCs w:val="15"/>
              </w:rPr>
              <w:t>非</w:t>
            </w:r>
            <w:r>
              <w:rPr>
                <w:rFonts w:ascii="宋体" w:hAnsi="宋体" w:cs="宋体" w:eastAsia="宋体" w:hint="default"/>
                <w:spacing w:val="-3"/>
                <w:w w:val="100"/>
                <w:sz w:val="15"/>
                <w:szCs w:val="15"/>
              </w:rPr>
              <w:t>公</w:t>
            </w:r>
            <w:r>
              <w:rPr>
                <w:rFonts w:ascii="宋体" w:hAnsi="宋体" w:cs="宋体" w:eastAsia="宋体" w:hint="default"/>
                <w:w w:val="100"/>
                <w:sz w:val="15"/>
                <w:szCs w:val="15"/>
              </w:rPr>
              <w:t>开发</w:t>
            </w:r>
            <w:r>
              <w:rPr>
                <w:rFonts w:ascii="宋体" w:hAnsi="宋体" w:cs="宋体" w:eastAsia="宋体" w:hint="default"/>
                <w:spacing w:val="-3"/>
                <w:w w:val="100"/>
                <w:sz w:val="15"/>
                <w:szCs w:val="15"/>
              </w:rPr>
              <w:t>行</w:t>
            </w:r>
            <w:r>
              <w:rPr>
                <w:rFonts w:ascii="宋体" w:hAnsi="宋体" w:cs="宋体" w:eastAsia="宋体" w:hint="default"/>
                <w:w w:val="100"/>
                <w:sz w:val="15"/>
                <w:szCs w:val="15"/>
              </w:rPr>
              <w:t>股</w:t>
            </w:r>
            <w:r>
              <w:rPr>
                <w:rFonts w:ascii="宋体" w:hAnsi="宋体" w:cs="宋体" w:eastAsia="宋体" w:hint="default"/>
                <w:spacing w:val="-3"/>
                <w:w w:val="100"/>
                <w:sz w:val="15"/>
                <w:szCs w:val="15"/>
              </w:rPr>
              <w:t>票</w:t>
            </w:r>
            <w:r>
              <w:rPr>
                <w:rFonts w:ascii="宋体" w:hAnsi="宋体" w:cs="宋体" w:eastAsia="宋体" w:hint="default"/>
                <w:w w:val="100"/>
                <w:sz w:val="15"/>
                <w:szCs w:val="15"/>
              </w:rPr>
              <w:t>方</w:t>
            </w:r>
            <w:r>
              <w:rPr>
                <w:rFonts w:ascii="宋体" w:hAnsi="宋体" w:cs="宋体" w:eastAsia="宋体" w:hint="default"/>
                <w:spacing w:val="-3"/>
                <w:w w:val="100"/>
                <w:sz w:val="15"/>
                <w:szCs w:val="15"/>
              </w:rPr>
              <w:t>案</w:t>
            </w:r>
            <w:r>
              <w:rPr>
                <w:rFonts w:ascii="宋体" w:hAnsi="宋体" w:cs="宋体" w:eastAsia="宋体" w:hint="default"/>
                <w:w w:val="100"/>
                <w:sz w:val="15"/>
                <w:szCs w:val="15"/>
              </w:rPr>
              <w:t>的</w:t>
            </w:r>
            <w:r>
              <w:rPr>
                <w:rFonts w:ascii="宋体" w:hAnsi="宋体" w:cs="宋体" w:eastAsia="宋体" w:hint="default"/>
                <w:spacing w:val="-3"/>
                <w:w w:val="100"/>
                <w:sz w:val="15"/>
                <w:szCs w:val="15"/>
              </w:rPr>
              <w:t>议案</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次</w:t>
            </w:r>
            <w:r>
              <w:rPr>
                <w:rFonts w:ascii="宋体" w:hAnsi="宋体" w:cs="宋体" w:eastAsia="宋体" w:hint="default"/>
                <w:w w:val="100"/>
                <w:sz w:val="15"/>
                <w:szCs w:val="15"/>
              </w:rPr>
              <w:t>非</w:t>
            </w:r>
            <w:r>
              <w:rPr>
                <w:rFonts w:ascii="宋体" w:hAnsi="宋体" w:cs="宋体" w:eastAsia="宋体" w:hint="default"/>
                <w:spacing w:val="-3"/>
                <w:w w:val="100"/>
                <w:sz w:val="15"/>
                <w:szCs w:val="15"/>
              </w:rPr>
              <w:t>公</w:t>
            </w:r>
            <w:r>
              <w:rPr>
                <w:rFonts w:ascii="宋体" w:hAnsi="宋体" w:cs="宋体" w:eastAsia="宋体" w:hint="default"/>
                <w:w w:val="100"/>
                <w:sz w:val="15"/>
                <w:szCs w:val="15"/>
              </w:rPr>
              <w:t>开发</w:t>
            </w:r>
            <w:r>
              <w:rPr>
                <w:rFonts w:ascii="宋体" w:hAnsi="宋体" w:cs="宋体" w:eastAsia="宋体" w:hint="default"/>
                <w:spacing w:val="-3"/>
                <w:w w:val="100"/>
                <w:sz w:val="15"/>
                <w:szCs w:val="15"/>
              </w:rPr>
              <w:t>行</w:t>
            </w:r>
            <w:r>
              <w:rPr>
                <w:rFonts w:ascii="宋体" w:hAnsi="宋体" w:cs="宋体" w:eastAsia="宋体" w:hint="default"/>
                <w:w w:val="100"/>
                <w:sz w:val="15"/>
                <w:szCs w:val="15"/>
              </w:rPr>
              <w:t>股</w:t>
            </w:r>
            <w:r>
              <w:rPr>
                <w:rFonts w:ascii="宋体" w:hAnsi="宋体" w:cs="宋体" w:eastAsia="宋体" w:hint="default"/>
                <w:spacing w:val="-3"/>
                <w:w w:val="100"/>
                <w:sz w:val="15"/>
                <w:szCs w:val="15"/>
              </w:rPr>
              <w:t>票</w:t>
            </w:r>
            <w:r>
              <w:rPr>
                <w:rFonts w:ascii="宋体" w:hAnsi="宋体" w:cs="宋体" w:eastAsia="宋体" w:hint="default"/>
                <w:w w:val="100"/>
                <w:sz w:val="15"/>
                <w:szCs w:val="15"/>
              </w:rPr>
              <w:t>实</w:t>
            </w:r>
          </w:p>
          <w:p>
            <w:pPr>
              <w:pStyle w:val="TableParagraph"/>
              <w:spacing w:line="194" w:lineRule="exact" w:before="14"/>
              <w:ind w:left="103" w:right="101"/>
              <w:jc w:val="left"/>
              <w:rPr>
                <w:rFonts w:ascii="宋体" w:hAnsi="宋体" w:cs="宋体" w:eastAsia="宋体" w:hint="default"/>
                <w:sz w:val="15"/>
                <w:szCs w:val="15"/>
              </w:rPr>
            </w:pPr>
            <w:r>
              <w:rPr>
                <w:rFonts w:ascii="宋体" w:hAnsi="宋体" w:cs="宋体" w:eastAsia="宋体" w:hint="default"/>
                <w:spacing w:val="-2"/>
                <w:sz w:val="15"/>
                <w:szCs w:val="15"/>
              </w:rPr>
              <w:t>际募集资金超过募集资金项目计划使用募集资金投入的部分，将用于补充公司营运资金，不足部分将由公司自筹解决。公</w:t>
            </w:r>
            <w:r>
              <w:rPr>
                <w:rFonts w:ascii="宋体" w:hAnsi="宋体" w:cs="宋体" w:eastAsia="宋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z w:val="15"/>
                <w:szCs w:val="15"/>
              </w:rPr>
              <w:t>司</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年非公开发行募集资金超过项目计划使用募集资金</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199,642,295.45</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元。已于</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年用于补充公司的营运资金。</w:t>
            </w:r>
          </w:p>
        </w:tc>
      </w:tr>
      <w:tr>
        <w:trPr>
          <w:trHeight w:val="401"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募集资金投资项目实施地</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点变更情况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详见下文第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点内容</w:t>
            </w:r>
          </w:p>
        </w:tc>
      </w:tr>
      <w:tr>
        <w:trPr>
          <w:trHeight w:val="401"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募集资金投资项目实施方</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式调整情况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398"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募集资金投资项目先期投</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入及置换情况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用闲置募集资金暂时补充</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流动资金情况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401"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项目实施出现募集资金结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余的金额及原因</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93"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101"/>
              <w:jc w:val="left"/>
              <w:rPr>
                <w:rFonts w:ascii="宋体" w:hAnsi="宋体" w:cs="宋体" w:eastAsia="宋体" w:hint="default"/>
                <w:sz w:val="15"/>
                <w:szCs w:val="15"/>
              </w:rPr>
            </w:pPr>
            <w:r>
              <w:rPr>
                <w:rFonts w:ascii="宋体" w:hAnsi="宋体" w:cs="宋体" w:eastAsia="宋体" w:hint="default"/>
                <w:spacing w:val="8"/>
                <w:sz w:val="15"/>
                <w:szCs w:val="15"/>
              </w:rPr>
              <w:t>尚未使用的募集资金用途</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z w:val="15"/>
                <w:szCs w:val="15"/>
              </w:rPr>
              <w:t>及去向</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公司尚未使用的募集资金将主要用于连锁店发展项目及各物流中心项目的建设。公司将尚未使用的募集资金存放于公司专</w:t>
            </w:r>
          </w:p>
          <w:p>
            <w:pPr>
              <w:pStyle w:val="TableParagraph"/>
              <w:spacing w:line="194" w:lineRule="exact" w:before="19"/>
              <w:ind w:left="103" w:right="72"/>
              <w:jc w:val="left"/>
              <w:rPr>
                <w:rFonts w:ascii="宋体" w:hAnsi="宋体" w:cs="宋体" w:eastAsia="宋体" w:hint="default"/>
                <w:sz w:val="15"/>
                <w:szCs w:val="15"/>
              </w:rPr>
            </w:pPr>
            <w:r>
              <w:rPr>
                <w:rFonts w:ascii="宋体" w:hAnsi="宋体" w:cs="宋体" w:eastAsia="宋体" w:hint="default"/>
                <w:sz w:val="15"/>
                <w:szCs w:val="15"/>
              </w:rPr>
              <w:t>户中，其中为提高资金使用效率，将闲置的募集资金</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亿元以定期存单的方式存放，</w:t>
            </w: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万元以通知存款的方式存放，</w:t>
            </w:r>
            <w:r>
              <w:rPr>
                <w:rFonts w:ascii="宋体" w:hAnsi="宋体" w:cs="宋体" w:eastAsia="宋体" w:hint="default"/>
                <w:w w:val="100"/>
                <w:sz w:val="15"/>
                <w:szCs w:val="15"/>
              </w:rPr>
              <w:t> </w:t>
            </w:r>
            <w:r>
              <w:rPr>
                <w:rFonts w:ascii="宋体" w:hAnsi="宋体" w:cs="宋体" w:eastAsia="宋体" w:hint="default"/>
                <w:sz w:val="15"/>
                <w:szCs w:val="15"/>
              </w:rPr>
              <w:t>不存在存单抵押、质押及其他所有权、使用权受到限制的情况。</w:t>
            </w:r>
          </w:p>
        </w:tc>
      </w:tr>
      <w:tr>
        <w:trPr>
          <w:trHeight w:val="401" w:hRule="exact"/>
        </w:trPr>
        <w:tc>
          <w:tcPr>
            <w:tcW w:w="1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募集资金使用及披露中存</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在的问题或其他情况</w:t>
            </w:r>
          </w:p>
        </w:tc>
        <w:tc>
          <w:tcPr>
            <w:tcW w:w="81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after="0" w:line="240" w:lineRule="auto"/>
        <w:jc w:val="left"/>
        <w:rPr>
          <w:rFonts w:ascii="宋体" w:hAnsi="宋体" w:cs="宋体" w:eastAsia="宋体" w:hint="default"/>
          <w:sz w:val="15"/>
          <w:szCs w:val="15"/>
        </w:rPr>
        <w:sectPr>
          <w:footerReference w:type="default" r:id="rId49"/>
          <w:pgSz w:w="11910" w:h="16840"/>
          <w:pgMar w:footer="706" w:header="748" w:top="980" w:bottom="900" w:left="780" w:right="0"/>
          <w:pgNumType w:start="67"/>
        </w:sectPr>
      </w:pPr>
    </w:p>
    <w:p>
      <w:pPr>
        <w:spacing w:line="240" w:lineRule="auto" w:before="4"/>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240" type="#_x0000_t75" stroked="false">
            <v:imagedata r:id="rId21" o:title=""/>
          </v:shape>
        </w:pict>
      </w:r>
    </w:p>
    <w:p>
      <w:pPr>
        <w:spacing w:before="36"/>
        <w:ind w:left="560" w:right="131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：扣除发行费用后，公司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年非公开发行募集资金总额为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2,999,999,995.45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元，另尚余</w:t>
      </w:r>
    </w:p>
    <w:p>
      <w:pPr>
        <w:spacing w:before="91"/>
        <w:ind w:left="14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万元的发行费用未支付。</w:t>
      </w:r>
    </w:p>
    <w:p>
      <w:pPr>
        <w:spacing w:line="316" w:lineRule="auto" w:before="91"/>
        <w:ind w:left="140" w:right="14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家连锁店项目尚未全部实施完毕，且连锁店均在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年及以后开设，经营没有达到</w:t>
      </w:r>
      <w:r>
        <w:rPr>
          <w:rFonts w:ascii="宋体" w:hAnsi="宋体" w:cs="宋体" w:eastAsia="宋体" w:hint="default"/>
          <w:w w:val="100"/>
          <w:sz w:val="21"/>
          <w:szCs w:val="21"/>
        </w:rPr>
        <w:t> </w:t>
      </w:r>
      <w:r>
        <w:rPr>
          <w:rFonts w:ascii="宋体" w:hAnsi="宋体" w:cs="宋体" w:eastAsia="宋体" w:hint="default"/>
          <w:spacing w:val="-2"/>
          <w:sz w:val="21"/>
          <w:szCs w:val="21"/>
        </w:rPr>
        <w:t>非公开发行上市公告书判定年限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正常年</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开业后第三年</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。随着项目实施的推进，已开设连锁店进入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成熟稳定期，经营效益逐步提高，该项目效益情况将会进一步体现。</w:t>
      </w:r>
    </w:p>
    <w:p>
      <w:pPr>
        <w:spacing w:line="326" w:lineRule="auto" w:before="39"/>
        <w:ind w:left="140" w:right="1433"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
          <w:sz w:val="21"/>
          <w:szCs w:val="21"/>
        </w:rPr>
        <w:t> </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：物流中心的建成后有助于本公司全国各地区的物流整合，在有效保障货源的前提下加快</w:t>
      </w:r>
      <w:r>
        <w:rPr>
          <w:rFonts w:ascii="宋体" w:hAnsi="宋体" w:cs="宋体" w:eastAsia="宋体" w:hint="default"/>
          <w:w w:val="100"/>
          <w:sz w:val="21"/>
          <w:szCs w:val="21"/>
        </w:rPr>
        <w:t> </w:t>
      </w:r>
      <w:r>
        <w:rPr>
          <w:rFonts w:ascii="宋体" w:hAnsi="宋体" w:cs="宋体" w:eastAsia="宋体" w:hint="default"/>
          <w:spacing w:val="-2"/>
          <w:sz w:val="21"/>
          <w:szCs w:val="21"/>
        </w:rPr>
        <w:t>库存周转率，有效节约人力成本和租赁费用，提高作业效率，进一步提升本公司的配送服务质量和</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品牌形象。</w:t>
      </w:r>
    </w:p>
    <w:p>
      <w:pPr>
        <w:spacing w:line="328" w:lineRule="auto" w:before="31"/>
        <w:ind w:left="140" w:right="14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2"/>
          <w:sz w:val="21"/>
          <w:szCs w:val="21"/>
        </w:rPr>
        <w:t> </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：补充流动资金项目募集资金将主要用于扩大公司定制包销、</w:t>
      </w:r>
      <w:r>
        <w:rPr>
          <w:rFonts w:ascii="Times New Roman" w:hAnsi="Times New Roman" w:cs="Times New Roman" w:eastAsia="Times New Roman" w:hint="default"/>
          <w:spacing w:val="-4"/>
          <w:sz w:val="21"/>
          <w:szCs w:val="21"/>
        </w:rPr>
        <w:t>OEM</w:t>
      </w:r>
      <w:r>
        <w:rPr>
          <w:rFonts w:ascii="宋体" w:hAnsi="宋体" w:cs="宋体" w:eastAsia="宋体" w:hint="default"/>
          <w:spacing w:val="-4"/>
          <w:sz w:val="21"/>
          <w:szCs w:val="21"/>
        </w:rPr>
        <w:t>、差异化产品比例，能</w:t>
      </w:r>
      <w:r>
        <w:rPr>
          <w:rFonts w:ascii="宋体" w:hAnsi="宋体" w:cs="宋体" w:eastAsia="宋体" w:hint="default"/>
          <w:w w:val="100"/>
          <w:sz w:val="21"/>
          <w:szCs w:val="21"/>
        </w:rPr>
        <w:t> </w:t>
      </w:r>
      <w:r>
        <w:rPr>
          <w:rFonts w:ascii="宋体" w:hAnsi="宋体" w:cs="宋体" w:eastAsia="宋体" w:hint="default"/>
          <w:spacing w:val="-2"/>
          <w:sz w:val="21"/>
          <w:szCs w:val="21"/>
        </w:rPr>
        <w:t>够有效加强公司单品管理能力，从而有助于毛利率水平的提升；同时募集资金还将用于对供应商淡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季生产和旺季备货的资金支持，进一步提升与供应商的合作关系，优化供应链管理，实现双方合作</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共赢。</w:t>
      </w:r>
    </w:p>
    <w:p>
      <w:pPr>
        <w:pStyle w:val="BodyText"/>
        <w:spacing w:line="240" w:lineRule="auto" w:before="20"/>
        <w:ind w:left="620" w:right="1314"/>
        <w:jc w:val="left"/>
      </w:pPr>
      <w:r>
        <w:rPr>
          <w:rFonts w:ascii="Times New Roman" w:hAnsi="Times New Roman" w:cs="Times New Roman" w:eastAsia="Times New Roman" w:hint="default"/>
        </w:rPr>
        <w:t>2</w:t>
      </w:r>
      <w:r>
        <w:rPr/>
        <w:t>、募集资金管理制度</w:t>
      </w:r>
    </w:p>
    <w:p>
      <w:pPr>
        <w:pStyle w:val="BodyText"/>
        <w:spacing w:line="314" w:lineRule="auto" w:before="104"/>
        <w:ind w:right="1439" w:firstLine="54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8"/>
        </w:rPr>
        <w:t>日，公司制订了《募集资金管理办法》，并经公司第二届董事会第</w:t>
      </w:r>
      <w:r>
        <w:rPr/>
        <w:t> 四次会议通过。</w:t>
      </w:r>
    </w:p>
    <w:p>
      <w:pPr>
        <w:pStyle w:val="BodyText"/>
        <w:spacing w:line="324" w:lineRule="auto" w:before="48"/>
        <w:ind w:right="1434" w:firstLine="540"/>
        <w:jc w:val="both"/>
      </w:pPr>
      <w:r>
        <w:rPr>
          <w:spacing w:val="2"/>
        </w:rPr>
        <w:t>根据《中小企业板上市公司募集资金管理细则》等相关法律法规的规定，公司对</w:t>
      </w:r>
      <w:r>
        <w:rPr/>
        <w:t> 募集资金管理制度予以修订。</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日，经公司第四届董事会第二十三次会议 </w:t>
      </w:r>
      <w:r>
        <w:rPr>
          <w:spacing w:val="-6"/>
        </w:rPr>
        <w:t>审议，通过了修订后的《募集资金管理制度》。</w:t>
      </w:r>
    </w:p>
    <w:p>
      <w:pPr>
        <w:pStyle w:val="BodyText"/>
        <w:spacing w:line="240" w:lineRule="auto" w:before="38"/>
        <w:ind w:left="620" w:right="1314"/>
        <w:jc w:val="left"/>
      </w:pPr>
      <w:r>
        <w:rPr>
          <w:rFonts w:ascii="Times New Roman" w:hAnsi="Times New Roman" w:cs="Times New Roman" w:eastAsia="Times New Roman" w:hint="default"/>
        </w:rPr>
        <w:t>3</w:t>
      </w:r>
      <w:r>
        <w:rPr/>
        <w:t>、募集资金的管理及存放情况</w:t>
      </w:r>
    </w:p>
    <w:p>
      <w:pPr>
        <w:pStyle w:val="BodyText"/>
        <w:spacing w:line="314" w:lineRule="auto" w:before="104"/>
        <w:ind w:left="620" w:right="1314"/>
        <w:jc w:val="left"/>
      </w:pPr>
      <w:r>
        <w:rPr/>
        <w:t>（</w:t>
      </w:r>
      <w:r>
        <w:rPr>
          <w:rFonts w:ascii="Times New Roman" w:hAnsi="Times New Roman" w:cs="Times New Roman" w:eastAsia="Times New Roman" w:hint="default"/>
        </w:rPr>
        <w:t>1</w:t>
      </w:r>
      <w:r>
        <w:rPr/>
        <w:t>）募集资金管理情况 公司募集资金实行专户存储制度，于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月，公司、保荐人分别与中国银行股</w:t>
      </w:r>
    </w:p>
    <w:p>
      <w:pPr>
        <w:pStyle w:val="BodyText"/>
        <w:spacing w:line="240" w:lineRule="auto" w:before="22"/>
        <w:ind w:right="0"/>
        <w:jc w:val="both"/>
      </w:pPr>
      <w:r>
        <w:rPr>
          <w:spacing w:val="-3"/>
        </w:rPr>
        <w:t>份有限公司南京鼓楼支行、中国光大银行南京分行、华夏银行股份有限公司南京营业部</w:t>
      </w:r>
    </w:p>
    <w:p>
      <w:pPr>
        <w:pStyle w:val="BodyText"/>
        <w:spacing w:line="240" w:lineRule="auto" w:before="122"/>
        <w:ind w:right="0"/>
        <w:jc w:val="both"/>
      </w:pPr>
      <w:r>
        <w:rPr/>
        <w:t>（以下简称“商业银行</w:t>
      </w:r>
      <w:r>
        <w:rPr>
          <w:spacing w:val="-120"/>
        </w:rPr>
        <w:t>”</w:t>
      </w:r>
      <w:r>
        <w:rPr/>
        <w:t>）签订《募集资金三方监管协议</w:t>
      </w:r>
      <w:r>
        <w:rPr>
          <w:spacing w:val="-120"/>
        </w:rPr>
        <w:t>》</w:t>
      </w:r>
      <w:r>
        <w:rPr/>
        <w:t>；</w:t>
      </w:r>
    </w:p>
    <w:p>
      <w:pPr>
        <w:pStyle w:val="BodyText"/>
        <w:spacing w:line="240" w:lineRule="auto" w:before="125"/>
        <w:ind w:left="620" w:right="1314"/>
        <w:jc w:val="left"/>
      </w:pPr>
      <w:r>
        <w:rPr/>
        <w:t>公司</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月向特定投资者非公开发行股票募集资金到位后，公司、保荐机构</w:t>
      </w:r>
    </w:p>
    <w:p>
      <w:pPr>
        <w:pStyle w:val="BodyText"/>
        <w:spacing w:line="312" w:lineRule="auto" w:before="87"/>
        <w:ind w:right="1438"/>
        <w:jc w:val="both"/>
      </w:pPr>
      <w:r>
        <w:rPr/>
        <w:t>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月分别与华夏银行股份有限公司南京营业部、中国光大银行南京分行、中 </w:t>
      </w:r>
      <w:r>
        <w:rPr>
          <w:spacing w:val="-3"/>
        </w:rPr>
        <w:t>国民生银行股份有限公司南京新街口支行、深圳发展银行股份有限公司南京汉中路支行</w:t>
      </w:r>
      <w:r>
        <w:rPr>
          <w:spacing w:val="-98"/>
        </w:rPr>
        <w:t> </w:t>
      </w:r>
      <w:r>
        <w:rPr>
          <w:spacing w:val="-98"/>
        </w:rPr>
      </w:r>
      <w:r>
        <w:rPr>
          <w:spacing w:val="-5"/>
        </w:rPr>
        <w:t>就此次募集资金的存放签订了《募集资金三方监管协议》；</w:t>
      </w:r>
    </w:p>
    <w:p>
      <w:pPr>
        <w:pStyle w:val="BodyText"/>
        <w:spacing w:line="309" w:lineRule="auto" w:before="36"/>
        <w:ind w:right="1438" w:firstLine="48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月，公司、保荐机构分别与交通银行江苏省分行、中国银行南京鼓楼支 </w:t>
      </w:r>
      <w:r>
        <w:rPr>
          <w:spacing w:val="-3"/>
        </w:rPr>
        <w:t>行、中国民生银行南京新街口支行、光大银行南京分行营业部、深圳发展银行南京汉中</w:t>
      </w:r>
      <w:r>
        <w:rPr>
          <w:spacing w:val="-102"/>
        </w:rPr>
        <w:t> </w:t>
      </w:r>
      <w:r>
        <w:rPr>
          <w:spacing w:val="-102"/>
        </w:rPr>
      </w:r>
      <w:r>
        <w:rPr>
          <w:spacing w:val="-7"/>
        </w:rPr>
        <w:t>路支行、华夏银行南京分行营业部就</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spacing w:val="-6"/>
        </w:rPr>
        <w:t>年非公开发行股票募集资金的存放签订了《募</w:t>
      </w:r>
      <w:r>
        <w:rPr/>
        <w:t> </w:t>
      </w:r>
      <w:r>
        <w:rPr>
          <w:spacing w:val="-11"/>
        </w:rPr>
        <w:t>集资金三方监管协议》。</w:t>
      </w:r>
    </w:p>
    <w:p>
      <w:pPr>
        <w:pStyle w:val="BodyText"/>
        <w:spacing w:line="321" w:lineRule="auto" w:before="39"/>
        <w:ind w:right="1437" w:firstLine="480"/>
        <w:jc w:val="both"/>
      </w:pPr>
      <w:r>
        <w:rPr>
          <w:spacing w:val="-3"/>
        </w:rPr>
        <w:t>上述协议与三方监管协议范本不存在重大差异，本公司在使用募集资金时已经遵照</w:t>
      </w:r>
      <w:r>
        <w:rPr/>
        <w:t> 履行。</w:t>
      </w:r>
    </w:p>
    <w:p>
      <w:pPr>
        <w:pStyle w:val="BodyText"/>
        <w:spacing w:line="333" w:lineRule="auto" w:before="24"/>
        <w:ind w:right="1444" w:firstLine="540"/>
        <w:jc w:val="both"/>
      </w:pPr>
      <w:r>
        <w:rPr>
          <w:spacing w:val="2"/>
        </w:rPr>
        <w:t>在使用募集资金时，公司按照《募集资金管理制度》中的相关规定，严格履行了</w:t>
      </w:r>
      <w:r>
        <w:rPr/>
        <w:t> 申请和审批手续。</w:t>
      </w:r>
    </w:p>
    <w:p>
      <w:pPr>
        <w:spacing w:after="0" w:line="333" w:lineRule="auto"/>
        <w:jc w:val="both"/>
        <w:sectPr>
          <w:pgSz w:w="11910" w:h="16840"/>
          <w:pgMar w:header="748" w:footer="706" w:top="980" w:bottom="900" w:left="1300" w:right="0"/>
        </w:sectPr>
      </w:pPr>
    </w:p>
    <w:p>
      <w:pPr>
        <w:spacing w:line="240" w:lineRule="auto" w:before="6"/>
        <w:rPr>
          <w:rFonts w:ascii="宋体" w:hAnsi="宋体" w:cs="宋体" w:eastAsia="宋体" w:hint="default"/>
          <w:sz w:val="29"/>
          <w:szCs w:val="29"/>
        </w:rPr>
      </w:pPr>
    </w:p>
    <w:p>
      <w:pPr>
        <w:tabs>
          <w:tab w:pos="7321" w:val="left" w:leader="none"/>
        </w:tabs>
        <w:spacing w:before="26"/>
        <w:ind w:left="720" w:right="1422"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2</w:t>
      </w:r>
      <w:r>
        <w:rPr>
          <w:rFonts w:ascii="宋体" w:hAnsi="宋体" w:cs="宋体" w:eastAsia="宋体" w:hint="default"/>
          <w:spacing w:val="-1"/>
          <w:sz w:val="24"/>
          <w:szCs w:val="24"/>
        </w:rPr>
        <w:t>）募集资金存放情况</w:t>
        <w:tab/>
      </w:r>
      <w:r>
        <w:rPr>
          <w:rFonts w:ascii="宋体" w:hAnsi="宋体" w:cs="宋体" w:eastAsia="宋体" w:hint="default"/>
          <w:spacing w:val="-1"/>
          <w:sz w:val="21"/>
          <w:szCs w:val="21"/>
        </w:rPr>
        <w:t>（单位：千元）</w:t>
      </w:r>
    </w:p>
    <w:p>
      <w:pPr>
        <w:pStyle w:val="BodyText"/>
        <w:spacing w:line="240" w:lineRule="auto"/>
        <w:ind w:left="720" w:right="1328"/>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日，公司（母公司）有</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个募集资金专户和</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个定期存款账</w:t>
      </w:r>
    </w:p>
    <w:p>
      <w:pPr>
        <w:pStyle w:val="BodyText"/>
        <w:spacing w:line="240" w:lineRule="auto"/>
        <w:ind w:left="240" w:right="3386"/>
        <w:jc w:val="left"/>
      </w:pPr>
      <w:r>
        <w:rPr/>
        <w:t>户</w:t>
      </w:r>
      <w:r>
        <w:rPr>
          <w:sz w:val="22"/>
          <w:szCs w:val="22"/>
        </w:rPr>
        <w:t>以</w:t>
      </w:r>
      <w:r>
        <w:rPr/>
        <w:t>及</w:t>
      </w:r>
      <w:r>
        <w:rPr>
          <w:spacing w:val="-61"/>
        </w:rPr>
        <w:t> </w:t>
      </w:r>
      <w:r>
        <w:rPr>
          <w:rFonts w:ascii="Times New Roman" w:hAnsi="Times New Roman" w:cs="Times New Roman" w:eastAsia="Times New Roman" w:hint="default"/>
        </w:rPr>
        <w:t>2 </w:t>
      </w:r>
      <w:r>
        <w:rPr/>
        <w:t>个通知存款账户，具体情况如下：</w:t>
      </w:r>
    </w:p>
    <w:p>
      <w:pPr>
        <w:spacing w:line="240" w:lineRule="auto" w:before="6"/>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358"/>
        <w:gridCol w:w="2542"/>
        <w:gridCol w:w="2972"/>
        <w:gridCol w:w="1116"/>
        <w:gridCol w:w="1073"/>
        <w:gridCol w:w="1186"/>
      </w:tblGrid>
      <w:tr>
        <w:trPr>
          <w:trHeight w:val="322" w:hRule="exact"/>
        </w:trPr>
        <w:tc>
          <w:tcPr>
            <w:tcW w:w="2900" w:type="dxa"/>
            <w:gridSpan w:val="2"/>
            <w:vMerge w:val="restart"/>
            <w:tcBorders>
              <w:top w:val="single" w:sz="12" w:space="0" w:color="000000"/>
              <w:left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972" w:type="dxa"/>
            <w:vMerge w:val="restart"/>
            <w:tcBorders>
              <w:top w:val="single" w:sz="12"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3375" w:type="dxa"/>
            <w:gridSpan w:val="3"/>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
              <w:ind w:left="7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r>
      <w:tr>
        <w:trPr>
          <w:trHeight w:val="490" w:hRule="exact"/>
        </w:trPr>
        <w:tc>
          <w:tcPr>
            <w:tcW w:w="2900" w:type="dxa"/>
            <w:gridSpan w:val="2"/>
            <w:vMerge/>
            <w:tcBorders>
              <w:left w:val="single" w:sz="12" w:space="0" w:color="000000"/>
              <w:bottom w:val="single" w:sz="4" w:space="0" w:color="000000"/>
              <w:right w:val="single" w:sz="4" w:space="0" w:color="000000"/>
            </w:tcBorders>
          </w:tcPr>
          <w:p>
            <w:pPr/>
          </w:p>
        </w:tc>
        <w:tc>
          <w:tcPr>
            <w:tcW w:w="2972"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192" w:hanging="180"/>
              <w:jc w:val="left"/>
              <w:rPr>
                <w:rFonts w:ascii="宋体" w:hAnsi="宋体" w:cs="宋体" w:eastAsia="宋体" w:hint="default"/>
                <w:sz w:val="18"/>
                <w:szCs w:val="18"/>
              </w:rPr>
            </w:pPr>
            <w:r>
              <w:rPr>
                <w:rFonts w:ascii="宋体" w:hAnsi="宋体" w:cs="宋体" w:eastAsia="宋体" w:hint="default"/>
                <w:sz w:val="18"/>
                <w:szCs w:val="18"/>
              </w:rPr>
              <w:t>募集资金 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1" w:right="350"/>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95" w:hRule="exact"/>
        </w:trPr>
        <w:tc>
          <w:tcPr>
            <w:tcW w:w="358"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4" w:lineRule="auto"/>
              <w:ind w:left="47" w:right="108"/>
              <w:jc w:val="both"/>
              <w:rPr>
                <w:rFonts w:ascii="宋体" w:hAnsi="宋体" w:cs="宋体" w:eastAsia="宋体" w:hint="default"/>
                <w:sz w:val="18"/>
                <w:szCs w:val="18"/>
              </w:rPr>
            </w:pPr>
            <w:r>
              <w:rPr>
                <w:rFonts w:ascii="宋体" w:hAnsi="宋体" w:cs="宋体" w:eastAsia="宋体" w:hint="default"/>
                <w:sz w:val="18"/>
                <w:szCs w:val="18"/>
              </w:rPr>
              <w:t>募 集 资 金 专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 w:right="0"/>
              <w:jc w:val="left"/>
              <w:rPr>
                <w:rFonts w:ascii="Times New Roman" w:hAnsi="Times New Roman" w:cs="Times New Roman" w:eastAsia="Times New Roman" w:hint="default"/>
                <w:sz w:val="18"/>
                <w:szCs w:val="18"/>
              </w:rPr>
            </w:pPr>
            <w:r>
              <w:rPr>
                <w:rFonts w:ascii="Times New Roman"/>
                <w:sz w:val="18"/>
              </w:rPr>
              <w:t>4131200001819100086118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
              <w:jc w:val="right"/>
              <w:rPr>
                <w:rFonts w:ascii="Times New Roman" w:hAnsi="Times New Roman" w:cs="Times New Roman" w:eastAsia="Times New Roman" w:hint="default"/>
                <w:sz w:val="18"/>
                <w:szCs w:val="18"/>
              </w:rPr>
            </w:pPr>
            <w:r>
              <w:rPr>
                <w:rFonts w:ascii="Times New Roman"/>
                <w:spacing w:val="-1"/>
                <w:sz w:val="18"/>
              </w:rPr>
              <w:t>10,421.38</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352" w:right="0"/>
              <w:jc w:val="left"/>
              <w:rPr>
                <w:rFonts w:ascii="Times New Roman" w:hAnsi="Times New Roman" w:cs="Times New Roman" w:eastAsia="Times New Roman" w:hint="default"/>
                <w:sz w:val="18"/>
                <w:szCs w:val="18"/>
              </w:rPr>
            </w:pPr>
            <w:r>
              <w:rPr>
                <w:rFonts w:ascii="Times New Roman"/>
                <w:sz w:val="18"/>
              </w:rPr>
              <w:t>10,421.38</w:t>
            </w:r>
          </w:p>
        </w:tc>
      </w:tr>
      <w:tr>
        <w:trPr>
          <w:trHeight w:val="293"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中国光大银行南京分行营业部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76490188000151375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8"/>
              <w:jc w:val="right"/>
              <w:rPr>
                <w:rFonts w:ascii="Times New Roman" w:hAnsi="Times New Roman" w:cs="Times New Roman" w:eastAsia="Times New Roman" w:hint="default"/>
                <w:sz w:val="18"/>
                <w:szCs w:val="18"/>
              </w:rPr>
            </w:pPr>
            <w:r>
              <w:rPr>
                <w:rFonts w:ascii="Times New Roman"/>
                <w:spacing w:val="-1"/>
                <w:sz w:val="18"/>
              </w:rPr>
              <w:t>28,879.96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5"/>
                <w:sz w:val="18"/>
              </w:rPr>
              <w:t>7,060.59</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35,940.55</w:t>
            </w:r>
          </w:p>
        </w:tc>
      </w:tr>
      <w:tr>
        <w:trPr>
          <w:trHeight w:val="295"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 w:right="0"/>
              <w:jc w:val="left"/>
              <w:rPr>
                <w:rFonts w:ascii="Times New Roman" w:hAnsi="Times New Roman" w:cs="Times New Roman" w:eastAsia="Times New Roman" w:hint="default"/>
                <w:sz w:val="18"/>
                <w:szCs w:val="18"/>
              </w:rPr>
            </w:pPr>
            <w:r>
              <w:rPr>
                <w:rFonts w:ascii="Times New Roman"/>
                <w:sz w:val="18"/>
              </w:rPr>
              <w:t>4131200001819100105110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
              <w:jc w:val="right"/>
              <w:rPr>
                <w:rFonts w:ascii="Times New Roman" w:hAnsi="Times New Roman" w:cs="Times New Roman" w:eastAsia="Times New Roman" w:hint="default"/>
                <w:sz w:val="18"/>
                <w:szCs w:val="18"/>
              </w:rPr>
            </w:pPr>
            <w:r>
              <w:rPr>
                <w:rFonts w:ascii="Times New Roman"/>
                <w:spacing w:val="-1"/>
                <w:sz w:val="18"/>
              </w:rPr>
              <w:t>43,590.49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
              <w:jc w:val="right"/>
              <w:rPr>
                <w:rFonts w:ascii="Times New Roman" w:hAnsi="Times New Roman" w:cs="Times New Roman" w:eastAsia="Times New Roman" w:hint="default"/>
                <w:sz w:val="18"/>
                <w:szCs w:val="18"/>
              </w:rPr>
            </w:pPr>
            <w:r>
              <w:rPr>
                <w:rFonts w:ascii="Times New Roman"/>
                <w:spacing w:val="-1"/>
                <w:sz w:val="18"/>
              </w:rPr>
              <w:t>40,220.92</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left="360" w:right="0"/>
              <w:jc w:val="left"/>
              <w:rPr>
                <w:rFonts w:ascii="Times New Roman" w:hAnsi="Times New Roman" w:cs="Times New Roman" w:eastAsia="Times New Roman" w:hint="default"/>
                <w:sz w:val="18"/>
                <w:szCs w:val="18"/>
              </w:rPr>
            </w:pPr>
            <w:r>
              <w:rPr>
                <w:rFonts w:ascii="Times New Roman"/>
                <w:sz w:val="18"/>
              </w:rPr>
              <w:t>83,811.41</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中国民生银行南京分行新街口</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1" w:right="0"/>
              <w:jc w:val="left"/>
              <w:rPr>
                <w:rFonts w:ascii="Times New Roman" w:hAnsi="Times New Roman" w:cs="Times New Roman" w:eastAsia="Times New Roman" w:hint="default"/>
                <w:sz w:val="18"/>
                <w:szCs w:val="18"/>
              </w:rPr>
            </w:pPr>
            <w:r>
              <w:rPr>
                <w:rFonts w:ascii="Times New Roman"/>
                <w:sz w:val="18"/>
              </w:rPr>
              <w:t>0804014210006558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
              <w:jc w:val="right"/>
              <w:rPr>
                <w:rFonts w:ascii="Times New Roman" w:hAnsi="Times New Roman" w:cs="Times New Roman" w:eastAsia="Times New Roman" w:hint="default"/>
                <w:sz w:val="18"/>
                <w:szCs w:val="18"/>
              </w:rPr>
            </w:pPr>
            <w:r>
              <w:rPr>
                <w:rFonts w:ascii="Times New Roman"/>
                <w:spacing w:val="-1"/>
                <w:w w:val="95"/>
                <w:sz w:val="18"/>
              </w:rPr>
              <w:t>11,093.14</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left="360" w:right="0"/>
              <w:jc w:val="left"/>
              <w:rPr>
                <w:rFonts w:ascii="Times New Roman" w:hAnsi="Times New Roman" w:cs="Times New Roman" w:eastAsia="Times New Roman" w:hint="default"/>
                <w:sz w:val="18"/>
                <w:szCs w:val="18"/>
              </w:rPr>
            </w:pPr>
            <w:r>
              <w:rPr>
                <w:rFonts w:ascii="Times New Roman"/>
                <w:sz w:val="18"/>
              </w:rPr>
              <w:t>11,093.14</w:t>
            </w:r>
          </w:p>
        </w:tc>
      </w:tr>
      <w:tr>
        <w:trPr>
          <w:trHeight w:val="295"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中国民生银行南京新街口支行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0804014210007403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5"/>
                <w:sz w:val="18"/>
              </w:rPr>
              <w:t>9,354.08</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40"/>
              <w:jc w:val="right"/>
              <w:rPr>
                <w:rFonts w:ascii="Times New Roman" w:hAnsi="Times New Roman" w:cs="Times New Roman" w:eastAsia="Times New Roman" w:hint="default"/>
                <w:sz w:val="18"/>
                <w:szCs w:val="18"/>
              </w:rPr>
            </w:pPr>
            <w:r>
              <w:rPr>
                <w:rFonts w:ascii="Times New Roman"/>
                <w:w w:val="95"/>
                <w:sz w:val="18"/>
              </w:rPr>
              <w:t>9,354.08</w:t>
            </w:r>
          </w:p>
        </w:tc>
      </w:tr>
      <w:tr>
        <w:trPr>
          <w:trHeight w:val="293"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中国银行南京鼓楼支行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801201654458095001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8"/>
              <w:jc w:val="right"/>
              <w:rPr>
                <w:rFonts w:ascii="Times New Roman" w:hAnsi="Times New Roman" w:cs="Times New Roman" w:eastAsia="Times New Roman" w:hint="default"/>
                <w:sz w:val="18"/>
                <w:szCs w:val="18"/>
              </w:rPr>
            </w:pPr>
            <w:r>
              <w:rPr>
                <w:rFonts w:ascii="Times New Roman"/>
                <w:spacing w:val="-1"/>
                <w:sz w:val="18"/>
              </w:rPr>
              <w:t>28,266.45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5"/>
                <w:sz w:val="18"/>
              </w:rPr>
              <w:t>8,435.01</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40"/>
              <w:jc w:val="right"/>
              <w:rPr>
                <w:rFonts w:ascii="Times New Roman" w:hAnsi="Times New Roman" w:cs="Times New Roman" w:eastAsia="Times New Roman" w:hint="default"/>
                <w:sz w:val="18"/>
                <w:szCs w:val="18"/>
              </w:rPr>
            </w:pPr>
            <w:r>
              <w:rPr>
                <w:rFonts w:ascii="Times New Roman"/>
                <w:spacing w:val="-1"/>
                <w:sz w:val="18"/>
              </w:rPr>
              <w:t>36,701.46</w:t>
            </w:r>
          </w:p>
        </w:tc>
      </w:tr>
      <w:tr>
        <w:trPr>
          <w:trHeight w:val="478"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交通银行江苏省分行南京鼓楼</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1" w:right="0"/>
              <w:jc w:val="left"/>
              <w:rPr>
                <w:rFonts w:ascii="Times New Roman" w:hAnsi="Times New Roman" w:cs="Times New Roman" w:eastAsia="Times New Roman" w:hint="default"/>
                <w:sz w:val="18"/>
                <w:szCs w:val="18"/>
              </w:rPr>
            </w:pPr>
            <w:r>
              <w:rPr>
                <w:rFonts w:ascii="Times New Roman"/>
                <w:sz w:val="18"/>
              </w:rPr>
              <w:t>320006621018170055183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
              <w:jc w:val="right"/>
              <w:rPr>
                <w:rFonts w:ascii="Times New Roman" w:hAnsi="Times New Roman" w:cs="Times New Roman" w:eastAsia="Times New Roman" w:hint="default"/>
                <w:sz w:val="18"/>
                <w:szCs w:val="18"/>
              </w:rPr>
            </w:pPr>
            <w:r>
              <w:rPr>
                <w:rFonts w:ascii="Times New Roman"/>
                <w:spacing w:val="-1"/>
                <w:sz w:val="18"/>
              </w:rPr>
              <w:t>83,458.73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
              <w:jc w:val="right"/>
              <w:rPr>
                <w:rFonts w:ascii="Times New Roman" w:hAnsi="Times New Roman" w:cs="Times New Roman" w:eastAsia="Times New Roman" w:hint="default"/>
                <w:sz w:val="18"/>
                <w:szCs w:val="18"/>
              </w:rPr>
            </w:pPr>
            <w:r>
              <w:rPr>
                <w:rFonts w:ascii="Times New Roman"/>
                <w:spacing w:val="-1"/>
                <w:sz w:val="18"/>
              </w:rPr>
              <w:t>13,665.84</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40"/>
              <w:jc w:val="right"/>
              <w:rPr>
                <w:rFonts w:ascii="Times New Roman" w:hAnsi="Times New Roman" w:cs="Times New Roman" w:eastAsia="Times New Roman" w:hint="default"/>
                <w:sz w:val="18"/>
                <w:szCs w:val="18"/>
              </w:rPr>
            </w:pPr>
            <w:r>
              <w:rPr>
                <w:rFonts w:ascii="Times New Roman"/>
                <w:spacing w:val="-1"/>
                <w:sz w:val="18"/>
              </w:rPr>
              <w:t>97,124.57</w:t>
            </w:r>
          </w:p>
        </w:tc>
      </w:tr>
      <w:tr>
        <w:trPr>
          <w:trHeight w:val="295"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 w:right="0"/>
              <w:jc w:val="left"/>
              <w:rPr>
                <w:rFonts w:ascii="Times New Roman" w:hAnsi="Times New Roman" w:cs="Times New Roman" w:eastAsia="Times New Roman" w:hint="default"/>
                <w:sz w:val="18"/>
                <w:szCs w:val="18"/>
              </w:rPr>
            </w:pPr>
            <w:r>
              <w:rPr>
                <w:rFonts w:ascii="Times New Roman"/>
                <w:sz w:val="18"/>
              </w:rPr>
              <w:t>077360188000224313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
              <w:jc w:val="right"/>
              <w:rPr>
                <w:rFonts w:ascii="Times New Roman" w:hAnsi="Times New Roman" w:cs="Times New Roman" w:eastAsia="Times New Roman" w:hint="default"/>
                <w:sz w:val="18"/>
                <w:szCs w:val="18"/>
              </w:rPr>
            </w:pPr>
            <w:r>
              <w:rPr>
                <w:rFonts w:ascii="Times New Roman"/>
                <w:spacing w:val="-1"/>
                <w:sz w:val="18"/>
              </w:rPr>
              <w:t>41,582.43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
              <w:jc w:val="right"/>
              <w:rPr>
                <w:rFonts w:ascii="Times New Roman" w:hAnsi="Times New Roman" w:cs="Times New Roman" w:eastAsia="Times New Roman" w:hint="default"/>
                <w:sz w:val="18"/>
                <w:szCs w:val="18"/>
              </w:rPr>
            </w:pPr>
            <w:r>
              <w:rPr>
                <w:rFonts w:ascii="Times New Roman"/>
                <w:w w:val="95"/>
                <w:sz w:val="18"/>
              </w:rPr>
              <w:t>9,684.78</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41"/>
              <w:jc w:val="right"/>
              <w:rPr>
                <w:rFonts w:ascii="Times New Roman" w:hAnsi="Times New Roman" w:cs="Times New Roman" w:eastAsia="Times New Roman" w:hint="default"/>
                <w:sz w:val="18"/>
                <w:szCs w:val="18"/>
              </w:rPr>
            </w:pPr>
            <w:r>
              <w:rPr>
                <w:rFonts w:ascii="Times New Roman"/>
                <w:spacing w:val="-1"/>
                <w:sz w:val="18"/>
              </w:rPr>
              <w:t>51,267.21</w:t>
            </w:r>
          </w:p>
        </w:tc>
      </w:tr>
      <w:tr>
        <w:trPr>
          <w:trHeight w:val="293"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深圳发展银行南京汉中路支行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11006855520612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8"/>
              <w:jc w:val="right"/>
              <w:rPr>
                <w:rFonts w:ascii="Times New Roman" w:hAnsi="Times New Roman" w:cs="Times New Roman" w:eastAsia="Times New Roman" w:hint="default"/>
                <w:sz w:val="18"/>
                <w:szCs w:val="18"/>
              </w:rPr>
            </w:pPr>
            <w:r>
              <w:rPr>
                <w:rFonts w:ascii="Times New Roman"/>
                <w:spacing w:val="-1"/>
                <w:sz w:val="18"/>
              </w:rPr>
              <w:t>25,636.50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5"/>
                <w:sz w:val="18"/>
              </w:rPr>
              <w:t>6,964.31</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41"/>
              <w:jc w:val="right"/>
              <w:rPr>
                <w:rFonts w:ascii="Times New Roman" w:hAnsi="Times New Roman" w:cs="Times New Roman" w:eastAsia="Times New Roman" w:hint="default"/>
                <w:sz w:val="18"/>
                <w:szCs w:val="18"/>
              </w:rPr>
            </w:pPr>
            <w:r>
              <w:rPr>
                <w:rFonts w:ascii="Times New Roman"/>
                <w:spacing w:val="-1"/>
                <w:sz w:val="18"/>
              </w:rPr>
              <w:t>32,600.81</w:t>
            </w:r>
          </w:p>
        </w:tc>
      </w:tr>
      <w:tr>
        <w:trPr>
          <w:trHeight w:val="295"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1" w:right="0"/>
              <w:jc w:val="left"/>
              <w:rPr>
                <w:rFonts w:ascii="Times New Roman" w:hAnsi="Times New Roman" w:cs="Times New Roman" w:eastAsia="Times New Roman" w:hint="default"/>
                <w:sz w:val="18"/>
                <w:szCs w:val="18"/>
              </w:rPr>
            </w:pPr>
            <w:r>
              <w:rPr>
                <w:rFonts w:ascii="Times New Roman"/>
                <w:sz w:val="18"/>
              </w:rPr>
              <w:t>077710819100110631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
              <w:jc w:val="right"/>
              <w:rPr>
                <w:rFonts w:ascii="Times New Roman" w:hAnsi="Times New Roman" w:cs="Times New Roman" w:eastAsia="Times New Roman" w:hint="default"/>
                <w:sz w:val="18"/>
                <w:szCs w:val="18"/>
              </w:rPr>
            </w:pPr>
            <w:r>
              <w:rPr>
                <w:rFonts w:ascii="Times New Roman"/>
                <w:spacing w:val="-1"/>
                <w:sz w:val="18"/>
              </w:rPr>
              <w:t>154,616.37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
              <w:jc w:val="right"/>
              <w:rPr>
                <w:rFonts w:ascii="Times New Roman" w:hAnsi="Times New Roman" w:cs="Times New Roman" w:eastAsia="Times New Roman" w:hint="default"/>
                <w:sz w:val="18"/>
                <w:szCs w:val="18"/>
              </w:rPr>
            </w:pPr>
            <w:r>
              <w:rPr>
                <w:rFonts w:ascii="Times New Roman"/>
                <w:spacing w:val="-1"/>
                <w:sz w:val="18"/>
              </w:rPr>
              <w:t>16,364.42</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40"/>
              <w:jc w:val="right"/>
              <w:rPr>
                <w:rFonts w:ascii="Times New Roman" w:hAnsi="Times New Roman" w:cs="Times New Roman" w:eastAsia="Times New Roman" w:hint="default"/>
                <w:sz w:val="18"/>
                <w:szCs w:val="18"/>
              </w:rPr>
            </w:pPr>
            <w:r>
              <w:rPr>
                <w:rFonts w:ascii="Times New Roman"/>
                <w:spacing w:val="-1"/>
                <w:sz w:val="18"/>
              </w:rPr>
              <w:t>170,980.79</w:t>
            </w:r>
          </w:p>
        </w:tc>
      </w:tr>
      <w:tr>
        <w:trPr>
          <w:trHeight w:val="478" w:hRule="exact"/>
        </w:trPr>
        <w:tc>
          <w:tcPr>
            <w:tcW w:w="358" w:type="dxa"/>
            <w:vMerge w:val="restart"/>
            <w:tcBorders>
              <w:top w:val="single" w:sz="4" w:space="0" w:color="000000"/>
              <w:left w:val="single" w:sz="12" w:space="0" w:color="000000"/>
              <w:right w:val="single" w:sz="4" w:space="0" w:color="000000"/>
            </w:tcBorders>
          </w:tcPr>
          <w:p>
            <w:pPr>
              <w:pStyle w:val="TableParagraph"/>
              <w:spacing w:line="240" w:lineRule="exact"/>
              <w:ind w:left="47" w:right="108"/>
              <w:jc w:val="both"/>
              <w:rPr>
                <w:rFonts w:ascii="宋体" w:hAnsi="宋体" w:cs="宋体" w:eastAsia="宋体" w:hint="default"/>
                <w:sz w:val="18"/>
                <w:szCs w:val="18"/>
              </w:rPr>
            </w:pPr>
            <w:r>
              <w:rPr>
                <w:rFonts w:ascii="宋体" w:hAnsi="宋体" w:cs="宋体" w:eastAsia="宋体" w:hint="default"/>
                <w:sz w:val="18"/>
                <w:szCs w:val="18"/>
              </w:rPr>
              <w:t>定 期 存</w:t>
            </w:r>
          </w:p>
          <w:p>
            <w:pPr>
              <w:pStyle w:val="TableParagraph"/>
              <w:spacing w:line="240" w:lineRule="exact"/>
              <w:ind w:left="47" w:right="108"/>
              <w:jc w:val="both"/>
              <w:rPr>
                <w:rFonts w:ascii="宋体" w:hAnsi="宋体" w:cs="宋体" w:eastAsia="宋体" w:hint="default"/>
                <w:sz w:val="18"/>
                <w:szCs w:val="18"/>
              </w:rPr>
            </w:pPr>
            <w:r>
              <w:rPr>
                <w:rFonts w:ascii="宋体" w:hAnsi="宋体" w:cs="宋体" w:eastAsia="宋体" w:hint="default"/>
                <w:sz w:val="18"/>
                <w:szCs w:val="18"/>
              </w:rPr>
              <w:t>款 账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交通银行江苏省分行南京鼓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楼支行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1" w:right="0"/>
              <w:jc w:val="left"/>
              <w:rPr>
                <w:rFonts w:ascii="Times New Roman" w:hAnsi="Times New Roman" w:cs="Times New Roman" w:eastAsia="Times New Roman" w:hint="default"/>
                <w:sz w:val="18"/>
                <w:szCs w:val="18"/>
              </w:rPr>
            </w:pPr>
            <w:r>
              <w:rPr>
                <w:rFonts w:ascii="Times New Roman"/>
                <w:sz w:val="18"/>
              </w:rPr>
              <w:t>320006621608510004368-00229745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
              <w:jc w:val="right"/>
              <w:rPr>
                <w:rFonts w:ascii="Times New Roman" w:hAnsi="Times New Roman" w:cs="Times New Roman" w:eastAsia="Times New Roman" w:hint="default"/>
                <w:sz w:val="18"/>
                <w:szCs w:val="18"/>
              </w:rPr>
            </w:pPr>
            <w:r>
              <w:rPr>
                <w:rFonts w:ascii="Times New Roman"/>
                <w:spacing w:val="-1"/>
                <w:sz w:val="18"/>
              </w:rPr>
              <w:t>60,000.00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4"/>
              <w:ind w:right="4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293" w:hRule="exact"/>
        </w:trPr>
        <w:tc>
          <w:tcPr>
            <w:tcW w:w="358" w:type="dxa"/>
            <w:vMerge/>
            <w:tcBorders>
              <w:left w:val="single" w:sz="12"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1" w:right="0"/>
              <w:jc w:val="left"/>
              <w:rPr>
                <w:rFonts w:ascii="Times New Roman" w:hAnsi="Times New Roman" w:cs="Times New Roman" w:eastAsia="Times New Roman" w:hint="default"/>
                <w:sz w:val="18"/>
                <w:szCs w:val="18"/>
              </w:rPr>
            </w:pPr>
            <w:r>
              <w:rPr>
                <w:rFonts w:ascii="Times New Roman"/>
                <w:sz w:val="18"/>
              </w:rPr>
              <w:t>07771-8301-115443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8"/>
              <w:jc w:val="right"/>
              <w:rPr>
                <w:rFonts w:ascii="Times New Roman" w:hAnsi="Times New Roman" w:cs="Times New Roman" w:eastAsia="Times New Roman" w:hint="default"/>
                <w:sz w:val="18"/>
                <w:szCs w:val="18"/>
              </w:rPr>
            </w:pPr>
            <w:r>
              <w:rPr>
                <w:rFonts w:ascii="Times New Roman"/>
                <w:spacing w:val="-1"/>
                <w:sz w:val="18"/>
              </w:rPr>
              <w:t>100,000.00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4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680"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106"/>
              <w:jc w:val="left"/>
              <w:rPr>
                <w:rFonts w:ascii="宋体" w:hAnsi="宋体" w:cs="宋体" w:eastAsia="宋体" w:hint="default"/>
                <w:sz w:val="18"/>
                <w:szCs w:val="18"/>
              </w:rPr>
            </w:pPr>
            <w:r>
              <w:rPr>
                <w:rFonts w:ascii="宋体" w:hAnsi="宋体" w:cs="宋体" w:eastAsia="宋体" w:hint="default"/>
                <w:spacing w:val="13"/>
                <w:sz w:val="18"/>
                <w:szCs w:val="18"/>
              </w:rPr>
              <w:t>深圳发展银行南京汉中路支</w:t>
            </w:r>
            <w:r>
              <w:rPr>
                <w:rFonts w:ascii="宋体" w:hAnsi="宋体" w:cs="宋体" w:eastAsia="宋体" w:hint="default"/>
                <w:sz w:val="18"/>
                <w:szCs w:val="18"/>
              </w:rPr>
              <w:t> 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12-0068555206-02-000009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80,000.00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5"/>
                <w:sz w:val="18"/>
              </w:rPr>
              <w:t>1,194.42</w:t>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81,194.42</w:t>
            </w:r>
          </w:p>
        </w:tc>
      </w:tr>
      <w:tr>
        <w:trPr>
          <w:trHeight w:val="588" w:hRule="exact"/>
        </w:trPr>
        <w:tc>
          <w:tcPr>
            <w:tcW w:w="358" w:type="dxa"/>
            <w:vMerge w:val="restart"/>
            <w:tcBorders>
              <w:top w:val="single" w:sz="4" w:space="0" w:color="000000"/>
              <w:left w:val="single" w:sz="12" w:space="0" w:color="000000"/>
              <w:right w:val="single" w:sz="4" w:space="0" w:color="000000"/>
            </w:tcBorders>
          </w:tcPr>
          <w:p>
            <w:pPr>
              <w:pStyle w:val="TableParagraph"/>
              <w:spacing w:line="244" w:lineRule="auto" w:before="1"/>
              <w:ind w:left="47" w:right="108"/>
              <w:jc w:val="both"/>
              <w:rPr>
                <w:rFonts w:ascii="宋体" w:hAnsi="宋体" w:cs="宋体" w:eastAsia="宋体" w:hint="default"/>
                <w:sz w:val="18"/>
                <w:szCs w:val="18"/>
              </w:rPr>
            </w:pPr>
            <w:r>
              <w:rPr>
                <w:rFonts w:ascii="宋体" w:hAnsi="宋体" w:cs="宋体" w:eastAsia="宋体" w:hint="default"/>
                <w:sz w:val="18"/>
                <w:szCs w:val="18"/>
              </w:rPr>
              <w:t>通 知 存 款 户</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华夏银行南京分行营业部</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07771-8303-56853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130,000.00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660" w:hRule="exact"/>
        </w:trPr>
        <w:tc>
          <w:tcPr>
            <w:tcW w:w="358" w:type="dxa"/>
            <w:vMerge/>
            <w:tcBorders>
              <w:left w:val="single" w:sz="12" w:space="0" w:color="000000"/>
              <w:bottom w:val="single" w:sz="4" w:space="0" w:color="000000"/>
              <w:right w:val="single" w:sz="4" w:space="0" w:color="000000"/>
            </w:tcBorders>
          </w:tcPr>
          <w:p>
            <w:pP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中国光大银行南京分行</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76490181000604668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2" w:hRule="exact"/>
        </w:trPr>
        <w:tc>
          <w:tcPr>
            <w:tcW w:w="358" w:type="dxa"/>
            <w:tcBorders>
              <w:top w:val="single" w:sz="4" w:space="0" w:color="000000"/>
              <w:left w:val="single" w:sz="12" w:space="0" w:color="000000"/>
              <w:bottom w:val="single" w:sz="12" w:space="0" w:color="000000"/>
              <w:right w:val="single" w:sz="4" w:space="0" w:color="000000"/>
            </w:tcBorders>
          </w:tcPr>
          <w:p>
            <w:pPr/>
          </w:p>
        </w:tc>
        <w:tc>
          <w:tcPr>
            <w:tcW w:w="25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5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2" w:type="dxa"/>
            <w:tcBorders>
              <w:top w:val="single" w:sz="4" w:space="0" w:color="000000"/>
              <w:left w:val="single" w:sz="4" w:space="0" w:color="000000"/>
              <w:bottom w:val="single" w:sz="12" w:space="0" w:color="000000"/>
              <w:right w:val="single" w:sz="4" w:space="0" w:color="000000"/>
            </w:tcBorders>
          </w:tcPr>
          <w:p>
            <w:pP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47"/>
              <w:jc w:val="right"/>
              <w:rPr>
                <w:rFonts w:ascii="Times New Roman" w:hAnsi="Times New Roman" w:cs="Times New Roman" w:eastAsia="Times New Roman" w:hint="default"/>
                <w:sz w:val="18"/>
                <w:szCs w:val="18"/>
              </w:rPr>
            </w:pPr>
            <w:r>
              <w:rPr>
                <w:rFonts w:ascii="Times New Roman"/>
                <w:sz w:val="18"/>
              </w:rPr>
              <w:t>796,030.93</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50"/>
              <w:jc w:val="right"/>
              <w:rPr>
                <w:rFonts w:ascii="Times New Roman" w:hAnsi="Times New Roman" w:cs="Times New Roman" w:eastAsia="Times New Roman" w:hint="default"/>
                <w:sz w:val="18"/>
                <w:szCs w:val="18"/>
              </w:rPr>
            </w:pPr>
            <w:r>
              <w:rPr>
                <w:rFonts w:ascii="Times New Roman"/>
                <w:spacing w:val="-1"/>
                <w:sz w:val="18"/>
              </w:rPr>
              <w:t>134,458.89</w:t>
            </w:r>
          </w:p>
        </w:tc>
        <w:tc>
          <w:tcPr>
            <w:tcW w:w="1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3"/>
              <w:ind w:right="40"/>
              <w:jc w:val="right"/>
              <w:rPr>
                <w:rFonts w:ascii="Times New Roman" w:hAnsi="Times New Roman" w:cs="Times New Roman" w:eastAsia="Times New Roman" w:hint="default"/>
                <w:sz w:val="18"/>
                <w:szCs w:val="18"/>
              </w:rPr>
            </w:pPr>
            <w:r>
              <w:rPr>
                <w:rFonts w:ascii="Times New Roman"/>
                <w:spacing w:val="-1"/>
                <w:sz w:val="18"/>
              </w:rPr>
              <w:t>930,489.82</w:t>
            </w:r>
          </w:p>
        </w:tc>
      </w:tr>
    </w:tbl>
    <w:p>
      <w:pPr>
        <w:spacing w:line="240" w:lineRule="auto" w:before="7"/>
        <w:rPr>
          <w:rFonts w:ascii="宋体" w:hAnsi="宋体" w:cs="宋体" w:eastAsia="宋体" w:hint="default"/>
          <w:sz w:val="23"/>
          <w:szCs w:val="23"/>
        </w:rPr>
      </w:pPr>
    </w:p>
    <w:p>
      <w:pPr>
        <w:spacing w:line="357" w:lineRule="auto" w:before="32"/>
        <w:ind w:left="240" w:right="1422" w:firstLine="439"/>
        <w:jc w:val="left"/>
        <w:rPr>
          <w:rFonts w:ascii="宋体" w:hAnsi="宋体" w:cs="宋体" w:eastAsia="宋体" w:hint="default"/>
          <w:sz w:val="21"/>
          <w:szCs w:val="21"/>
        </w:rPr>
      </w:pPr>
      <w:r>
        <w:rPr>
          <w:rFonts w:ascii="宋体" w:hAnsi="宋体" w:cs="宋体" w:eastAsia="宋体" w:hint="default"/>
          <w:spacing w:val="-1"/>
          <w:sz w:val="22"/>
          <w:szCs w:val="22"/>
        </w:rPr>
        <w:t>公司通过子公司或分公司实施的募集资金项目，在项目具体实施过程中，募集资金连同其</w:t>
      </w:r>
      <w:r>
        <w:rPr>
          <w:rFonts w:ascii="宋体" w:hAnsi="宋体" w:cs="宋体" w:eastAsia="宋体" w:hint="default"/>
          <w:w w:val="100"/>
          <w:sz w:val="22"/>
          <w:szCs w:val="22"/>
        </w:rPr>
        <w:t> </w:t>
      </w:r>
      <w:r>
        <w:rPr>
          <w:rFonts w:ascii="宋体" w:hAnsi="宋体" w:cs="宋体" w:eastAsia="宋体" w:hint="default"/>
          <w:spacing w:val="-5"/>
          <w:w w:val="100"/>
          <w:sz w:val="22"/>
          <w:szCs w:val="22"/>
        </w:rPr>
        <w:t>他股东增资款也实行专户管理，具体情况如下：</w:t>
      </w:r>
      <w:r>
        <w:rPr>
          <w:rFonts w:ascii="宋体" w:hAnsi="宋体" w:cs="宋体" w:eastAsia="宋体" w:hint="default"/>
          <w:spacing w:val="-5"/>
          <w:w w:val="100"/>
          <w:sz w:val="21"/>
          <w:szCs w:val="21"/>
        </w:rPr>
        <w:t>（单位：千元）</w:t>
      </w:r>
    </w:p>
    <w:p>
      <w:pPr>
        <w:spacing w:line="240" w:lineRule="auto" w:before="7"/>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3169"/>
        <w:gridCol w:w="2160"/>
        <w:gridCol w:w="958"/>
        <w:gridCol w:w="989"/>
        <w:gridCol w:w="895"/>
        <w:gridCol w:w="1070"/>
      </w:tblGrid>
      <w:tr>
        <w:trPr>
          <w:trHeight w:val="302" w:hRule="exact"/>
        </w:trPr>
        <w:tc>
          <w:tcPr>
            <w:tcW w:w="3169"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开户银行</w:t>
            </w:r>
          </w:p>
        </w:tc>
        <w:tc>
          <w:tcPr>
            <w:tcW w:w="2160"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银行账号</w:t>
            </w:r>
          </w:p>
        </w:tc>
        <w:tc>
          <w:tcPr>
            <w:tcW w:w="3913" w:type="dxa"/>
            <w:gridSpan w:val="4"/>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0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r>
      <w:tr>
        <w:trPr>
          <w:trHeight w:val="480" w:hRule="exact"/>
        </w:trPr>
        <w:tc>
          <w:tcPr>
            <w:tcW w:w="3169" w:type="dxa"/>
            <w:vMerge/>
            <w:tcBorders>
              <w:left w:val="single" w:sz="12" w:space="0" w:color="000000"/>
              <w:bottom w:val="single" w:sz="4" w:space="0" w:color="000000"/>
              <w:right w:val="single" w:sz="4" w:space="0" w:color="000000"/>
            </w:tcBorders>
          </w:tcPr>
          <w:p>
            <w:pPr/>
          </w:p>
        </w:tc>
        <w:tc>
          <w:tcPr>
            <w:tcW w:w="2160" w:type="dxa"/>
            <w:vMerge/>
            <w:tcBorders>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7" w:right="0" w:hanging="89"/>
              <w:jc w:val="left"/>
              <w:rPr>
                <w:rFonts w:ascii="宋体" w:hAnsi="宋体" w:cs="宋体" w:eastAsia="宋体" w:hint="default"/>
                <w:sz w:val="18"/>
                <w:szCs w:val="18"/>
              </w:rPr>
            </w:pPr>
            <w:r>
              <w:rPr>
                <w:rFonts w:ascii="宋体" w:hAnsi="宋体" w:cs="宋体" w:eastAsia="宋体" w:hint="default"/>
                <w:sz w:val="18"/>
                <w:szCs w:val="18"/>
              </w:rPr>
              <w:t>其他股东</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增资款</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8" w:right="0"/>
              <w:jc w:val="left"/>
              <w:rPr>
                <w:rFonts w:ascii="宋体" w:hAnsi="宋体" w:cs="宋体" w:eastAsia="宋体" w:hint="default"/>
                <w:sz w:val="18"/>
                <w:szCs w:val="18"/>
              </w:rPr>
            </w:pPr>
            <w:r>
              <w:rPr>
                <w:rFonts w:ascii="宋体" w:hAnsi="宋体" w:cs="宋体" w:eastAsia="宋体" w:hint="default"/>
                <w:sz w:val="18"/>
                <w:szCs w:val="18"/>
              </w:rPr>
              <w:t>利息</w:t>
            </w:r>
          </w:p>
          <w:p>
            <w:pPr>
              <w:pStyle w:val="TableParagraph"/>
              <w:spacing w:line="234" w:lineRule="exact"/>
              <w:ind w:left="268"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93" w:hRule="exact"/>
        </w:trPr>
        <w:tc>
          <w:tcPr>
            <w:tcW w:w="3169"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中国建设银行深圳益民支行（注）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44201606800052501848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571.70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5"/>
                <w:sz w:val="18"/>
              </w:rPr>
              <w:t>1,700.00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98.55</w:t>
            </w:r>
          </w:p>
        </w:tc>
        <w:tc>
          <w:tcPr>
            <w:tcW w:w="1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2,370.25</w:t>
            </w:r>
          </w:p>
        </w:tc>
      </w:tr>
      <w:tr>
        <w:trPr>
          <w:trHeight w:val="295" w:hRule="exact"/>
        </w:trPr>
        <w:tc>
          <w:tcPr>
            <w:tcW w:w="3169"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中国银行新华路支行（注）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162007412917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2,596.40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5"/>
                <w:sz w:val="18"/>
              </w:rPr>
              <w:t>2,000.00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65.48</w:t>
            </w:r>
          </w:p>
        </w:tc>
        <w:tc>
          <w:tcPr>
            <w:tcW w:w="1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4,661.88</w:t>
            </w:r>
          </w:p>
        </w:tc>
      </w:tr>
      <w:tr>
        <w:trPr>
          <w:trHeight w:val="293" w:hRule="exact"/>
        </w:trPr>
        <w:tc>
          <w:tcPr>
            <w:tcW w:w="31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光大银行常州支行（注）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76610188000065603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4,833.00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537.00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0.45</w:t>
            </w:r>
          </w:p>
        </w:tc>
        <w:tc>
          <w:tcPr>
            <w:tcW w:w="1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5,370.45</w:t>
            </w:r>
          </w:p>
        </w:tc>
      </w:tr>
      <w:tr>
        <w:trPr>
          <w:trHeight w:val="295" w:hRule="exact"/>
        </w:trPr>
        <w:tc>
          <w:tcPr>
            <w:tcW w:w="3169"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中国光大银行东莞分行（注）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38790188000022656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1,400.00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350.00</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0.89</w:t>
            </w:r>
          </w:p>
        </w:tc>
        <w:tc>
          <w:tcPr>
            <w:tcW w:w="10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Times New Roman" w:hAnsi="Times New Roman" w:cs="Times New Roman" w:eastAsia="Times New Roman" w:hint="default"/>
                <w:sz w:val="18"/>
                <w:szCs w:val="18"/>
              </w:rPr>
            </w:pPr>
            <w:r>
              <w:rPr>
                <w:rFonts w:ascii="Times New Roman"/>
                <w:w w:val="95"/>
                <w:sz w:val="18"/>
              </w:rPr>
              <w:t>1,750.89</w:t>
            </w:r>
          </w:p>
        </w:tc>
      </w:tr>
      <w:tr>
        <w:trPr>
          <w:trHeight w:val="305" w:hRule="exact"/>
        </w:trPr>
        <w:tc>
          <w:tcPr>
            <w:tcW w:w="3169" w:type="dxa"/>
            <w:tcBorders>
              <w:top w:val="single" w:sz="4" w:space="0" w:color="000000"/>
              <w:left w:val="single" w:sz="12" w:space="0" w:color="000000"/>
              <w:bottom w:val="single" w:sz="12" w:space="0" w:color="000000"/>
              <w:right w:val="single" w:sz="4" w:space="0" w:color="000000"/>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4" w:space="0" w:color="000000"/>
              <w:bottom w:val="single" w:sz="12" w:space="0" w:color="000000"/>
              <w:right w:val="single" w:sz="4" w:space="0" w:color="000000"/>
            </w:tcBorders>
          </w:tcPr>
          <w:p>
            <w:pP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w w:val="95"/>
                <w:sz w:val="18"/>
              </w:rPr>
              <w:t>9,401.10</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5"/>
                <w:sz w:val="18"/>
              </w:rPr>
              <w:t>4,587.00</w:t>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165.37</w:t>
            </w:r>
          </w:p>
        </w:tc>
        <w:tc>
          <w:tcPr>
            <w:tcW w:w="10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spacing w:val="-1"/>
                <w:sz w:val="18"/>
              </w:rPr>
              <w:t>14,153.47</w:t>
            </w:r>
          </w:p>
        </w:tc>
      </w:tr>
    </w:tbl>
    <w:p>
      <w:pPr>
        <w:spacing w:line="243" w:lineRule="exact" w:before="0"/>
        <w:ind w:left="240" w:right="1328" w:firstLine="0"/>
        <w:jc w:val="left"/>
        <w:rPr>
          <w:rFonts w:ascii="宋体" w:hAnsi="宋体" w:cs="宋体" w:eastAsia="宋体" w:hint="default"/>
          <w:sz w:val="21"/>
          <w:szCs w:val="21"/>
        </w:rPr>
      </w:pPr>
      <w:r>
        <w:rPr>
          <w:rFonts w:ascii="宋体" w:hAnsi="宋体" w:cs="宋体" w:eastAsia="宋体" w:hint="default"/>
          <w:sz w:val="21"/>
          <w:szCs w:val="21"/>
        </w:rPr>
        <w:t>注：对于由子公司实施的募集资金项目，公司是以向子公司增资的形式，将募集资金划拨到对应的</w:t>
      </w:r>
    </w:p>
    <w:p>
      <w:pPr>
        <w:spacing w:line="333" w:lineRule="auto" w:before="106"/>
        <w:ind w:left="240" w:right="1422" w:firstLine="0"/>
        <w:jc w:val="left"/>
        <w:rPr>
          <w:rFonts w:ascii="宋体" w:hAnsi="宋体" w:cs="宋体" w:eastAsia="宋体" w:hint="default"/>
          <w:sz w:val="21"/>
          <w:szCs w:val="21"/>
        </w:rPr>
      </w:pPr>
      <w:r>
        <w:rPr>
          <w:rFonts w:ascii="宋体" w:hAnsi="宋体" w:cs="宋体" w:eastAsia="宋体" w:hint="default"/>
          <w:spacing w:val="-2"/>
          <w:sz w:val="21"/>
          <w:szCs w:val="21"/>
        </w:rPr>
        <w:t>子公司，后予以支付或置换。报告期末，公司正在办理有关子公司的增资手续，故公司子公司开立</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验资户用于专门存放公司以及其他股东的增资款。</w:t>
      </w:r>
    </w:p>
    <w:p>
      <w:pPr>
        <w:pStyle w:val="BodyText"/>
        <w:spacing w:line="338" w:lineRule="auto" w:before="136"/>
        <w:ind w:left="720" w:right="143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年募集资金项目的实施地点变更情况 </w:t>
      </w:r>
      <w:r>
        <w:rPr>
          <w:spacing w:val="-3"/>
        </w:rPr>
        <w:t>为提高募集资金的使用效率，加快连锁店发展项目的实施进度，结合公司连锁发展</w:t>
      </w:r>
    </w:p>
    <w:p>
      <w:pPr>
        <w:spacing w:after="0" w:line="338" w:lineRule="auto"/>
        <w:jc w:val="left"/>
        <w:sectPr>
          <w:footerReference w:type="default" r:id="rId50"/>
          <w:pgSz w:w="11910" w:h="16840"/>
          <w:pgMar w:footer="857" w:header="748" w:top="980" w:bottom="1040" w:left="1200" w:right="0"/>
          <w:pgNumType w:start="69"/>
        </w:sectPr>
      </w:pPr>
    </w:p>
    <w:p>
      <w:pPr>
        <w:spacing w:line="240" w:lineRule="auto" w:before="6"/>
        <w:rPr>
          <w:rFonts w:ascii="宋体" w:hAnsi="宋体" w:cs="宋体" w:eastAsia="宋体" w:hint="default"/>
          <w:sz w:val="29"/>
          <w:szCs w:val="29"/>
        </w:rPr>
      </w:pPr>
    </w:p>
    <w:p>
      <w:pPr>
        <w:pStyle w:val="BodyText"/>
        <w:spacing w:line="338" w:lineRule="auto" w:before="26"/>
        <w:ind w:left="220" w:right="1436"/>
        <w:jc w:val="both"/>
      </w:pPr>
      <w:r>
        <w:rPr>
          <w:spacing w:val="-3"/>
        </w:rPr>
        <w:t>规划，公司分别于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31 </w:t>
      </w:r>
      <w:r>
        <w:rPr>
          <w:spacing w:val="-6"/>
        </w:rPr>
        <w:t>日、</w:t>
      </w:r>
      <w:r>
        <w:rPr>
          <w:rFonts w:ascii="Times New Roman" w:hAnsi="Times New Roman" w:cs="Times New Roman" w:eastAsia="Times New Roman" w:hint="default"/>
          <w:spacing w:val="-6"/>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29 </w:t>
      </w:r>
      <w:r>
        <w:rPr>
          <w:spacing w:val="-6"/>
        </w:rPr>
        <w:t>日、</w:t>
      </w:r>
      <w:r>
        <w:rPr>
          <w:rFonts w:ascii="Times New Roman" w:hAnsi="Times New Roman" w:cs="Times New Roman" w:eastAsia="Times New Roman" w:hint="default"/>
          <w:spacing w:val="-6"/>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9 </w:t>
      </w:r>
      <w:r>
        <w:rPr/>
        <w:t>日召开第四届 </w:t>
      </w:r>
      <w:r>
        <w:rPr>
          <w:spacing w:val="-3"/>
        </w:rPr>
        <w:t>董事会第八次会议，第四届董事会第十二次会议，第四届董事会第十七次会议审议通过</w:t>
      </w:r>
    </w:p>
    <w:p>
      <w:pPr>
        <w:pStyle w:val="BodyText"/>
        <w:spacing w:line="352" w:lineRule="auto" w:before="55"/>
        <w:ind w:left="220" w:right="1436"/>
        <w:jc w:val="both"/>
      </w:pPr>
      <w:r>
        <w:rPr>
          <w:spacing w:val="-4"/>
        </w:rPr>
        <w:t>《关于连锁店发展项目中部分连锁店实施地点变更的议案》。根据董事会决议，分别对</w:t>
      </w:r>
      <w:r>
        <w:rPr>
          <w:spacing w:val="-88"/>
        </w:rPr>
        <w:t> </w:t>
      </w:r>
      <w:r>
        <w:rPr>
          <w:spacing w:val="-88"/>
        </w:rPr>
      </w:r>
      <w:r>
        <w:rPr>
          <w:rFonts w:ascii="Times New Roman" w:hAnsi="Times New Roman" w:cs="Times New Roman" w:eastAsia="Times New Roman" w:hint="default"/>
        </w:rPr>
        <w:t>2007 </w:t>
      </w:r>
      <w:r>
        <w:rPr>
          <w:spacing w:val="-16"/>
        </w:rPr>
        <w:t>年、</w:t>
      </w:r>
      <w:r>
        <w:rPr>
          <w:rFonts w:ascii="Times New Roman" w:hAnsi="Times New Roman" w:cs="Times New Roman" w:eastAsia="Times New Roman" w:hint="default"/>
          <w:spacing w:val="-16"/>
        </w:rPr>
        <w:t>2009</w:t>
      </w:r>
      <w:r>
        <w:rPr>
          <w:rFonts w:ascii="Times New Roman" w:hAnsi="Times New Roman" w:cs="Times New Roman" w:eastAsia="Times New Roman" w:hint="default"/>
        </w:rPr>
        <w:t> </w:t>
      </w:r>
      <w:r>
        <w:rPr/>
        <w:t>年非公开发行募集资金项目之一的</w:t>
      </w:r>
      <w:r>
        <w:rPr>
          <w:spacing w:val="-59"/>
        </w:rPr>
        <w:t> </w:t>
      </w:r>
      <w:r>
        <w:rPr>
          <w:rFonts w:ascii="Times New Roman" w:hAnsi="Times New Roman" w:cs="Times New Roman" w:eastAsia="Times New Roman" w:hint="default"/>
        </w:rPr>
        <w:t>250 </w:t>
      </w:r>
      <w:r>
        <w:rPr/>
        <w:t>家连锁店发展项目中合计</w:t>
      </w:r>
      <w:r>
        <w:rPr>
          <w:spacing w:val="-60"/>
        </w:rPr>
        <w:t> </w:t>
      </w:r>
      <w:r>
        <w:rPr>
          <w:rFonts w:ascii="Times New Roman" w:hAnsi="Times New Roman" w:cs="Times New Roman" w:eastAsia="Times New Roman" w:hint="default"/>
        </w:rPr>
        <w:t>89 </w:t>
      </w:r>
      <w:r>
        <w:rPr/>
        <w:t>家连 </w:t>
      </w:r>
      <w:r>
        <w:rPr>
          <w:spacing w:val="-3"/>
        </w:rPr>
        <w:t>锁店的实施地点进行变更；前述连锁店实施地点变更后，原连锁店发展项目的投资方案</w:t>
      </w:r>
      <w:r>
        <w:rPr>
          <w:spacing w:val="-98"/>
        </w:rPr>
        <w:t> </w:t>
      </w:r>
      <w:r>
        <w:rPr>
          <w:spacing w:val="-98"/>
        </w:rPr>
      </w:r>
      <w:r>
        <w:rPr>
          <w:spacing w:val="-3"/>
        </w:rPr>
        <w:t>不变，不会对项目的实施进度和盈利水平产生不利的影响，而通过本次调整，募集资金</w:t>
      </w:r>
      <w:r>
        <w:rPr>
          <w:spacing w:val="-102"/>
        </w:rPr>
        <w:t> </w:t>
      </w:r>
      <w:r>
        <w:rPr>
          <w:spacing w:val="-102"/>
        </w:rPr>
      </w:r>
      <w:r>
        <w:rPr/>
        <w:t>使用效率得到有效保证。</w:t>
      </w:r>
    </w:p>
    <w:p>
      <w:pPr>
        <w:pStyle w:val="BodyText"/>
        <w:spacing w:line="357" w:lineRule="auto" w:before="41"/>
        <w:ind w:left="700" w:right="1420"/>
        <w:jc w:val="left"/>
      </w:pPr>
      <w:r>
        <w:rPr/>
        <w:t>（二）非募集资金投资情况 报告期内，公司不存在投资金额超过公司最近一期经审计净资产</w:t>
      </w:r>
      <w:r>
        <w:rPr>
          <w:spacing w:val="-92"/>
        </w:rPr>
        <w:t> </w:t>
      </w:r>
      <w:r>
        <w:rPr>
          <w:rFonts w:ascii="宋体" w:hAnsi="宋体" w:cs="宋体" w:eastAsia="宋体" w:hint="default"/>
        </w:rPr>
        <w:t>10%</w:t>
      </w:r>
      <w:r>
        <w:rPr/>
        <w:t>及以上的重大</w:t>
      </w:r>
    </w:p>
    <w:p>
      <w:pPr>
        <w:pStyle w:val="BodyText"/>
        <w:spacing w:line="357" w:lineRule="auto" w:before="36"/>
        <w:ind w:left="700" w:right="3968" w:hanging="480"/>
        <w:jc w:val="left"/>
      </w:pPr>
      <w:r>
        <w:rPr/>
        <w:t>非募集资金投资的情况。公司非募集资金主要使用情况如下： </w:t>
      </w:r>
      <w:r>
        <w:rPr>
          <w:rFonts w:ascii="宋体" w:hAnsi="宋体" w:cs="宋体" w:eastAsia="宋体" w:hint="default"/>
        </w:rPr>
        <w:t>1</w:t>
      </w:r>
      <w:r>
        <w:rPr/>
        <w:t>、发起设立子公司</w:t>
      </w:r>
    </w:p>
    <w:p>
      <w:pPr>
        <w:pStyle w:val="BodyText"/>
        <w:spacing w:line="240" w:lineRule="auto" w:before="36"/>
        <w:ind w:left="700" w:right="1420"/>
        <w:jc w:val="left"/>
      </w:pPr>
      <w:r>
        <w:rPr/>
        <w:t>报告期内，公司及子公司发起设立新公司新增投资额</w:t>
      </w:r>
      <w:r>
        <w:rPr>
          <w:spacing w:val="-60"/>
        </w:rPr>
        <w:t> </w:t>
      </w:r>
      <w:r>
        <w:rPr>
          <w:rFonts w:ascii="宋体" w:hAnsi="宋体" w:cs="宋体" w:eastAsia="宋体" w:hint="default"/>
        </w:rPr>
        <w:t>8.52</w:t>
      </w:r>
      <w:r>
        <w:rPr>
          <w:rFonts w:ascii="宋体" w:hAnsi="宋体" w:cs="宋体" w:eastAsia="宋体" w:hint="default"/>
          <w:spacing w:val="-60"/>
        </w:rPr>
        <w:t> </w:t>
      </w:r>
      <w:r>
        <w:rPr/>
        <w:t>亿元，主要包括：</w:t>
      </w:r>
    </w:p>
    <w:p>
      <w:pPr>
        <w:pStyle w:val="BodyText"/>
        <w:spacing w:line="357" w:lineRule="auto" w:before="154"/>
        <w:ind w:left="220" w:right="1423" w:firstLine="480"/>
        <w:jc w:val="left"/>
      </w:pPr>
      <w:r>
        <w:rPr/>
        <w:t>（</w:t>
      </w:r>
      <w:r>
        <w:rPr>
          <w:rFonts w:ascii="宋体" w:hAnsi="宋体" w:cs="宋体" w:eastAsia="宋体" w:hint="default"/>
        </w:rPr>
        <w:t>1</w:t>
      </w:r>
      <w:r>
        <w:rPr/>
        <w:t>）公司及子公司发起设立的注册资本在人民币</w:t>
      </w:r>
      <w:r>
        <w:rPr>
          <w:spacing w:val="-53"/>
        </w:rPr>
        <w:t> </w:t>
      </w:r>
      <w:r>
        <w:rPr>
          <w:rFonts w:ascii="宋体" w:hAnsi="宋体" w:cs="宋体" w:eastAsia="宋体" w:hint="default"/>
        </w:rPr>
        <w:t>1000</w:t>
      </w:r>
      <w:r>
        <w:rPr>
          <w:rFonts w:ascii="宋体" w:hAnsi="宋体" w:cs="宋体" w:eastAsia="宋体" w:hint="default"/>
          <w:spacing w:val="-54"/>
        </w:rPr>
        <w:t> </w:t>
      </w:r>
      <w:r>
        <w:rPr/>
        <w:t>万元以上的子公司</w:t>
      </w:r>
      <w:r>
        <w:rPr>
          <w:spacing w:val="-54"/>
        </w:rPr>
        <w:t> </w:t>
      </w:r>
      <w:r>
        <w:rPr>
          <w:rFonts w:ascii="宋体" w:hAnsi="宋体" w:cs="宋体" w:eastAsia="宋体" w:hint="default"/>
        </w:rPr>
        <w:t>21</w:t>
      </w:r>
      <w:r>
        <w:rPr>
          <w:rFonts w:ascii="宋体" w:hAnsi="宋体" w:cs="宋体" w:eastAsia="宋体" w:hint="default"/>
          <w:spacing w:val="-54"/>
        </w:rPr>
        <w:t> </w:t>
      </w:r>
      <w:r>
        <w:rPr/>
        <w:t>家， 具体如下：</w:t>
      </w:r>
    </w:p>
    <w:p>
      <w:pPr>
        <w:spacing w:line="240" w:lineRule="auto" w:before="12"/>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70"/>
        <w:gridCol w:w="3418"/>
        <w:gridCol w:w="1976"/>
        <w:gridCol w:w="1261"/>
        <w:gridCol w:w="1078"/>
        <w:gridCol w:w="1397"/>
      </w:tblGrid>
      <w:tr>
        <w:trPr>
          <w:trHeight w:val="790"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9" w:right="131"/>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7" w:right="0"/>
              <w:jc w:val="center"/>
              <w:rPr>
                <w:rFonts w:ascii="宋体" w:hAnsi="宋体" w:cs="宋体" w:eastAsia="宋体" w:hint="default"/>
                <w:sz w:val="20"/>
                <w:szCs w:val="20"/>
              </w:rPr>
            </w:pPr>
            <w:r>
              <w:rPr>
                <w:rFonts w:ascii="宋体" w:hAnsi="宋体" w:cs="宋体" w:eastAsia="宋体" w:hint="default"/>
                <w:b/>
                <w:bCs/>
                <w:sz w:val="20"/>
                <w:szCs w:val="20"/>
              </w:rPr>
              <w:t>新设子公司</w:t>
            </w:r>
            <w:r>
              <w:rPr>
                <w:rFonts w:ascii="宋体" w:hAnsi="宋体" w:cs="宋体" w:eastAsia="宋体" w:hint="default"/>
                <w:sz w:val="20"/>
                <w:szCs w:val="20"/>
              </w:rPr>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80" w:right="0"/>
              <w:jc w:val="left"/>
              <w:rPr>
                <w:rFonts w:ascii="宋体" w:hAnsi="宋体" w:cs="宋体" w:eastAsia="宋体" w:hint="default"/>
                <w:sz w:val="20"/>
                <w:szCs w:val="20"/>
              </w:rPr>
            </w:pPr>
            <w:r>
              <w:rPr>
                <w:rFonts w:ascii="宋体" w:hAnsi="宋体" w:cs="宋体" w:eastAsia="宋体" w:hint="default"/>
                <w:b/>
                <w:bCs/>
                <w:sz w:val="20"/>
                <w:szCs w:val="20"/>
              </w:rPr>
              <w:t>成立日期</w:t>
            </w:r>
            <w:r>
              <w:rPr>
                <w:rFonts w:ascii="宋体" w:hAnsi="宋体" w:cs="宋体" w:eastAsia="宋体" w:hint="default"/>
                <w:sz w:val="20"/>
                <w:szCs w:val="20"/>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公司</w:t>
            </w:r>
            <w:r>
              <w:rPr>
                <w:rFonts w:ascii="宋体" w:hAnsi="宋体" w:cs="宋体" w:eastAsia="宋体" w:hint="default"/>
                <w:b/>
                <w:bCs/>
                <w:sz w:val="20"/>
                <w:szCs w:val="20"/>
              </w:rPr>
              <w:t>/</w:t>
            </w:r>
            <w:r>
              <w:rPr>
                <w:rFonts w:ascii="宋体" w:hAnsi="宋体" w:cs="宋体" w:eastAsia="宋体" w:hint="default"/>
                <w:b/>
                <w:bCs/>
                <w:sz w:val="20"/>
                <w:szCs w:val="20"/>
              </w:rPr>
              <w:t>子</w:t>
            </w:r>
            <w:r>
              <w:rPr>
                <w:rFonts w:ascii="宋体" w:hAnsi="宋体" w:cs="宋体" w:eastAsia="宋体" w:hint="default"/>
                <w:sz w:val="20"/>
                <w:szCs w:val="20"/>
              </w:rPr>
            </w:r>
          </w:p>
          <w:p>
            <w:pPr>
              <w:pStyle w:val="TableParagraph"/>
              <w:spacing w:line="240" w:lineRule="auto"/>
              <w:ind w:left="100" w:right="164"/>
              <w:jc w:val="left"/>
              <w:rPr>
                <w:rFonts w:ascii="宋体" w:hAnsi="宋体" w:cs="宋体" w:eastAsia="宋体" w:hint="default"/>
                <w:sz w:val="20"/>
                <w:szCs w:val="20"/>
              </w:rPr>
            </w:pPr>
            <w:r>
              <w:rPr>
                <w:rFonts w:ascii="宋体" w:hAnsi="宋体" w:cs="宋体" w:eastAsia="宋体" w:hint="default"/>
                <w:b/>
                <w:bCs/>
                <w:sz w:val="20"/>
                <w:szCs w:val="20"/>
              </w:rPr>
              <w:t>公司实际</w:t>
            </w:r>
            <w:r>
              <w:rPr>
                <w:rFonts w:ascii="宋体" w:hAnsi="宋体" w:cs="宋体" w:eastAsia="宋体" w:hint="default"/>
                <w:b/>
                <w:bCs/>
                <w:w w:val="99"/>
                <w:sz w:val="20"/>
                <w:szCs w:val="20"/>
              </w:rPr>
              <w:t> </w:t>
            </w:r>
            <w:r>
              <w:rPr>
                <w:rFonts w:ascii="宋体" w:hAnsi="宋体" w:cs="宋体" w:eastAsia="宋体" w:hint="default"/>
                <w:b/>
                <w:bCs/>
                <w:sz w:val="20"/>
                <w:szCs w:val="20"/>
              </w:rPr>
              <w:t>出资额</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3" w:right="193" w:hanging="202"/>
              <w:jc w:val="left"/>
              <w:rPr>
                <w:rFonts w:ascii="宋体" w:hAnsi="宋体" w:cs="宋体" w:eastAsia="宋体" w:hint="default"/>
                <w:sz w:val="20"/>
                <w:szCs w:val="20"/>
              </w:rPr>
            </w:pPr>
            <w:r>
              <w:rPr>
                <w:rFonts w:ascii="宋体" w:hAnsi="宋体" w:cs="宋体" w:eastAsia="宋体" w:hint="default"/>
                <w:b/>
                <w:bCs/>
                <w:sz w:val="20"/>
                <w:szCs w:val="20"/>
              </w:rPr>
              <w:t>报告期实现</w:t>
            </w:r>
            <w:r>
              <w:rPr>
                <w:rFonts w:ascii="宋体" w:hAnsi="宋体" w:cs="宋体" w:eastAsia="宋体" w:hint="default"/>
                <w:b/>
                <w:bCs/>
                <w:w w:val="99"/>
                <w:sz w:val="20"/>
                <w:szCs w:val="20"/>
              </w:rPr>
              <w:t> </w:t>
            </w: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1</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南京苏宁易付宝网络科技有限公司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103.29</w:t>
            </w:r>
            <w:r>
              <w:rPr>
                <w:rFonts w:ascii="宋体"/>
                <w:sz w:val="20"/>
              </w:rPr>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2</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成都苏宁电器有限公司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58.74</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left"/>
              <w:rPr>
                <w:rFonts w:ascii="Times New Roman" w:hAnsi="Times New Roman" w:cs="Times New Roman" w:eastAsia="Times New Roman" w:hint="default"/>
                <w:sz w:val="21"/>
                <w:szCs w:val="21"/>
              </w:rPr>
            </w:pPr>
            <w:r>
              <w:rPr>
                <w:rFonts w:ascii="Times New Roman"/>
                <w:w w:val="100"/>
                <w:sz w:val="21"/>
              </w:rPr>
              <w:t>3</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贵阳金阳苏宁电器有限公司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4,000.00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4,000.00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宋体" w:hAnsi="宋体" w:cs="宋体" w:eastAsia="宋体" w:hint="default"/>
                <w:sz w:val="20"/>
                <w:szCs w:val="20"/>
              </w:rPr>
            </w:pPr>
            <w:r>
              <w:rPr>
                <w:rFonts w:ascii="宋体"/>
                <w:sz w:val="20"/>
              </w:rPr>
              <w:t>1.03</w:t>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4</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中山市苏宁物流有限公司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4,000.00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4,000.00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-10.19</w:t>
            </w:r>
            <w:r>
              <w:rPr>
                <w:rFonts w:ascii="宋体"/>
                <w:sz w:val="20"/>
              </w:rPr>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江西苏宁物流有限公司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4,000.00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spacing w:val="-1"/>
                <w:sz w:val="20"/>
              </w:rPr>
              <w:t>4,000.00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-26.64</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left"/>
              <w:rPr>
                <w:rFonts w:ascii="Times New Roman" w:hAnsi="Times New Roman" w:cs="Times New Roman" w:eastAsia="Times New Roman" w:hint="default"/>
                <w:sz w:val="21"/>
                <w:szCs w:val="21"/>
              </w:rPr>
            </w:pPr>
            <w:r>
              <w:rPr>
                <w:rFonts w:ascii="Times New Roman"/>
                <w:w w:val="100"/>
                <w:sz w:val="21"/>
              </w:rPr>
              <w:t>6</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汕头市龙湖苏宁电器有限公司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2,000.00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-162.91</w:t>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7</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北京京朝苏宁电器有限公司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2,000.00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-57.00</w:t>
            </w:r>
            <w:r>
              <w:rPr>
                <w:rFonts w:ascii="宋体"/>
                <w:sz w:val="20"/>
              </w:rPr>
            </w:r>
          </w:p>
        </w:tc>
      </w:tr>
      <w:tr>
        <w:trPr>
          <w:trHeight w:val="279"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Times New Roman" w:hAnsi="Times New Roman" w:cs="Times New Roman" w:eastAsia="Times New Roman" w:hint="default"/>
                <w:sz w:val="21"/>
                <w:szCs w:val="21"/>
              </w:rPr>
            </w:pPr>
            <w:r>
              <w:rPr>
                <w:rFonts w:ascii="Times New Roman"/>
                <w:w w:val="100"/>
                <w:sz w:val="21"/>
              </w:rPr>
              <w:t>8</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北京京房苏宁电器有限公司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spacing w:val="-1"/>
                <w:sz w:val="20"/>
              </w:rPr>
              <w:t>2,000.00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-6.67</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left"/>
              <w:rPr>
                <w:rFonts w:ascii="Times New Roman" w:hAnsi="Times New Roman" w:cs="Times New Roman" w:eastAsia="Times New Roman" w:hint="default"/>
                <w:sz w:val="21"/>
                <w:szCs w:val="21"/>
              </w:rPr>
            </w:pPr>
            <w:r>
              <w:rPr>
                <w:rFonts w:ascii="Times New Roman"/>
                <w:w w:val="100"/>
                <w:sz w:val="21"/>
              </w:rPr>
              <w:t>9</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抚顺苏宁电器有限公司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4</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2,000.00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-88.53</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10</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广西苏宁物流有限公司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2,000.00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2,000.00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宋体" w:hAnsi="宋体" w:cs="宋体" w:eastAsia="宋体" w:hint="default"/>
                <w:sz w:val="20"/>
                <w:szCs w:val="20"/>
              </w:rPr>
            </w:pPr>
            <w:r>
              <w:rPr>
                <w:rFonts w:ascii="宋体" w:hAnsi="宋体" w:cs="宋体" w:eastAsia="宋体" w:hint="default"/>
                <w:w w:val="95"/>
                <w:sz w:val="20"/>
                <w:szCs w:val="20"/>
              </w:rPr>
              <w:t>未运营</w:t>
            </w:r>
            <w:r>
              <w:rPr>
                <w:rFonts w:ascii="宋体" w:hAnsi="宋体" w:cs="宋体" w:eastAsia="宋体" w:hint="default"/>
                <w:sz w:val="20"/>
                <w:szCs w:val="20"/>
              </w:rPr>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宿迁苏宁电器物流有限公司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6</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1,500.00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spacing w:val="-1"/>
                <w:sz w:val="20"/>
              </w:rPr>
              <w:t>1,500.00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-0.07</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Times New Roman" w:hAnsi="Times New Roman" w:cs="Times New Roman" w:eastAsia="Times New Roman" w:hint="default"/>
                <w:sz w:val="21"/>
                <w:szCs w:val="21"/>
              </w:rPr>
            </w:pPr>
            <w:r>
              <w:rPr>
                <w:rFonts w:ascii="Times New Roman"/>
                <w:sz w:val="21"/>
              </w:rPr>
              <w:t>12</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常州武进苏宁电器有限公司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-144.90</w:t>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13</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包头市滨河苏宁电器有限公司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-16.07</w:t>
            </w:r>
            <w:r>
              <w:rPr>
                <w:rFonts w:ascii="宋体"/>
                <w:sz w:val="20"/>
              </w:rPr>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14</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太原苏宁电器有限公司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宋体" w:hAnsi="宋体" w:cs="宋体" w:eastAsia="宋体" w:hint="default"/>
                <w:sz w:val="20"/>
                <w:szCs w:val="20"/>
              </w:rPr>
            </w:pPr>
            <w:r>
              <w:rPr>
                <w:rFonts w:ascii="宋体" w:hAnsi="宋体" w:cs="宋体" w:eastAsia="宋体" w:hint="default"/>
                <w:w w:val="95"/>
                <w:sz w:val="20"/>
                <w:szCs w:val="20"/>
              </w:rPr>
              <w:t>未运营</w:t>
            </w:r>
            <w:r>
              <w:rPr>
                <w:rFonts w:ascii="宋体" w:hAnsi="宋体" w:cs="宋体" w:eastAsia="宋体" w:hint="default"/>
                <w:sz w:val="20"/>
                <w:szCs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Times New Roman" w:hAnsi="Times New Roman" w:cs="Times New Roman" w:eastAsia="Times New Roman" w:hint="default"/>
                <w:sz w:val="21"/>
                <w:szCs w:val="21"/>
              </w:rPr>
            </w:pPr>
            <w:r>
              <w:rPr>
                <w:rFonts w:ascii="Times New Roman"/>
                <w:sz w:val="21"/>
              </w:rPr>
              <w:t>15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南京雨花苏宁电器有限公司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1,962.30</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16</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乌鲁木齐苏宁电器有限公司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7</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26</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-0.20</w:t>
            </w:r>
          </w:p>
        </w:tc>
      </w:tr>
      <w:tr>
        <w:trPr>
          <w:trHeight w:val="278"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17</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淮安清浦苏宁电器有限公司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8</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宋体" w:hAnsi="宋体" w:cs="宋体" w:eastAsia="宋体" w:hint="default"/>
                <w:sz w:val="20"/>
                <w:szCs w:val="20"/>
              </w:rPr>
            </w:pPr>
            <w:r>
              <w:rPr>
                <w:rFonts w:ascii="宋体" w:hAnsi="宋体" w:cs="宋体" w:eastAsia="宋体" w:hint="default"/>
                <w:w w:val="95"/>
                <w:sz w:val="20"/>
                <w:szCs w:val="20"/>
              </w:rPr>
              <w:t>未运营</w:t>
            </w:r>
            <w:r>
              <w:rPr>
                <w:rFonts w:ascii="宋体" w:hAnsi="宋体" w:cs="宋体" w:eastAsia="宋体" w:hint="default"/>
                <w:sz w:val="20"/>
                <w:szCs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Times New Roman" w:hAnsi="Times New Roman" w:cs="Times New Roman" w:eastAsia="Times New Roman" w:hint="default"/>
                <w:sz w:val="21"/>
                <w:szCs w:val="21"/>
              </w:rPr>
            </w:pPr>
            <w:r>
              <w:rPr>
                <w:rFonts w:ascii="Times New Roman"/>
                <w:sz w:val="21"/>
              </w:rPr>
              <w:t>18</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盱眙苏宁电器有限公司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-0.44</w:t>
            </w:r>
            <w:r>
              <w:rPr>
                <w:rFonts w:ascii="宋体"/>
                <w:sz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19</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南通苏宁电器采购有限公司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pacing w:val="-1"/>
                <w:sz w:val="20"/>
              </w:rPr>
              <w:t>1,000.00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-29.03</w:t>
            </w:r>
            <w:r>
              <w:rPr>
                <w:rFonts w:ascii="宋体"/>
                <w:sz w:val="20"/>
              </w:rPr>
            </w:r>
          </w:p>
        </w:tc>
      </w:tr>
      <w:tr>
        <w:trPr>
          <w:trHeight w:val="279"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4" w:right="0"/>
              <w:jc w:val="left"/>
              <w:rPr>
                <w:rFonts w:ascii="Times New Roman" w:hAnsi="Times New Roman" w:cs="Times New Roman" w:eastAsia="Times New Roman" w:hint="default"/>
                <w:sz w:val="21"/>
                <w:szCs w:val="21"/>
              </w:rPr>
            </w:pPr>
            <w:r>
              <w:rPr>
                <w:rFonts w:ascii="Times New Roman"/>
                <w:sz w:val="21"/>
              </w:rPr>
              <w:t>20</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北京通州国开村镇银行股份有限公司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4"/>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2"/>
              <w:jc w:val="right"/>
              <w:rPr>
                <w:rFonts w:ascii="Times New Roman" w:hAnsi="Times New Roman" w:cs="Times New Roman" w:eastAsia="Times New Roman" w:hint="default"/>
                <w:sz w:val="20"/>
                <w:szCs w:val="20"/>
              </w:rPr>
            </w:pPr>
            <w:r>
              <w:rPr>
                <w:rFonts w:ascii="Times New Roman"/>
                <w:w w:val="95"/>
                <w:sz w:val="20"/>
              </w:rPr>
              <w:t>900.00</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宋体" w:hAnsi="宋体" w:cs="宋体" w:eastAsia="宋体" w:hint="default"/>
                <w:sz w:val="20"/>
                <w:szCs w:val="20"/>
              </w:rPr>
            </w:pPr>
            <w:r>
              <w:rPr>
                <w:rFonts w:ascii="宋体" w:hAnsi="宋体" w:cs="宋体" w:eastAsia="宋体" w:hint="default"/>
                <w:w w:val="95"/>
                <w:sz w:val="20"/>
                <w:szCs w:val="20"/>
              </w:rPr>
              <w:t>未运营</w:t>
            </w:r>
            <w:r>
              <w:rPr>
                <w:rFonts w:ascii="宋体" w:hAnsi="宋体" w:cs="宋体" w:eastAsia="宋体" w:hint="default"/>
                <w:sz w:val="20"/>
                <w:szCs w:val="20"/>
              </w:rPr>
            </w:r>
          </w:p>
        </w:tc>
      </w:tr>
      <w:tr>
        <w:trPr>
          <w:trHeight w:val="281" w:hRule="exact"/>
        </w:trPr>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Times New Roman" w:hAnsi="Times New Roman" w:cs="Times New Roman" w:eastAsia="Times New Roman" w:hint="default"/>
                <w:sz w:val="21"/>
                <w:szCs w:val="21"/>
              </w:rPr>
            </w:pPr>
            <w:r>
              <w:rPr>
                <w:rFonts w:ascii="Times New Roman"/>
                <w:sz w:val="21"/>
              </w:rPr>
              <w:t>21</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菱重家用空调系统（上海）有限公司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9</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3,200.00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480.00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宋体" w:hAnsi="宋体" w:cs="宋体" w:eastAsia="宋体" w:hint="default"/>
                <w:sz w:val="20"/>
                <w:szCs w:val="20"/>
              </w:rPr>
            </w:pPr>
            <w:r>
              <w:rPr>
                <w:rFonts w:ascii="宋体" w:hAnsi="宋体" w:cs="宋体" w:eastAsia="宋体" w:hint="default"/>
                <w:w w:val="95"/>
                <w:sz w:val="20"/>
                <w:szCs w:val="20"/>
              </w:rPr>
              <w:t>未运营</w:t>
            </w:r>
            <w:r>
              <w:rPr>
                <w:rFonts w:ascii="宋体" w:hAnsi="宋体" w:cs="宋体" w:eastAsia="宋体" w:hint="default"/>
                <w:sz w:val="20"/>
                <w:szCs w:val="20"/>
              </w:rPr>
            </w:r>
          </w:p>
        </w:tc>
      </w:tr>
    </w:tbl>
    <w:p>
      <w:pPr>
        <w:pStyle w:val="BodyText"/>
        <w:spacing w:line="274" w:lineRule="exact" w:before="0"/>
        <w:ind w:left="700" w:right="0"/>
        <w:jc w:val="left"/>
      </w:pPr>
      <w:r>
        <w:rPr>
          <w:spacing w:val="-3"/>
        </w:rPr>
        <w:t>（</w:t>
      </w:r>
      <w:r>
        <w:rPr>
          <w:rFonts w:ascii="宋体" w:hAnsi="宋体" w:cs="宋体" w:eastAsia="宋体" w:hint="default"/>
          <w:spacing w:val="-3"/>
        </w:rPr>
        <w:t>2</w:t>
      </w:r>
      <w:r>
        <w:rPr>
          <w:spacing w:val="-3"/>
        </w:rPr>
        <w:t>）除上表列示之外，公司及子公司还发起设立其他</w:t>
      </w:r>
      <w:r>
        <w:rPr>
          <w:spacing w:val="-56"/>
        </w:rPr>
        <w:t> </w:t>
      </w:r>
      <w:r>
        <w:rPr>
          <w:rFonts w:ascii="宋体" w:hAnsi="宋体" w:cs="宋体" w:eastAsia="宋体" w:hint="default"/>
        </w:rPr>
        <w:t>62</w:t>
      </w:r>
      <w:r>
        <w:rPr>
          <w:rFonts w:ascii="宋体" w:hAnsi="宋体" w:cs="宋体" w:eastAsia="宋体" w:hint="default"/>
          <w:spacing w:val="-56"/>
        </w:rPr>
        <w:t> </w:t>
      </w:r>
      <w:r>
        <w:rPr>
          <w:spacing w:val="-3"/>
        </w:rPr>
        <w:t>家新公司，投资金额人民</w:t>
      </w:r>
    </w:p>
    <w:p>
      <w:pPr>
        <w:pStyle w:val="BodyText"/>
        <w:spacing w:line="240" w:lineRule="auto" w:before="154"/>
        <w:ind w:left="220" w:right="1420"/>
        <w:jc w:val="left"/>
      </w:pPr>
      <w:r>
        <w:rPr/>
        <w:t>币</w:t>
      </w:r>
      <w:r>
        <w:rPr>
          <w:spacing w:val="-60"/>
        </w:rPr>
        <w:t> </w:t>
      </w:r>
      <w:r>
        <w:rPr>
          <w:rFonts w:ascii="宋体" w:hAnsi="宋体" w:cs="宋体" w:eastAsia="宋体" w:hint="default"/>
        </w:rPr>
        <w:t>3.23</w:t>
      </w:r>
      <w:r>
        <w:rPr>
          <w:rFonts w:ascii="宋体" w:hAnsi="宋体" w:cs="宋体" w:eastAsia="宋体" w:hint="default"/>
          <w:spacing w:val="-1"/>
        </w:rPr>
        <w:t> </w:t>
      </w:r>
      <w:r>
        <w:rPr/>
        <w:t>亿元，该部分新公司报告期内实现净利润合计</w:t>
      </w:r>
      <w:r>
        <w:rPr>
          <w:spacing w:val="-60"/>
        </w:rPr>
        <w:t> </w:t>
      </w:r>
      <w:r>
        <w:rPr>
          <w:rFonts w:ascii="宋体" w:hAnsi="宋体" w:cs="宋体" w:eastAsia="宋体" w:hint="default"/>
        </w:rPr>
        <w:t>5,072.07</w:t>
      </w:r>
      <w:r>
        <w:rPr>
          <w:rFonts w:ascii="宋体" w:hAnsi="宋体" w:cs="宋体" w:eastAsia="宋体" w:hint="default"/>
          <w:spacing w:val="-60"/>
        </w:rPr>
        <w:t> </w:t>
      </w:r>
      <w:r>
        <w:rPr/>
        <w:t>万元。</w:t>
      </w:r>
    </w:p>
    <w:p>
      <w:pPr>
        <w:spacing w:after="0" w:line="240" w:lineRule="auto"/>
        <w:jc w:val="left"/>
        <w:sectPr>
          <w:pgSz w:w="11910" w:h="16840"/>
          <w:pgMar w:header="748" w:footer="857" w:top="980" w:bottom="1040" w:left="1220" w:right="0"/>
        </w:sectPr>
      </w:pPr>
    </w:p>
    <w:p>
      <w:pPr>
        <w:spacing w:line="240" w:lineRule="auto" w:before="6"/>
        <w:rPr>
          <w:rFonts w:ascii="宋体" w:hAnsi="宋体" w:cs="宋体" w:eastAsia="宋体" w:hint="default"/>
          <w:sz w:val="29"/>
          <w:szCs w:val="29"/>
        </w:rPr>
      </w:pPr>
    </w:p>
    <w:p>
      <w:pPr>
        <w:pStyle w:val="BodyText"/>
        <w:spacing w:line="240" w:lineRule="auto" w:before="26"/>
        <w:ind w:left="1100" w:right="1328"/>
        <w:jc w:val="left"/>
      </w:pPr>
      <w:r>
        <w:rPr>
          <w:rFonts w:ascii="宋体" w:hAnsi="宋体" w:cs="宋体" w:eastAsia="宋体" w:hint="default"/>
        </w:rPr>
        <w:t>2</w:t>
      </w:r>
      <w:r>
        <w:rPr/>
        <w:t>、其他非募集资金投资</w:t>
      </w:r>
    </w:p>
    <w:p>
      <w:pPr>
        <w:pStyle w:val="BodyText"/>
        <w:spacing w:line="240" w:lineRule="auto" w:before="154"/>
        <w:ind w:left="1100" w:right="1328"/>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2"/>
        </w:rPr>
        <w:t> </w:t>
      </w:r>
      <w:r>
        <w:rPr/>
        <w:t>月</w:t>
      </w:r>
      <w:r>
        <w:rPr>
          <w:spacing w:val="-45"/>
        </w:rPr>
        <w:t> </w:t>
      </w:r>
      <w:r>
        <w:rPr>
          <w:rFonts w:ascii="宋体" w:hAnsi="宋体" w:cs="宋体" w:eastAsia="宋体" w:hint="default"/>
        </w:rPr>
        <w:t>11</w:t>
      </w:r>
      <w:r>
        <w:rPr>
          <w:rFonts w:ascii="宋体" w:hAnsi="宋体" w:cs="宋体" w:eastAsia="宋体" w:hint="default"/>
          <w:spacing w:val="-42"/>
        </w:rPr>
        <w:t> </w:t>
      </w:r>
      <w:r>
        <w:rPr/>
        <w:t>日，苏宁电器股份有限公司与芜湖市建设投资有限公司签订</w:t>
      </w:r>
    </w:p>
    <w:p>
      <w:pPr>
        <w:pStyle w:val="BodyText"/>
        <w:spacing w:line="357" w:lineRule="auto" w:before="154"/>
        <w:ind w:left="620" w:right="1433"/>
        <w:jc w:val="both"/>
      </w:pPr>
      <w:r>
        <w:rPr>
          <w:spacing w:val="-13"/>
        </w:rPr>
        <w:t>《产权交易合同》，出资</w:t>
      </w:r>
      <w:r>
        <w:rPr>
          <w:spacing w:val="-56"/>
        </w:rPr>
        <w:t> </w:t>
      </w:r>
      <w:r>
        <w:rPr>
          <w:rFonts w:ascii="宋体" w:hAnsi="宋体" w:cs="宋体" w:eastAsia="宋体" w:hint="default"/>
        </w:rPr>
        <w:t>8000</w:t>
      </w:r>
      <w:r>
        <w:rPr>
          <w:rFonts w:ascii="宋体" w:hAnsi="宋体" w:cs="宋体" w:eastAsia="宋体" w:hint="default"/>
          <w:spacing w:val="-56"/>
        </w:rPr>
        <w:t> </w:t>
      </w:r>
      <w:r>
        <w:rPr>
          <w:spacing w:val="-1"/>
        </w:rPr>
        <w:t>万元，受让其持有的芜湖万联智能通卡有限公司</w:t>
      </w:r>
      <w:r>
        <w:rPr>
          <w:spacing w:val="-55"/>
        </w:rPr>
        <w:t> </w:t>
      </w:r>
      <w:r>
        <w:rPr>
          <w:rFonts w:ascii="宋体" w:hAnsi="宋体" w:cs="宋体" w:eastAsia="宋体" w:hint="default"/>
        </w:rPr>
        <w:t>98.4%</w:t>
      </w:r>
      <w:r>
        <w:rPr/>
        <w:t>的 股份。</w:t>
      </w:r>
    </w:p>
    <w:p>
      <w:pPr>
        <w:pStyle w:val="BodyText"/>
        <w:spacing w:line="240" w:lineRule="auto" w:before="36"/>
        <w:ind w:left="1100" w:right="1328"/>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2"/>
        </w:rPr>
        <w:t> </w:t>
      </w:r>
      <w:r>
        <w:rPr/>
        <w:t>月</w:t>
      </w:r>
      <w:r>
        <w:rPr>
          <w:spacing w:val="-45"/>
        </w:rPr>
        <w:t> </w:t>
      </w:r>
      <w:r>
        <w:rPr>
          <w:rFonts w:ascii="宋体" w:hAnsi="宋体" w:cs="宋体" w:eastAsia="宋体" w:hint="default"/>
        </w:rPr>
        <w:t>11</w:t>
      </w:r>
      <w:r>
        <w:rPr>
          <w:rFonts w:ascii="宋体" w:hAnsi="宋体" w:cs="宋体" w:eastAsia="宋体" w:hint="default"/>
          <w:spacing w:val="-42"/>
        </w:rPr>
        <w:t> </w:t>
      </w:r>
      <w:r>
        <w:rPr/>
        <w:t>日，公司控股子公司—江苏苏宁易购电子商务有限公司与芜</w:t>
      </w:r>
    </w:p>
    <w:p>
      <w:pPr>
        <w:pStyle w:val="BodyText"/>
        <w:spacing w:line="357" w:lineRule="auto" w:before="154"/>
        <w:ind w:left="620" w:right="1436"/>
        <w:jc w:val="both"/>
      </w:pPr>
      <w:r>
        <w:rPr>
          <w:spacing w:val="-5"/>
        </w:rPr>
        <w:t>湖市镜湖建设投资有限公司签订《产权交易合同》，出资</w:t>
      </w:r>
      <w:r>
        <w:rPr/>
        <w:t> </w:t>
      </w:r>
      <w:r>
        <w:rPr>
          <w:rFonts w:ascii="宋体" w:hAnsi="宋体" w:cs="宋体" w:eastAsia="宋体" w:hint="default"/>
        </w:rPr>
        <w:t>990</w:t>
      </w:r>
      <w:r>
        <w:rPr>
          <w:rFonts w:ascii="宋体" w:hAnsi="宋体" w:cs="宋体" w:eastAsia="宋体" w:hint="default"/>
          <w:spacing w:val="-87"/>
        </w:rPr>
        <w:t> </w:t>
      </w:r>
      <w:r>
        <w:rPr/>
        <w:t>万元，受让其持有的安徽 华夏通支付有限公司</w:t>
      </w:r>
      <w:r>
        <w:rPr>
          <w:spacing w:val="-60"/>
        </w:rPr>
        <w:t> </w:t>
      </w:r>
      <w:r>
        <w:rPr>
          <w:rFonts w:ascii="宋体" w:hAnsi="宋体" w:cs="宋体" w:eastAsia="宋体" w:hint="default"/>
          <w:spacing w:val="-4"/>
        </w:rPr>
        <w:t>9.9%</w:t>
      </w:r>
      <w:r>
        <w:rPr>
          <w:spacing w:val="-4"/>
        </w:rPr>
        <w:t>的股份。</w:t>
      </w:r>
      <w:r>
        <w:rPr>
          <w:rFonts w:ascii="宋体" w:hAnsi="宋体" w:cs="宋体" w:eastAsia="宋体" w:hint="default"/>
          <w:spacing w:val="-4"/>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3"/>
        </w:rPr>
        <w:t>日，苏宁电器股份有限公司与芜湖市</w:t>
      </w:r>
      <w:r>
        <w:rPr/>
        <w:t> </w:t>
      </w:r>
      <w:r>
        <w:rPr>
          <w:spacing w:val="-5"/>
        </w:rPr>
        <w:t>联网汇通电子科技有限公司签署了《股权转让协议》，出资</w:t>
      </w:r>
      <w:r>
        <w:rPr/>
        <w:t> </w:t>
      </w:r>
      <w:r>
        <w:rPr>
          <w:rFonts w:ascii="宋体" w:hAnsi="宋体" w:cs="宋体" w:eastAsia="宋体" w:hint="default"/>
        </w:rPr>
        <w:t>990</w:t>
      </w:r>
      <w:r>
        <w:rPr>
          <w:rFonts w:ascii="宋体" w:hAnsi="宋体" w:cs="宋体" w:eastAsia="宋体" w:hint="default"/>
          <w:spacing w:val="-82"/>
        </w:rPr>
        <w:t> </w:t>
      </w:r>
      <w:r>
        <w:rPr/>
        <w:t>万元，受让其持有的安 徽华夏通支付有限公司</w:t>
      </w:r>
      <w:r>
        <w:rPr>
          <w:spacing w:val="-60"/>
        </w:rPr>
        <w:t> </w:t>
      </w:r>
      <w:r>
        <w:rPr>
          <w:rFonts w:ascii="宋体" w:hAnsi="宋体" w:cs="宋体" w:eastAsia="宋体" w:hint="default"/>
        </w:rPr>
        <w:t>9.9%</w:t>
      </w:r>
      <w:r>
        <w:rPr/>
        <w:t>的股份。</w:t>
      </w:r>
    </w:p>
    <w:p>
      <w:pPr>
        <w:pStyle w:val="BodyText"/>
        <w:spacing w:line="357" w:lineRule="auto" w:before="36"/>
        <w:ind w:left="620" w:right="1328" w:firstLine="480"/>
        <w:jc w:val="left"/>
      </w:pPr>
      <w:r>
        <w:rPr/>
        <w:t>（</w:t>
      </w:r>
      <w:r>
        <w:rPr>
          <w:rFonts w:ascii="宋体" w:hAnsi="宋体" w:cs="宋体" w:eastAsia="宋体" w:hint="default"/>
        </w:rPr>
        <w:t>3</w:t>
      </w:r>
      <w:r>
        <w:rPr/>
        <w:t>）为进一步加强对控股子公司的控制，公司于</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月至</w:t>
      </w:r>
      <w:r>
        <w:rPr>
          <w:spacing w:val="-56"/>
        </w:rPr>
        <w:t> </w:t>
      </w:r>
      <w:r>
        <w:rPr>
          <w:rFonts w:ascii="宋体" w:hAnsi="宋体" w:cs="宋体" w:eastAsia="宋体" w:hint="default"/>
        </w:rPr>
        <w:t>12</w:t>
      </w:r>
      <w:r>
        <w:rPr>
          <w:rFonts w:ascii="宋体" w:hAnsi="宋体" w:cs="宋体" w:eastAsia="宋体" w:hint="default"/>
          <w:spacing w:val="-57"/>
        </w:rPr>
        <w:t> </w:t>
      </w:r>
      <w:r>
        <w:rPr/>
        <w:t>月份分别与上 海、北京、浙江、深圳、陕西、苏州、无锡、徐州、咸阳、南通、常州、吉林、岳阳、 福建、厦门公司合计 </w:t>
      </w:r>
      <w:r>
        <w:rPr>
          <w:rFonts w:ascii="宋体" w:hAnsi="宋体" w:cs="宋体" w:eastAsia="宋体" w:hint="default"/>
        </w:rPr>
        <w:t>15 </w:t>
      </w:r>
      <w:r>
        <w:rPr/>
        <w:t>家子公司共 </w:t>
      </w:r>
      <w:r>
        <w:rPr>
          <w:rFonts w:ascii="宋体" w:hAnsi="宋体" w:cs="宋体" w:eastAsia="宋体" w:hint="default"/>
        </w:rPr>
        <w:t>9</w:t>
      </w:r>
      <w:r>
        <w:rPr>
          <w:rFonts w:ascii="宋体" w:hAnsi="宋体" w:cs="宋体" w:eastAsia="宋体" w:hint="default"/>
          <w:spacing w:val="-85"/>
        </w:rPr>
        <w:t> </w:t>
      </w:r>
      <w:r>
        <w:rPr>
          <w:spacing w:val="-6"/>
        </w:rPr>
        <w:t>名少数股东签署了《股权转让协议》，合计出资</w:t>
      </w:r>
    </w:p>
    <w:p>
      <w:pPr>
        <w:pStyle w:val="BodyText"/>
        <w:spacing w:line="240" w:lineRule="auto" w:before="36"/>
        <w:ind w:left="620" w:right="0"/>
        <w:jc w:val="both"/>
      </w:pPr>
      <w:r>
        <w:rPr>
          <w:rFonts w:ascii="宋体" w:hAnsi="宋体" w:cs="宋体" w:eastAsia="宋体" w:hint="default"/>
        </w:rPr>
        <w:t>8.76</w:t>
      </w:r>
      <w:r>
        <w:rPr>
          <w:rFonts w:ascii="宋体" w:hAnsi="宋体" w:cs="宋体" w:eastAsia="宋体" w:hint="default"/>
          <w:spacing w:val="-60"/>
        </w:rPr>
        <w:t> </w:t>
      </w:r>
      <w:r>
        <w:rPr/>
        <w:t>亿元收购其持有的前述子公司股权。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1100" w:right="1328"/>
        <w:jc w:val="left"/>
      </w:pPr>
      <w:r>
        <w:rPr/>
        <w:t>五、董事会日常工作情况：</w:t>
      </w:r>
    </w:p>
    <w:p>
      <w:pPr>
        <w:pStyle w:val="BodyText"/>
        <w:spacing w:line="345" w:lineRule="auto" w:before="154"/>
        <w:ind w:left="620" w:right="1435" w:firstLine="480"/>
        <w:jc w:val="both"/>
      </w:pPr>
      <w:r>
        <w:rPr>
          <w:rFonts w:ascii="Times New Roman" w:hAnsi="Times New Roman" w:cs="Times New Roman" w:eastAsia="Times New Roman" w:hint="default"/>
        </w:rPr>
        <w:t>1</w:t>
      </w:r>
      <w:r>
        <w:rPr/>
        <w:t>、报告期内董事会认真履行工作职责，审慎行使公司《章程》和股东大会赋予的 职权，结合公司经营需要，共召开 </w:t>
      </w:r>
      <w:r>
        <w:rPr>
          <w:rFonts w:ascii="Times New Roman" w:hAnsi="Times New Roman" w:cs="Times New Roman" w:eastAsia="Times New Roman" w:hint="default"/>
        </w:rPr>
        <w:t>15</w:t>
      </w:r>
      <w:r>
        <w:rPr>
          <w:rFonts w:ascii="Times New Roman" w:hAnsi="Times New Roman" w:cs="Times New Roman" w:eastAsia="Times New Roman" w:hint="default"/>
          <w:spacing w:val="-32"/>
        </w:rPr>
        <w:t> </w:t>
      </w:r>
      <w:r>
        <w:rPr/>
        <w:t>次董事会会议，会议的通知、召开、表决程序符 </w:t>
      </w:r>
      <w:r>
        <w:rPr>
          <w:spacing w:val="-3"/>
        </w:rPr>
        <w:t>合《公司法》、公司《章程》、《董事会议事规则》等各项法律、法规及监管部门的要</w:t>
      </w:r>
      <w:r>
        <w:rPr>
          <w:spacing w:val="-96"/>
        </w:rPr>
        <w:t> </w:t>
      </w:r>
      <w:r>
        <w:rPr>
          <w:spacing w:val="-96"/>
        </w:rPr>
      </w:r>
      <w:r>
        <w:rPr/>
        <w:t>求。具体会议召开时间及披露情况如下：</w:t>
      </w:r>
    </w:p>
    <w:p>
      <w:pPr>
        <w:spacing w:line="240" w:lineRule="auto" w:before="10"/>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052"/>
        <w:gridCol w:w="2698"/>
        <w:gridCol w:w="4928"/>
        <w:gridCol w:w="1371"/>
      </w:tblGrid>
      <w:tr>
        <w:trPr>
          <w:trHeight w:val="557"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召开</w:t>
            </w:r>
          </w:p>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披露媒体名称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57"/>
              <w:jc w:val="right"/>
              <w:rPr>
                <w:rFonts w:ascii="宋体" w:hAnsi="宋体" w:cs="宋体" w:eastAsia="宋体" w:hint="default"/>
                <w:sz w:val="21"/>
                <w:szCs w:val="21"/>
              </w:rPr>
            </w:pPr>
            <w:r>
              <w:rPr>
                <w:rFonts w:ascii="宋体" w:hAnsi="宋体" w:cs="宋体" w:eastAsia="宋体" w:hint="default"/>
                <w:spacing w:val="-1"/>
                <w:sz w:val="21"/>
                <w:szCs w:val="21"/>
              </w:rPr>
              <w:t>披露日期</w:t>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2" w:right="0"/>
              <w:jc w:val="left"/>
              <w:rPr>
                <w:rFonts w:ascii="Times New Roman" w:hAnsi="Times New Roman" w:cs="Times New Roman" w:eastAsia="Times New Roman" w:hint="default"/>
                <w:sz w:val="18"/>
                <w:szCs w:val="18"/>
              </w:rPr>
            </w:pPr>
            <w:r>
              <w:rPr>
                <w:rFonts w:ascii="Times New Roman"/>
                <w:sz w:val="18"/>
              </w:rPr>
              <w:t>2011-1-6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第四届董事会第七次会议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52"/>
              <w:jc w:val="right"/>
              <w:rPr>
                <w:rFonts w:ascii="Times New Roman" w:hAnsi="Times New Roman" w:cs="Times New Roman" w:eastAsia="Times New Roman" w:hint="default"/>
                <w:sz w:val="18"/>
                <w:szCs w:val="18"/>
              </w:rPr>
            </w:pPr>
            <w:r>
              <w:rPr>
                <w:rFonts w:ascii="Times New Roman"/>
                <w:spacing w:val="-1"/>
                <w:w w:val="95"/>
                <w:sz w:val="18"/>
              </w:rPr>
              <w:t>2011-1-7</w:t>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2011-1-31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第四届董事会第八次会议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52"/>
              <w:jc w:val="right"/>
              <w:rPr>
                <w:rFonts w:ascii="Times New Roman" w:hAnsi="Times New Roman" w:cs="Times New Roman" w:eastAsia="Times New Roman" w:hint="default"/>
                <w:sz w:val="18"/>
                <w:szCs w:val="18"/>
              </w:rPr>
            </w:pPr>
            <w:r>
              <w:rPr>
                <w:rFonts w:ascii="Times New Roman"/>
                <w:spacing w:val="-1"/>
                <w:w w:val="95"/>
                <w:sz w:val="18"/>
              </w:rPr>
              <w:t>2011-2-1</w:t>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2011-3-14</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第四届董事会第九次会议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2" w:right="0"/>
              <w:jc w:val="left"/>
              <w:rPr>
                <w:rFonts w:ascii="Times New Roman" w:hAnsi="Times New Roman" w:cs="Times New Roman" w:eastAsia="Times New Roman" w:hint="default"/>
                <w:sz w:val="18"/>
                <w:szCs w:val="18"/>
              </w:rPr>
            </w:pPr>
            <w:r>
              <w:rPr>
                <w:rFonts w:ascii="Times New Roman"/>
                <w:sz w:val="18"/>
              </w:rPr>
              <w:t>2011-4-1</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第四届董事会第十次会议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52"/>
              <w:jc w:val="right"/>
              <w:rPr>
                <w:rFonts w:ascii="Times New Roman" w:hAnsi="Times New Roman" w:cs="Times New Roman" w:eastAsia="Times New Roman" w:hint="default"/>
                <w:sz w:val="18"/>
                <w:szCs w:val="18"/>
              </w:rPr>
            </w:pPr>
            <w:r>
              <w:rPr>
                <w:rFonts w:ascii="Times New Roman"/>
                <w:spacing w:val="-1"/>
                <w:w w:val="95"/>
                <w:sz w:val="18"/>
              </w:rPr>
              <w:t>2011-4-6</w:t>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2011-4-18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第四届董事会第十一次会议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5"/>
                <w:sz w:val="18"/>
                <w:szCs w:val="18"/>
              </w:rPr>
              <w:t>》</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2011-4-19</w:t>
            </w:r>
            <w:r>
              <w:rPr>
                <w:rFonts w:ascii="Times New Roman"/>
                <w:sz w:val="18"/>
              </w:rPr>
            </w:r>
          </w:p>
        </w:tc>
      </w:tr>
      <w:tr>
        <w:trPr>
          <w:trHeight w:val="480"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6" w:right="0"/>
              <w:jc w:val="left"/>
              <w:rPr>
                <w:rFonts w:ascii="Times New Roman" w:hAnsi="Times New Roman" w:cs="Times New Roman" w:eastAsia="Times New Roman" w:hint="default"/>
                <w:sz w:val="18"/>
                <w:szCs w:val="18"/>
              </w:rPr>
            </w:pPr>
            <w:r>
              <w:rPr>
                <w:rFonts w:ascii="Times New Roman"/>
                <w:sz w:val="18"/>
              </w:rPr>
              <w:t>2011-4-29</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05"/>
              <w:jc w:val="right"/>
              <w:rPr>
                <w:rFonts w:ascii="Times New Roman" w:hAnsi="Times New Roman" w:cs="Times New Roman" w:eastAsia="Times New Roman" w:hint="default"/>
                <w:sz w:val="18"/>
                <w:szCs w:val="18"/>
              </w:rPr>
            </w:pPr>
            <w:r>
              <w:rPr>
                <w:rFonts w:ascii="Times New Roman"/>
                <w:spacing w:val="-1"/>
                <w:sz w:val="18"/>
              </w:rPr>
              <w:t>2011-4-30</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2011-6-16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第四届董事会第十三次会议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2011-6-17</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2011-6-28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第四届董事会第十四次会议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2011-6-29</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2011-8-10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第四届董事会第十五次会议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17"/>
              <w:jc w:val="right"/>
              <w:rPr>
                <w:rFonts w:ascii="Times New Roman" w:hAnsi="Times New Roman" w:cs="Times New Roman" w:eastAsia="Times New Roman" w:hint="default"/>
                <w:sz w:val="18"/>
                <w:szCs w:val="18"/>
              </w:rPr>
            </w:pPr>
            <w:r>
              <w:rPr>
                <w:rFonts w:ascii="Times New Roman"/>
                <w:spacing w:val="-3"/>
                <w:sz w:val="18"/>
              </w:rPr>
              <w:t>2011-8-11</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0"/>
              <w:jc w:val="left"/>
              <w:rPr>
                <w:rFonts w:ascii="Times New Roman" w:hAnsi="Times New Roman" w:cs="Times New Roman" w:eastAsia="Times New Roman" w:hint="default"/>
                <w:sz w:val="18"/>
                <w:szCs w:val="18"/>
              </w:rPr>
            </w:pPr>
            <w:r>
              <w:rPr>
                <w:rFonts w:ascii="Times New Roman"/>
                <w:sz w:val="18"/>
              </w:rPr>
              <w:t>2011-8-30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第四届董事会第十六次会议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2011-8-31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857" w:top="980" w:bottom="1040" w:left="8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052"/>
        <w:gridCol w:w="2698"/>
        <w:gridCol w:w="4928"/>
        <w:gridCol w:w="1371"/>
      </w:tblGrid>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2" w:right="0"/>
              <w:jc w:val="left"/>
              <w:rPr>
                <w:rFonts w:ascii="Times New Roman" w:hAnsi="Times New Roman" w:cs="Times New Roman" w:eastAsia="Times New Roman" w:hint="default"/>
                <w:sz w:val="18"/>
                <w:szCs w:val="18"/>
              </w:rPr>
            </w:pPr>
            <w:r>
              <w:rPr>
                <w:rFonts w:ascii="Times New Roman"/>
                <w:sz w:val="18"/>
              </w:rPr>
              <w:t>2011-9-9</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第四届董事会第十七次会议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2011-9-10</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6"/>
              <w:jc w:val="right"/>
              <w:rPr>
                <w:rFonts w:ascii="Times New Roman" w:hAnsi="Times New Roman" w:cs="Times New Roman" w:eastAsia="Times New Roman" w:hint="default"/>
                <w:sz w:val="18"/>
                <w:szCs w:val="18"/>
              </w:rPr>
            </w:pPr>
            <w:r>
              <w:rPr>
                <w:rFonts w:ascii="Times New Roman"/>
                <w:spacing w:val="-1"/>
                <w:sz w:val="18"/>
              </w:rPr>
              <w:t>2011-9-29</w:t>
            </w:r>
            <w:r>
              <w:rPr>
                <w:rFonts w:ascii="Times New Roman"/>
                <w:sz w:val="18"/>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第四届董事会第十八次会议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05"/>
              <w:jc w:val="right"/>
              <w:rPr>
                <w:rFonts w:ascii="Times New Roman" w:hAnsi="Times New Roman" w:cs="Times New Roman" w:eastAsia="Times New Roman" w:hint="default"/>
                <w:sz w:val="18"/>
                <w:szCs w:val="18"/>
              </w:rPr>
            </w:pPr>
            <w:r>
              <w:rPr>
                <w:rFonts w:ascii="Times New Roman"/>
                <w:spacing w:val="-1"/>
                <w:sz w:val="18"/>
              </w:rPr>
              <w:t>2011-9-30</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2"/>
                <w:sz w:val="18"/>
              </w:rPr>
              <w:t>2011-10-10</w:t>
            </w:r>
            <w:r>
              <w:rPr>
                <w:rFonts w:ascii="Times New Roman"/>
                <w:sz w:val="18"/>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第四届董事会第十九次会议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4"/>
              <w:jc w:val="right"/>
              <w:rPr>
                <w:rFonts w:ascii="Times New Roman" w:hAnsi="Times New Roman" w:cs="Times New Roman" w:eastAsia="Times New Roman" w:hint="default"/>
                <w:sz w:val="18"/>
                <w:szCs w:val="18"/>
              </w:rPr>
            </w:pPr>
            <w:r>
              <w:rPr>
                <w:rFonts w:ascii="Times New Roman"/>
                <w:spacing w:val="-2"/>
                <w:sz w:val="18"/>
              </w:rPr>
              <w:t>2011-10-12</w:t>
            </w:r>
            <w:r>
              <w:rPr>
                <w:rFonts w:ascii="Times New Roman"/>
                <w:sz w:val="18"/>
              </w:rPr>
            </w:r>
          </w:p>
        </w:tc>
      </w:tr>
      <w:tr>
        <w:trPr>
          <w:trHeight w:val="480"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2"/>
                <w:sz w:val="18"/>
              </w:rPr>
              <w:t>2011-10-28</w:t>
            </w:r>
            <w:r>
              <w:rPr>
                <w:rFonts w:ascii="Times New Roman"/>
                <w:sz w:val="18"/>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第四届董事会第二十次会议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64"/>
              <w:jc w:val="right"/>
              <w:rPr>
                <w:rFonts w:ascii="Times New Roman" w:hAnsi="Times New Roman" w:cs="Times New Roman" w:eastAsia="Times New Roman" w:hint="default"/>
                <w:sz w:val="18"/>
                <w:szCs w:val="18"/>
              </w:rPr>
            </w:pPr>
            <w:r>
              <w:rPr>
                <w:rFonts w:ascii="Times New Roman"/>
                <w:spacing w:val="-2"/>
                <w:sz w:val="18"/>
              </w:rPr>
              <w:t>2011-10-29</w:t>
            </w:r>
            <w:r>
              <w:rPr>
                <w:rFonts w:ascii="Times New Roman"/>
                <w:sz w:val="18"/>
              </w:rPr>
            </w:r>
          </w:p>
        </w:tc>
      </w:tr>
      <w:tr>
        <w:trPr>
          <w:trHeight w:val="47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2"/>
                <w:sz w:val="18"/>
              </w:rPr>
              <w:t>2011-11-24</w:t>
            </w:r>
            <w:r>
              <w:rPr>
                <w:rFonts w:ascii="Times New Roman"/>
                <w:sz w:val="18"/>
              </w:rPr>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第四届董事会第二十一次会议</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宋体" w:hAnsi="宋体" w:cs="宋体" w:eastAsia="宋体" w:hint="default"/>
                <w:spacing w:val="-87"/>
                <w:sz w:val="18"/>
                <w:szCs w:val="18"/>
              </w:rPr>
              <w:t>、</w:t>
            </w:r>
            <w:r>
              <w:rPr>
                <w:rFonts w:ascii="宋体" w:hAnsi="宋体" w:cs="宋体" w:eastAsia="宋体" w:hint="default"/>
                <w:spacing w:val="4"/>
                <w:sz w:val="18"/>
                <w:szCs w:val="18"/>
              </w:rPr>
              <w:t>《证券时报</w:t>
            </w:r>
            <w:r>
              <w:rPr>
                <w:rFonts w:ascii="宋体" w:hAnsi="宋体" w:cs="宋体" w:eastAsia="宋体" w:hint="default"/>
                <w:spacing w:val="-87"/>
                <w:sz w:val="18"/>
                <w:szCs w:val="18"/>
              </w:rPr>
              <w:t>》、</w:t>
            </w:r>
            <w:r>
              <w:rPr>
                <w:rFonts w:ascii="宋体" w:hAnsi="宋体" w:cs="宋体" w:eastAsia="宋体" w:hint="default"/>
                <w:spacing w:val="2"/>
                <w:sz w:val="18"/>
                <w:szCs w:val="18"/>
              </w:rPr>
              <w:t>《</w:t>
            </w:r>
            <w:r>
              <w:rPr>
                <w:rFonts w:ascii="宋体" w:hAnsi="宋体" w:cs="宋体" w:eastAsia="宋体" w:hint="default"/>
                <w:spacing w:val="4"/>
                <w:sz w:val="18"/>
                <w:szCs w:val="18"/>
              </w:rPr>
              <w:t>中国证券报</w:t>
            </w:r>
            <w:r>
              <w:rPr>
                <w:rFonts w:ascii="宋体" w:hAnsi="宋体" w:cs="宋体" w:eastAsia="宋体" w:hint="default"/>
                <w:spacing w:val="-87"/>
                <w:sz w:val="18"/>
                <w:szCs w:val="18"/>
              </w:rPr>
              <w:t>》、</w:t>
            </w:r>
            <w:r>
              <w:rPr>
                <w:rFonts w:ascii="宋体" w:hAnsi="宋体" w:cs="宋体" w:eastAsia="宋体" w:hint="default"/>
                <w:spacing w:val="4"/>
                <w:sz w:val="18"/>
                <w:szCs w:val="18"/>
              </w:rPr>
              <w:t>《上海证券报</w:t>
            </w:r>
            <w:r>
              <w:rPr>
                <w:rFonts w:ascii="宋体" w:hAnsi="宋体" w:cs="宋体" w:eastAsia="宋体" w:hint="default"/>
                <w:spacing w:val="-87"/>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67"/>
              <w:jc w:val="right"/>
              <w:rPr>
                <w:rFonts w:ascii="Times New Roman" w:hAnsi="Times New Roman" w:cs="Times New Roman" w:eastAsia="Times New Roman" w:hint="default"/>
                <w:sz w:val="18"/>
                <w:szCs w:val="18"/>
              </w:rPr>
            </w:pPr>
            <w:r>
              <w:rPr>
                <w:rFonts w:ascii="Times New Roman"/>
                <w:spacing w:val="-2"/>
                <w:sz w:val="18"/>
              </w:rPr>
              <w:t>2011-11-25</w:t>
            </w:r>
            <w:r>
              <w:rPr>
                <w:rFonts w:ascii="Times New Roman"/>
                <w:sz w:val="18"/>
              </w:rPr>
            </w:r>
          </w:p>
        </w:tc>
      </w:tr>
    </w:tbl>
    <w:p>
      <w:pPr>
        <w:pStyle w:val="BodyText"/>
        <w:spacing w:line="292" w:lineRule="exact" w:before="0"/>
        <w:ind w:left="1100" w:right="1328"/>
        <w:jc w:val="left"/>
      </w:pPr>
      <w:r>
        <w:rPr>
          <w:rFonts w:ascii="Times New Roman" w:hAnsi="Times New Roman" w:cs="Times New Roman" w:eastAsia="Times New Roman" w:hint="default"/>
        </w:rPr>
        <w:t>2</w:t>
      </w:r>
      <w:r>
        <w:rPr/>
        <w:t>、董事会对股东大会决议的执行情况</w:t>
      </w:r>
    </w:p>
    <w:p>
      <w:pPr>
        <w:pStyle w:val="BodyText"/>
        <w:spacing w:line="240" w:lineRule="auto"/>
        <w:ind w:left="1100" w:right="1328"/>
        <w:jc w:val="left"/>
      </w:pPr>
      <w:r>
        <w:rPr>
          <w:spacing w:val="-5"/>
        </w:rPr>
        <w:t>（</w:t>
      </w:r>
      <w:r>
        <w:rPr>
          <w:rFonts w:ascii="Times New Roman" w:hAnsi="Times New Roman" w:cs="Times New Roman" w:eastAsia="Times New Roman" w:hint="default"/>
          <w:spacing w:val="-5"/>
        </w:rPr>
        <w:t>1</w:t>
      </w:r>
      <w:r>
        <w:rPr>
          <w:spacing w:val="-5"/>
        </w:rPr>
        <w:t>）报告期内，公司董事会根据</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年年度股东大会决议，续聘了普华永道中天</w:t>
      </w:r>
    </w:p>
    <w:p>
      <w:pPr>
        <w:pStyle w:val="BodyText"/>
        <w:spacing w:line="240" w:lineRule="auto" w:before="136"/>
        <w:ind w:left="620" w:right="0"/>
        <w:jc w:val="both"/>
      </w:pPr>
      <w:r>
        <w:rPr/>
        <w:t>会计师事务所为公司的审计机构，并执行了</w:t>
      </w:r>
      <w:r>
        <w:rPr>
          <w:spacing w:val="-60"/>
        </w:rPr>
        <w:t> </w:t>
      </w:r>
      <w:r>
        <w:rPr>
          <w:rFonts w:ascii="Times New Roman" w:hAnsi="Times New Roman" w:cs="Times New Roman" w:eastAsia="Times New Roman" w:hint="default"/>
        </w:rPr>
        <w:t>2010 </w:t>
      </w:r>
      <w:r>
        <w:rPr/>
        <w:t>年度分红派息方案，具体为：</w:t>
      </w:r>
    </w:p>
    <w:p>
      <w:pPr>
        <w:pStyle w:val="BodyText"/>
        <w:spacing w:line="240" w:lineRule="auto"/>
        <w:ind w:left="1100" w:right="1328"/>
        <w:jc w:val="left"/>
      </w:pPr>
      <w:r>
        <w:rPr/>
        <w:t>以公司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日总股本</w:t>
      </w:r>
      <w:r>
        <w:rPr>
          <w:spacing w:val="-52"/>
        </w:rPr>
        <w:t> </w:t>
      </w:r>
      <w:r>
        <w:rPr>
          <w:rFonts w:ascii="Times New Roman" w:hAnsi="Times New Roman" w:cs="Times New Roman" w:eastAsia="Times New Roman" w:hint="default"/>
        </w:rPr>
        <w:t>6,996,211,866</w:t>
      </w:r>
      <w:r>
        <w:rPr>
          <w:rFonts w:ascii="Times New Roman" w:hAnsi="Times New Roman" w:cs="Times New Roman" w:eastAsia="Times New Roman" w:hint="default"/>
          <w:spacing w:val="9"/>
        </w:rPr>
        <w:t> </w:t>
      </w:r>
      <w:r>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w:t>
      </w:r>
    </w:p>
    <w:p>
      <w:pPr>
        <w:pStyle w:val="BodyText"/>
        <w:spacing w:line="240" w:lineRule="auto"/>
        <w:ind w:left="620" w:right="0"/>
        <w:jc w:val="both"/>
      </w:pPr>
      <w:r>
        <w:rPr/>
        <w:t>发现金红利</w:t>
      </w:r>
      <w:r>
        <w:rPr>
          <w:spacing w:val="-79"/>
        </w:rPr>
        <w:t> </w:t>
      </w:r>
      <w:r>
        <w:rPr>
          <w:rFonts w:ascii="Times New Roman" w:hAnsi="Times New Roman" w:cs="Times New Roman" w:eastAsia="Times New Roman" w:hint="default"/>
        </w:rPr>
        <w:t>1.0</w:t>
      </w:r>
      <w:r>
        <w:rPr>
          <w:rFonts w:ascii="Times New Roman" w:hAnsi="Times New Roman" w:cs="Times New Roman" w:eastAsia="Times New Roman" w:hint="default"/>
          <w:spacing w:val="-19"/>
        </w:rPr>
        <w:t> </w:t>
      </w:r>
      <w:r>
        <w:rPr/>
        <w:t>元人民币（含税，扣税后，个人股东、投资基金、合格境外机构投资者</w:t>
      </w:r>
    </w:p>
    <w:p>
      <w:pPr>
        <w:pStyle w:val="BodyText"/>
        <w:spacing w:line="338" w:lineRule="auto"/>
        <w:ind w:left="620" w:right="1434"/>
        <w:jc w:val="both"/>
      </w:pPr>
      <w:r>
        <w:rPr/>
        <w:t>实际每 </w:t>
      </w:r>
      <w:r>
        <w:rPr>
          <w:rFonts w:ascii="Times New Roman" w:hAnsi="Times New Roman" w:cs="Times New Roman" w:eastAsia="Times New Roman" w:hint="default"/>
        </w:rPr>
        <w:t>10 </w:t>
      </w:r>
      <w:r>
        <w:rPr/>
        <w:t>股派现金红利 </w:t>
      </w:r>
      <w:r>
        <w:rPr>
          <w:rFonts w:ascii="Times New Roman" w:hAnsi="Times New Roman" w:cs="Times New Roman" w:eastAsia="Times New Roman" w:hint="default"/>
        </w:rPr>
        <w:t>0.9 </w:t>
      </w:r>
      <w:r>
        <w:rPr>
          <w:spacing w:val="-40"/>
        </w:rPr>
        <w:t>元）。</w:t>
      </w:r>
      <w:r>
        <w:rPr>
          <w:spacing w:val="-32"/>
        </w:rPr>
        <w:t> </w:t>
      </w:r>
      <w:r>
        <w:rPr/>
        <w:t>对于其他非居民企业，我公司未代扣代缴所得税，</w:t>
      </w:r>
      <w:r>
        <w:rPr/>
        <w:t> 由纳税人在所得发生地缴纳。上述分红派息方案实施后，公司总股本不变。</w:t>
      </w:r>
    </w:p>
    <w:p>
      <w:pPr>
        <w:pStyle w:val="BodyText"/>
        <w:spacing w:line="240" w:lineRule="auto" w:before="55"/>
        <w:ind w:left="1100" w:right="1328"/>
        <w:jc w:val="left"/>
      </w:pPr>
      <w:r>
        <w:rPr/>
        <w:t>公司于</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年</w:t>
      </w:r>
      <w:r>
        <w:rPr>
          <w:spacing w:val="-41"/>
        </w:rPr>
        <w:t> </w:t>
      </w:r>
      <w:r>
        <w:rPr>
          <w:rFonts w:ascii="Times New Roman" w:hAnsi="Times New Roman" w:cs="Times New Roman" w:eastAsia="Times New Roman" w:hint="default"/>
        </w:rPr>
        <w:t>5  </w:t>
      </w:r>
      <w:r>
        <w:rPr/>
        <w:t>月</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日在巨潮资讯网</w:t>
      </w:r>
      <w:r>
        <w:rPr>
          <w:spacing w:val="-120"/>
        </w:rPr>
        <w:t>、</w:t>
      </w:r>
      <w:r>
        <w:rPr/>
        <w:t>《证券时报</w:t>
      </w:r>
      <w:r>
        <w:rPr>
          <w:spacing w:val="-120"/>
        </w:rPr>
        <w:t>》、</w:t>
      </w:r>
      <w:r>
        <w:rPr/>
        <w:t>《中国证</w:t>
      </w:r>
      <w:r>
        <w:rPr>
          <w:spacing w:val="1"/>
        </w:rPr>
        <w:t>券</w:t>
      </w:r>
      <w:r>
        <w:rPr/>
        <w:t>报</w:t>
      </w:r>
      <w:r>
        <w:rPr>
          <w:spacing w:val="-120"/>
        </w:rPr>
        <w:t>》、</w:t>
      </w:r>
      <w:r>
        <w:rPr/>
        <w:t>《上海证券</w:t>
      </w:r>
    </w:p>
    <w:p>
      <w:pPr>
        <w:pStyle w:val="BodyText"/>
        <w:spacing w:line="240" w:lineRule="auto"/>
        <w:ind w:left="620" w:right="0"/>
        <w:jc w:val="both"/>
      </w:pPr>
      <w:r>
        <w:rPr/>
        <w:t>报</w:t>
      </w:r>
      <w:r>
        <w:rPr>
          <w:spacing w:val="-120"/>
        </w:rPr>
        <w:t>》、</w:t>
      </w:r>
      <w:r>
        <w:rPr/>
        <w:t>《证券日报》上刊登此次分红派息实施公告，股权登记日为</w:t>
      </w:r>
      <w:r>
        <w:rPr>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10 </w:t>
      </w:r>
      <w:r>
        <w:rPr/>
        <w:t>日，</w:t>
      </w:r>
    </w:p>
    <w:p>
      <w:pPr>
        <w:pStyle w:val="BodyText"/>
        <w:spacing w:line="240" w:lineRule="auto" w:before="136"/>
        <w:ind w:left="620" w:right="0"/>
        <w:jc w:val="both"/>
      </w:pPr>
      <w:r>
        <w:rPr/>
        <w:t>除权除息日为：</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日，红利发放日：</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w:t>
      </w:r>
    </w:p>
    <w:p>
      <w:pPr>
        <w:pStyle w:val="BodyText"/>
        <w:spacing w:line="352" w:lineRule="auto"/>
        <w:ind w:left="620" w:right="1433" w:firstLine="480"/>
        <w:jc w:val="both"/>
      </w:pPr>
      <w:r>
        <w:rPr/>
        <w:t>（</w:t>
      </w:r>
      <w:r>
        <w:rPr>
          <w:rFonts w:ascii="Times New Roman" w:hAnsi="Times New Roman" w:cs="Times New Roman" w:eastAsia="Times New Roman" w:hint="default"/>
        </w:rPr>
        <w:t>2</w:t>
      </w:r>
      <w:r>
        <w:rPr/>
        <w:t>）根据</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年第二次临时股东大会审议通过《苏宁电器股份有限公司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 </w:t>
      </w:r>
      <w:r>
        <w:rPr>
          <w:spacing w:val="-3"/>
        </w:rPr>
        <w:t>股票期权激励计划（草案）》及其摘要、《关于授权董事会办理股票期权相关事宜的议</w:t>
      </w:r>
      <w:r>
        <w:rPr/>
        <w:t> </w:t>
      </w:r>
      <w:r>
        <w:rPr>
          <w:spacing w:val="-3"/>
        </w:rPr>
        <w:t>案》，同意董事会在公司出现派息、资本公积金转增股本、派送股票红利、股票拆细、</w:t>
      </w:r>
      <w:r>
        <w:rPr>
          <w:spacing w:val="-107"/>
        </w:rPr>
        <w:t> </w:t>
      </w:r>
      <w:r>
        <w:rPr>
          <w:spacing w:val="-107"/>
        </w:rPr>
      </w:r>
      <w:r>
        <w:rPr>
          <w:spacing w:val="-3"/>
        </w:rPr>
        <w:t>缩股、配股等事项时，按照股票期权激励计划规定的办法，对股票期权数量和行权价格</w:t>
      </w:r>
      <w:r>
        <w:rPr>
          <w:spacing w:val="-99"/>
        </w:rPr>
        <w:t> </w:t>
      </w:r>
      <w:r>
        <w:rPr>
          <w:spacing w:val="-99"/>
        </w:rPr>
      </w:r>
      <w:r>
        <w:rPr/>
        <w:t>进行相应的调整。</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年年度股东大会审议通过公司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p>
    <w:p>
      <w:pPr>
        <w:pStyle w:val="BodyText"/>
        <w:spacing w:line="240" w:lineRule="auto" w:before="11"/>
        <w:ind w:left="620" w:right="0"/>
        <w:jc w:val="both"/>
        <w:rPr>
          <w:rFonts w:ascii="Times New Roman" w:hAnsi="Times New Roman" w:cs="Times New Roman" w:eastAsia="Times New Roman" w:hint="default"/>
        </w:rPr>
      </w:pPr>
      <w:r>
        <w:rPr>
          <w:spacing w:val="-5"/>
        </w:rPr>
        <w:t>度利润分配方案，即以</w:t>
      </w:r>
      <w:r>
        <w:rPr>
          <w:spacing w:val="-60"/>
        </w:rPr>
        <w:t> </w:t>
      </w:r>
      <w:r>
        <w:rPr>
          <w:rFonts w:ascii="Times New Roman" w:hAnsi="Times New Roman" w:cs="Times New Roman" w:eastAsia="Times New Roman" w:hint="default"/>
        </w:rPr>
        <w:t>2010 </w:t>
      </w:r>
      <w:r>
        <w:rPr/>
        <w:t>年末公司总股本</w:t>
      </w:r>
      <w:r>
        <w:rPr>
          <w:spacing w:val="-60"/>
        </w:rPr>
        <w:t> </w:t>
      </w:r>
      <w:r>
        <w:rPr>
          <w:rFonts w:ascii="Times New Roman" w:hAnsi="Times New Roman" w:cs="Times New Roman" w:eastAsia="Times New Roman" w:hint="default"/>
        </w:rPr>
        <w:t>6,996,211,866 </w:t>
      </w:r>
      <w:r>
        <w:rPr>
          <w:spacing w:val="-4"/>
        </w:rPr>
        <w:t>股为基数，向全体股东每</w:t>
      </w:r>
      <w:r>
        <w:rPr>
          <w:spacing w:val="-60"/>
        </w:rPr>
        <w:t> </w:t>
      </w:r>
      <w:r>
        <w:rPr>
          <w:rFonts w:ascii="Times New Roman" w:hAnsi="Times New Roman" w:cs="Times New Roman" w:eastAsia="Times New Roman" w:hint="default"/>
        </w:rPr>
        <w:t>10</w:t>
      </w:r>
    </w:p>
    <w:p>
      <w:pPr>
        <w:pStyle w:val="BodyText"/>
        <w:spacing w:line="240" w:lineRule="auto"/>
        <w:ind w:left="620" w:right="0"/>
        <w:jc w:val="both"/>
      </w:pPr>
      <w:r>
        <w:rPr/>
        <w:t>股派发现金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元（含税</w:t>
      </w:r>
      <w:r>
        <w:rPr>
          <w:spacing w:val="-120"/>
        </w:rPr>
        <w:t>）</w:t>
      </w:r>
      <w:r>
        <w:rPr/>
        <w:t>，根据上述授权以及分红派息方案，</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日，经公</w:t>
      </w:r>
    </w:p>
    <w:p>
      <w:pPr>
        <w:pStyle w:val="BodyText"/>
        <w:spacing w:line="240" w:lineRule="auto"/>
        <w:ind w:left="620" w:right="0"/>
        <w:jc w:val="both"/>
      </w:pPr>
      <w:r>
        <w:rPr/>
        <w:t>司第四届董事会第十二次会议审议通过，公司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年股票期权激励计划对应的股票期</w:t>
      </w:r>
    </w:p>
    <w:p>
      <w:pPr>
        <w:pStyle w:val="BodyText"/>
        <w:spacing w:line="240" w:lineRule="auto"/>
        <w:ind w:left="620" w:right="0"/>
        <w:jc w:val="both"/>
      </w:pPr>
      <w:r>
        <w:rPr/>
        <w:t>权行权期权价格调整为</w:t>
      </w:r>
      <w:r>
        <w:rPr>
          <w:spacing w:val="-61"/>
        </w:rPr>
        <w:t> </w:t>
      </w:r>
      <w:r>
        <w:rPr>
          <w:rFonts w:ascii="Times New Roman" w:hAnsi="Times New Roman" w:cs="Times New Roman" w:eastAsia="Times New Roman" w:hint="default"/>
        </w:rPr>
        <w:t>14.40</w:t>
      </w:r>
      <w:r>
        <w:rPr>
          <w:rFonts w:ascii="Times New Roman" w:hAnsi="Times New Roman" w:cs="Times New Roman" w:eastAsia="Times New Roman" w:hint="default"/>
          <w:spacing w:val="-1"/>
        </w:rPr>
        <w:t> </w:t>
      </w:r>
      <w:r>
        <w:rPr/>
        <w:t>元。</w:t>
      </w:r>
    </w:p>
    <w:p>
      <w:pPr>
        <w:pStyle w:val="BodyText"/>
        <w:spacing w:line="240" w:lineRule="auto"/>
        <w:ind w:left="1100" w:right="1328"/>
        <w:jc w:val="left"/>
      </w:pPr>
      <w:r>
        <w:rPr>
          <w:spacing w:val="-9"/>
        </w:rPr>
        <w:t>（</w:t>
      </w:r>
      <w:r>
        <w:rPr>
          <w:rFonts w:ascii="Times New Roman" w:hAnsi="Times New Roman" w:cs="Times New Roman" w:eastAsia="Times New Roman" w:hint="default"/>
          <w:spacing w:val="-9"/>
        </w:rPr>
        <w:t>3</w:t>
      </w:r>
      <w:r>
        <w:rPr>
          <w:spacing w:val="-9"/>
        </w:rPr>
        <w:t>）根据</w:t>
      </w:r>
      <w:r>
        <w:rPr>
          <w:spacing w:val="-7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年第一次临时股东大会《关于提请股东大会授权董事会全权办理本</w:t>
      </w:r>
    </w:p>
    <w:p>
      <w:pPr>
        <w:pStyle w:val="BodyText"/>
        <w:spacing w:line="348" w:lineRule="auto"/>
        <w:ind w:left="620" w:right="1437"/>
        <w:jc w:val="both"/>
      </w:pPr>
      <w:r>
        <w:rPr/>
        <w:t>次非公开发行股票相关事宜的议案》的决议，公司于</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月配合保荐机构办理非 </w:t>
      </w:r>
      <w:r>
        <w:rPr>
          <w:spacing w:val="3"/>
        </w:rPr>
        <w:t>公开发行股票相关事宜并向中国证券监督管理委员会上报了非公开发行申请文件。于</w:t>
      </w:r>
      <w:r>
        <w:rPr>
          <w:spacing w:val="-99"/>
        </w:rPr>
        <w:t> </w:t>
      </w:r>
      <w:r>
        <w:rPr>
          <w:spacing w:val="-99"/>
        </w:rPr>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19"/>
        </w:rPr>
        <w:t> </w:t>
      </w:r>
      <w:r>
        <w:rPr/>
        <w:t>日，经中国证券监督管理委员会发行审核委员会审核，此次非公开发 </w:t>
      </w:r>
      <w:r>
        <w:rPr>
          <w:spacing w:val="-3"/>
        </w:rPr>
        <w:t>行股票申请已获得无条件通过。截至本报告披露日，公司非公开发行事项正在履行证监</w:t>
      </w:r>
      <w:r>
        <w:rPr>
          <w:spacing w:val="-98"/>
        </w:rPr>
        <w:t> </w:t>
      </w:r>
      <w:r>
        <w:rPr>
          <w:spacing w:val="-98"/>
        </w:rPr>
      </w:r>
      <w:r>
        <w:rPr/>
        <w:t>会发行核准程序。</w:t>
      </w:r>
    </w:p>
    <w:p>
      <w:pPr>
        <w:spacing w:after="0" w:line="348" w:lineRule="auto"/>
        <w:jc w:val="both"/>
        <w:sectPr>
          <w:pgSz w:w="11910" w:h="16840"/>
          <w:pgMar w:header="748" w:footer="857" w:top="980" w:bottom="1040" w:left="820" w:right="0"/>
        </w:sectPr>
      </w:pPr>
    </w:p>
    <w:p>
      <w:pPr>
        <w:spacing w:line="240" w:lineRule="auto" w:before="6"/>
        <w:rPr>
          <w:rFonts w:ascii="宋体" w:hAnsi="宋体" w:cs="宋体" w:eastAsia="宋体" w:hint="default"/>
          <w:sz w:val="29"/>
          <w:szCs w:val="29"/>
        </w:rPr>
      </w:pPr>
    </w:p>
    <w:p>
      <w:pPr>
        <w:pStyle w:val="BodyText"/>
        <w:spacing w:line="338" w:lineRule="auto" w:before="26"/>
        <w:ind w:left="620" w:right="1314"/>
        <w:jc w:val="left"/>
      </w:pPr>
      <w:r>
        <w:rPr>
          <w:rFonts w:ascii="Times New Roman" w:hAnsi="Times New Roman" w:cs="Times New Roman" w:eastAsia="Times New Roman" w:hint="default"/>
        </w:rPr>
        <w:t>3</w:t>
      </w:r>
      <w:r>
        <w:rPr/>
        <w:t>、董事会审计委员会的履职情况汇总报告： </w:t>
      </w:r>
      <w:r>
        <w:rPr>
          <w:spacing w:val="-10"/>
        </w:rPr>
        <w:t>公司已建立《审计委员会工作细则》、《审计委员会年报工作规则》，报告期内公司</w:t>
      </w:r>
    </w:p>
    <w:p>
      <w:pPr>
        <w:pStyle w:val="BodyText"/>
        <w:spacing w:line="357" w:lineRule="auto" w:before="55"/>
        <w:ind w:right="1314"/>
        <w:jc w:val="left"/>
      </w:pPr>
      <w:r>
        <w:rPr>
          <w:spacing w:val="-3"/>
        </w:rPr>
        <w:t>董事会审计委员会本着勤勉尽责的原则，认真履行职责，对公司内部控制建立健全情况</w:t>
      </w:r>
      <w:r>
        <w:rPr>
          <w:spacing w:val="-98"/>
        </w:rPr>
        <w:t> </w:t>
      </w:r>
      <w:r>
        <w:rPr>
          <w:spacing w:val="-98"/>
        </w:rPr>
      </w:r>
      <w:r>
        <w:rPr/>
        <w:t>进行监督检查，对年度财务审计情况进行了审查。</w:t>
      </w:r>
    </w:p>
    <w:p>
      <w:pPr>
        <w:pStyle w:val="BodyText"/>
        <w:spacing w:line="338" w:lineRule="auto" w:before="36"/>
        <w:ind w:left="620" w:right="1314"/>
        <w:jc w:val="left"/>
      </w:pPr>
      <w:r>
        <w:rPr/>
        <w:t>（</w:t>
      </w:r>
      <w:r>
        <w:rPr>
          <w:rFonts w:ascii="Times New Roman" w:hAnsi="Times New Roman" w:cs="Times New Roman" w:eastAsia="Times New Roman" w:hint="default"/>
        </w:rPr>
        <w:t>1</w:t>
      </w:r>
      <w:r>
        <w:rPr/>
        <w:t>）第四届董事会审计委员会报告期内的运作情况： </w:t>
      </w:r>
      <w:r>
        <w:rPr>
          <w:spacing w:val="-3"/>
        </w:rPr>
        <w:t>报告期内，第四届董事会审计委员会共召开了六次会议，分别对公司每季度财务报</w:t>
      </w:r>
    </w:p>
    <w:p>
      <w:pPr>
        <w:pStyle w:val="BodyText"/>
        <w:spacing w:line="357" w:lineRule="auto" w:before="55"/>
        <w:ind w:right="1435"/>
        <w:jc w:val="both"/>
      </w:pPr>
      <w:r>
        <w:rPr>
          <w:spacing w:val="-3"/>
        </w:rPr>
        <w:t>表、内部审计机构提交的审计工作总结等事项进行了审议，并对重要的对外投资、对外</w:t>
      </w:r>
      <w:r>
        <w:rPr>
          <w:spacing w:val="-102"/>
        </w:rPr>
        <w:t> </w:t>
      </w:r>
      <w:r>
        <w:rPr>
          <w:spacing w:val="-102"/>
        </w:rPr>
      </w:r>
      <w:r>
        <w:rPr>
          <w:spacing w:val="-3"/>
        </w:rPr>
        <w:t>担保、关联交易、募集资金使用及信息披露等事项进行核查，并向董事会汇报。审计委</w:t>
      </w:r>
      <w:r>
        <w:rPr>
          <w:spacing w:val="-97"/>
        </w:rPr>
        <w:t> </w:t>
      </w:r>
      <w:r>
        <w:rPr>
          <w:spacing w:val="-97"/>
        </w:rPr>
      </w:r>
      <w:r>
        <w:rPr>
          <w:spacing w:val="-3"/>
        </w:rPr>
        <w:t>员会还根据公司内部审计机构提交的审计报告，就公司内部控制制度的建立健全及执行</w:t>
      </w:r>
      <w:r>
        <w:rPr>
          <w:spacing w:val="-98"/>
        </w:rPr>
        <w:t> </w:t>
      </w:r>
      <w:r>
        <w:rPr>
          <w:spacing w:val="-98"/>
        </w:rPr>
      </w:r>
      <w:r>
        <w:rPr/>
        <w:t>情况给予指导和意见。</w:t>
      </w:r>
    </w:p>
    <w:p>
      <w:pPr>
        <w:pStyle w:val="BodyText"/>
        <w:spacing w:line="240" w:lineRule="auto" w:before="36"/>
        <w:ind w:left="620" w:right="1314"/>
        <w:jc w:val="left"/>
      </w:pPr>
      <w:r>
        <w:rPr/>
        <w:t>（</w:t>
      </w:r>
      <w:r>
        <w:rPr>
          <w:rFonts w:ascii="Times New Roman" w:hAnsi="Times New Roman" w:cs="Times New Roman" w:eastAsia="Times New Roman" w:hint="default"/>
        </w:rPr>
        <w:t>2</w:t>
      </w:r>
      <w:r>
        <w:rPr/>
        <w:t>）第四届董事会审计委员会对年度财务报告的审议工作情况：</w:t>
      </w:r>
    </w:p>
    <w:p>
      <w:pPr>
        <w:pStyle w:val="BodyText"/>
        <w:spacing w:line="357" w:lineRule="auto"/>
        <w:ind w:right="1432" w:firstLine="480"/>
        <w:jc w:val="both"/>
      </w:pPr>
      <w:r>
        <w:rPr>
          <w:spacing w:val="3"/>
        </w:rPr>
        <w:t>第四届董事会审计委员会在公司年审注册会计师进场前审阅了公司编制的财务会</w:t>
      </w:r>
      <w:r>
        <w:rPr>
          <w:spacing w:val="4"/>
        </w:rPr>
        <w:t> </w:t>
      </w:r>
      <w:r>
        <w:rPr>
          <w:spacing w:val="-3"/>
        </w:rPr>
        <w:t>计报表，认为财务会计报表基本能够反映公司的财务状况和经营成果。年审注册会计师</w:t>
      </w:r>
      <w:r>
        <w:rPr>
          <w:spacing w:val="-98"/>
        </w:rPr>
        <w:t> </w:t>
      </w:r>
      <w:r>
        <w:rPr>
          <w:spacing w:val="-98"/>
        </w:rPr>
      </w:r>
      <w:r>
        <w:rPr>
          <w:spacing w:val="-3"/>
        </w:rPr>
        <w:t>进场前，审计委员会与会计师事务所共同协商确定了公司本年度财务报告审计工作的时</w:t>
      </w:r>
      <w:r>
        <w:rPr>
          <w:spacing w:val="-98"/>
        </w:rPr>
        <w:t> </w:t>
      </w:r>
      <w:r>
        <w:rPr>
          <w:spacing w:val="-98"/>
        </w:rPr>
      </w:r>
      <w:r>
        <w:rPr>
          <w:spacing w:val="-3"/>
        </w:rPr>
        <w:t>间安排，并不断加强与年审会计师的沟通，督促其在约定时限内提交审计报告。在年审</w:t>
      </w:r>
      <w:r>
        <w:rPr>
          <w:spacing w:val="-102"/>
        </w:rPr>
        <w:t> </w:t>
      </w:r>
      <w:r>
        <w:rPr>
          <w:spacing w:val="-102"/>
        </w:rPr>
      </w:r>
      <w:r>
        <w:rPr>
          <w:spacing w:val="-3"/>
        </w:rPr>
        <w:t>注册会计师出具初步审计意见后审计委员会又一次审阅了公司财务会计报表，认为公司</w:t>
      </w:r>
      <w:r>
        <w:rPr>
          <w:spacing w:val="-98"/>
        </w:rPr>
        <w:t> </w:t>
      </w:r>
      <w:r>
        <w:rPr>
          <w:spacing w:val="-98"/>
        </w:rPr>
      </w:r>
      <w:r>
        <w:rPr/>
        <w:t>财务会计报表真实、准确、完整的反映了公司的财务状况、现金流量和经营成果。</w:t>
      </w:r>
    </w:p>
    <w:p>
      <w:pPr>
        <w:pStyle w:val="BodyText"/>
        <w:spacing w:line="240" w:lineRule="auto" w:before="36"/>
        <w:ind w:left="620" w:right="1314"/>
        <w:jc w:val="left"/>
      </w:pPr>
      <w:r>
        <w:rPr/>
        <w:t>（</w:t>
      </w:r>
      <w:r>
        <w:rPr>
          <w:rFonts w:ascii="Times New Roman" w:hAnsi="Times New Roman" w:cs="Times New Roman" w:eastAsia="Times New Roman" w:hint="default"/>
        </w:rPr>
        <w:t>3</w:t>
      </w:r>
      <w:r>
        <w:rPr/>
        <w:t>）审计委员会对会计师事务所审计工作的督促情况：</w:t>
      </w:r>
    </w:p>
    <w:p>
      <w:pPr>
        <w:pStyle w:val="BodyText"/>
        <w:spacing w:line="240" w:lineRule="auto"/>
        <w:ind w:left="620" w:right="131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月</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日，公司审计委员会向普华永道会计师事务所发出《关于督促普华</w:t>
      </w:r>
    </w:p>
    <w:p>
      <w:pPr>
        <w:pStyle w:val="BodyText"/>
        <w:spacing w:line="240" w:lineRule="auto"/>
        <w:ind w:right="1314"/>
        <w:jc w:val="left"/>
      </w:pPr>
      <w:r>
        <w:rPr/>
        <w:t>永道中天会计师事务所按期提交</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年审计报告的函</w:t>
      </w:r>
      <w:r>
        <w:rPr>
          <w:spacing w:val="-120"/>
        </w:rPr>
        <w:t>》</w:t>
      </w:r>
      <w:r>
        <w:rPr>
          <w:spacing w:val="-82"/>
        </w:rPr>
        <w:t>，</w:t>
      </w:r>
      <w:r>
        <w:rPr/>
        <w:t>督促其根据前期确定的审计计</w:t>
      </w:r>
    </w:p>
    <w:p>
      <w:pPr>
        <w:pStyle w:val="BodyText"/>
        <w:spacing w:line="338" w:lineRule="auto" w:before="136"/>
        <w:ind w:right="1420"/>
        <w:jc w:val="left"/>
      </w:pPr>
      <w:r>
        <w:rPr/>
        <w:t>划，按期完成年报审计工作，以利于公司及时、高质量的完成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年年报审议及披露 工作。</w:t>
      </w:r>
    </w:p>
    <w:p>
      <w:pPr>
        <w:pStyle w:val="BodyText"/>
        <w:spacing w:line="240" w:lineRule="auto" w:before="55"/>
        <w:ind w:left="620" w:right="131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日，公司审计委员会委员任峻先生代表审计委员会向普华永道会计</w:t>
      </w:r>
    </w:p>
    <w:p>
      <w:pPr>
        <w:pStyle w:val="BodyText"/>
        <w:spacing w:line="240" w:lineRule="auto"/>
        <w:ind w:right="0"/>
        <w:jc w:val="left"/>
      </w:pPr>
      <w:r>
        <w:rPr>
          <w:spacing w:val="-4"/>
        </w:rPr>
        <w:t>师事务所发出再次督促函，督促其按期、保质保量的完成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6"/>
        </w:rPr>
        <w:t> </w:t>
      </w:r>
      <w:r>
        <w:rPr/>
        <w:t>年年报审议及披露工作。</w:t>
      </w:r>
    </w:p>
    <w:p>
      <w:pPr>
        <w:pStyle w:val="BodyText"/>
        <w:spacing w:line="240" w:lineRule="auto"/>
        <w:ind w:left="620" w:right="1314"/>
        <w:jc w:val="left"/>
      </w:pPr>
      <w:r>
        <w:rPr/>
        <w:t>（</w:t>
      </w:r>
      <w:r>
        <w:rPr>
          <w:rFonts w:ascii="Times New Roman" w:hAnsi="Times New Roman" w:cs="Times New Roman" w:eastAsia="Times New Roman" w:hint="default"/>
        </w:rPr>
        <w:t>4</w:t>
      </w:r>
      <w:r>
        <w:rPr/>
        <w:t>）审计委员会向董事会提交的会计师事务所从事 </w:t>
      </w:r>
      <w:r>
        <w:rPr>
          <w:rFonts w:ascii="Times New Roman" w:hAnsi="Times New Roman" w:cs="Times New Roman" w:eastAsia="Times New Roman" w:hint="default"/>
        </w:rPr>
        <w:t>2011 </w:t>
      </w:r>
      <w:r>
        <w:rPr>
          <w:rFonts w:ascii="Times New Roman" w:hAnsi="Times New Roman" w:cs="Times New Roman" w:eastAsia="Times New Roman" w:hint="default"/>
          <w:spacing w:val="23"/>
        </w:rPr>
        <w:t> </w:t>
      </w:r>
      <w:r>
        <w:rPr/>
        <w:t>年度公司审计工作的总</w:t>
      </w:r>
    </w:p>
    <w:p>
      <w:pPr>
        <w:pStyle w:val="BodyText"/>
        <w:spacing w:line="240" w:lineRule="auto"/>
        <w:ind w:right="1314"/>
        <w:jc w:val="left"/>
      </w:pPr>
      <w:r>
        <w:rPr/>
        <w:t>结报告以及对</w:t>
      </w:r>
      <w:r>
        <w:rPr>
          <w:spacing w:val="-61"/>
        </w:rPr>
        <w:t> </w:t>
      </w:r>
      <w:r>
        <w:rPr>
          <w:rFonts w:ascii="Times New Roman" w:hAnsi="Times New Roman" w:cs="Times New Roman" w:eastAsia="Times New Roman" w:hint="default"/>
        </w:rPr>
        <w:t>2012 </w:t>
      </w:r>
      <w:r>
        <w:rPr/>
        <w:t>年度续聘或改聘会计师事务所的决议书：</w:t>
      </w:r>
    </w:p>
    <w:p>
      <w:pPr>
        <w:pStyle w:val="BodyText"/>
        <w:spacing w:line="240" w:lineRule="auto"/>
        <w:ind w:left="620" w:right="1314"/>
        <w:jc w:val="left"/>
      </w:pPr>
      <w:r>
        <w:rPr/>
        <w:t>普华永道中天会计师事务所有限公司对本公司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年度财务报表的审计工作，内</w:t>
      </w:r>
    </w:p>
    <w:p>
      <w:pPr>
        <w:pStyle w:val="BodyText"/>
        <w:spacing w:line="468" w:lineRule="exact" w:before="42"/>
        <w:ind w:right="1314"/>
        <w:jc w:val="left"/>
      </w:pPr>
      <w:r>
        <w:rPr/>
        <w:t>容主要是对</w:t>
      </w:r>
      <w:r>
        <w:rPr>
          <w:spacing w:val="-64"/>
        </w:rPr>
        <w:t> </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日的公司及合并资产负债表、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年度的公司及合并利润 </w:t>
      </w:r>
      <w:r>
        <w:rPr>
          <w:spacing w:val="-3"/>
        </w:rPr>
        <w:t>表、公司及合并股东权益变动表和公司及合并现金流量表以及财务报表附注进行审计并</w:t>
      </w:r>
      <w:r>
        <w:rPr>
          <w:spacing w:val="-98"/>
        </w:rPr>
        <w:t> </w:t>
      </w:r>
      <w:r>
        <w:rPr>
          <w:spacing w:val="-98"/>
        </w:rPr>
      </w:r>
      <w:r>
        <w:rPr>
          <w:spacing w:val="-6"/>
        </w:rPr>
        <w:t>发表审计意见，以及对募集资金的使用情况进行鉴证并发表鉴证意见。年度审计结束后，</w:t>
      </w:r>
      <w:r>
        <w:rPr>
          <w:spacing w:val="-98"/>
        </w:rPr>
        <w:t> </w:t>
      </w:r>
      <w:r>
        <w:rPr>
          <w:spacing w:val="-98"/>
        </w:rPr>
      </w:r>
      <w:r>
        <w:rPr>
          <w:spacing w:val="-3"/>
        </w:rPr>
        <w:t>会计师事务所对公司的年度审计结论以书面方式出具了无保留意见的审计报告。审计委</w:t>
      </w:r>
    </w:p>
    <w:p>
      <w:pPr>
        <w:spacing w:after="0" w:line="468" w:lineRule="exact"/>
        <w:jc w:val="left"/>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员会现将事务所本年度的审计情况作如下评价：</w:t>
      </w:r>
    </w:p>
    <w:p>
      <w:pPr>
        <w:pStyle w:val="BodyText"/>
        <w:spacing w:line="357" w:lineRule="auto" w:before="154"/>
        <w:ind w:left="620" w:right="1436"/>
        <w:jc w:val="left"/>
      </w:pPr>
      <w:r>
        <w:rPr/>
        <w:t>①</w:t>
      </w:r>
      <w:r>
        <w:rPr>
          <w:spacing w:val="-1"/>
        </w:rPr>
        <w:t> </w:t>
      </w:r>
      <w:r>
        <w:rPr/>
        <w:t>基本情况：</w:t>
      </w:r>
      <w:r>
        <w:rPr/>
        <w:t> </w:t>
      </w:r>
      <w:r>
        <w:rPr>
          <w:spacing w:val="-3"/>
        </w:rPr>
        <w:t>普华永道中天会计师事务所有限公司与公司董事会、独立董事、监事会和高管层进</w:t>
      </w:r>
    </w:p>
    <w:p>
      <w:pPr>
        <w:pStyle w:val="BodyText"/>
        <w:spacing w:line="357" w:lineRule="auto" w:before="36"/>
        <w:ind w:right="1437"/>
        <w:jc w:val="both"/>
      </w:pPr>
      <w:r>
        <w:rPr>
          <w:spacing w:val="-3"/>
        </w:rPr>
        <w:t>行了必要的沟通，通过对公司内部控制等情况的了解，会计师事务所已与公司签订了审</w:t>
      </w:r>
      <w:r>
        <w:rPr>
          <w:spacing w:val="-98"/>
        </w:rPr>
        <w:t> </w:t>
      </w:r>
      <w:r>
        <w:rPr>
          <w:spacing w:val="-98"/>
        </w:rPr>
      </w:r>
      <w:r>
        <w:rPr/>
        <w:t>计业务约定书。</w:t>
      </w:r>
    </w:p>
    <w:p>
      <w:pPr>
        <w:pStyle w:val="BodyText"/>
        <w:spacing w:line="240" w:lineRule="auto" w:before="36"/>
        <w:ind w:left="620" w:right="1314"/>
        <w:jc w:val="left"/>
      </w:pPr>
      <w:r>
        <w:rPr/>
        <w:t>普华永道中天会计师事务所有限公司于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t>日成立审计小组，由项目</w:t>
      </w:r>
    </w:p>
    <w:p>
      <w:pPr>
        <w:pStyle w:val="BodyText"/>
        <w:spacing w:line="348" w:lineRule="auto"/>
        <w:ind w:right="1436"/>
        <w:jc w:val="both"/>
      </w:pPr>
      <w:r>
        <w:rPr>
          <w:spacing w:val="-3"/>
        </w:rPr>
        <w:t>负责人带队进入公司开始进行年度审计。经过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3"/>
        </w:rPr>
        <w:t>个多月的审计工作，审计小组完成了所</w:t>
      </w:r>
      <w:r>
        <w:rPr/>
        <w:t> </w:t>
      </w:r>
      <w:r>
        <w:rPr>
          <w:spacing w:val="-3"/>
        </w:rPr>
        <w:t>有审计程序，取得了充分适当的审计证据，并向审计委员会提交了无保留意见的审计报</w:t>
      </w:r>
      <w:r>
        <w:rPr>
          <w:spacing w:val="-98"/>
        </w:rPr>
        <w:t> </w:t>
      </w:r>
      <w:r>
        <w:rPr>
          <w:spacing w:val="-98"/>
        </w:rPr>
      </w:r>
      <w:r>
        <w:rPr>
          <w:spacing w:val="-18"/>
        </w:rPr>
        <w:t>告（意见稿）。</w:t>
      </w:r>
    </w:p>
    <w:p>
      <w:pPr>
        <w:pStyle w:val="BodyText"/>
        <w:spacing w:line="357" w:lineRule="auto" w:before="46"/>
        <w:ind w:left="620" w:right="1328"/>
        <w:jc w:val="left"/>
      </w:pPr>
      <w:r>
        <w:rPr/>
        <w:t>②</w:t>
      </w:r>
      <w:r>
        <w:rPr>
          <w:spacing w:val="-1"/>
        </w:rPr>
        <w:t> </w:t>
      </w:r>
      <w:r>
        <w:rPr/>
        <w:t>关于会计师事务所执行审计业务的工作评价：</w:t>
      </w:r>
      <w:r>
        <w:rPr/>
        <w:t> ⅰ、独立性评价：普华永道中天会计师事务所有限公司所有职员未在本公司任职，</w:t>
      </w:r>
    </w:p>
    <w:p>
      <w:pPr>
        <w:pStyle w:val="BodyText"/>
        <w:spacing w:line="357" w:lineRule="auto" w:before="36"/>
        <w:ind w:right="1437"/>
        <w:jc w:val="both"/>
      </w:pPr>
      <w:r>
        <w:rPr>
          <w:spacing w:val="-3"/>
        </w:rPr>
        <w:t>并未获取除法定审计必要费用外的任何现金及其他任何形式经济利益；会计师事务所和</w:t>
      </w:r>
      <w:r>
        <w:rPr>
          <w:spacing w:val="-98"/>
        </w:rPr>
        <w:t> </w:t>
      </w:r>
      <w:r>
        <w:rPr>
          <w:spacing w:val="-98"/>
        </w:rPr>
      </w:r>
      <w:r>
        <w:rPr>
          <w:spacing w:val="-3"/>
        </w:rPr>
        <w:t>本公司之间不存在直接或者间接的相互投资情况，也不存在密切的经营关系；会计师事</w:t>
      </w:r>
      <w:r>
        <w:rPr>
          <w:spacing w:val="-98"/>
        </w:rPr>
        <w:t> </w:t>
      </w:r>
      <w:r>
        <w:rPr>
          <w:spacing w:val="-98"/>
        </w:rPr>
      </w:r>
      <w:r>
        <w:rPr>
          <w:spacing w:val="-3"/>
        </w:rPr>
        <w:t>务所对公司的审计业务不存在自我评价，审计小组成员和本公司决策层之间不存在关联</w:t>
      </w:r>
      <w:r>
        <w:rPr>
          <w:spacing w:val="-99"/>
        </w:rPr>
        <w:t> </w:t>
      </w:r>
      <w:r>
        <w:rPr>
          <w:spacing w:val="-99"/>
        </w:rPr>
      </w:r>
      <w:r>
        <w:rPr>
          <w:spacing w:val="-3"/>
        </w:rPr>
        <w:t>关系。在本次审计工作中普华永道中天会计师事务所有限公司及审计成员始终保持了形</w:t>
      </w:r>
      <w:r>
        <w:rPr>
          <w:spacing w:val="-98"/>
        </w:rPr>
        <w:t> </w:t>
      </w:r>
      <w:r>
        <w:rPr>
          <w:spacing w:val="-98"/>
        </w:rPr>
      </w:r>
      <w:r>
        <w:rPr/>
        <w:t>式上和实质上的双重独立性，遵守了职业道德基本原则中关于保持独立性的要求。</w:t>
      </w:r>
    </w:p>
    <w:p>
      <w:pPr>
        <w:pStyle w:val="BodyText"/>
        <w:spacing w:line="240" w:lineRule="auto" w:before="36"/>
        <w:ind w:left="620" w:right="1314"/>
        <w:jc w:val="left"/>
      </w:pPr>
      <w:r>
        <w:rPr/>
        <w:t>ⅱ、专业胜任能力评价：审计小组共由 </w:t>
      </w:r>
      <w:r>
        <w:rPr>
          <w:rFonts w:ascii="Times New Roman" w:hAnsi="Times New Roman" w:cs="Times New Roman" w:eastAsia="Times New Roman" w:hint="default"/>
        </w:rPr>
        <w:t>40</w:t>
      </w:r>
      <w:r>
        <w:rPr>
          <w:rFonts w:ascii="Times New Roman" w:hAnsi="Times New Roman" w:cs="Times New Roman" w:eastAsia="Times New Roman" w:hint="default"/>
          <w:spacing w:val="-32"/>
        </w:rPr>
        <w:t> </w:t>
      </w:r>
      <w:r>
        <w:rPr/>
        <w:t>人组成，其中具有注册会计师资格的核</w:t>
      </w:r>
    </w:p>
    <w:p>
      <w:pPr>
        <w:pStyle w:val="BodyText"/>
        <w:spacing w:line="338" w:lineRule="auto"/>
        <w:ind w:right="1438"/>
        <w:jc w:val="both"/>
      </w:pPr>
      <w:r>
        <w:rPr/>
        <w:t>心小组成员 </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名。核心小组主要人员对零售业务较熟悉，组成人员具有承办本次审计 业务所必需的专业知识和相关的职业证书，能够胜任本次审计工作。</w:t>
      </w:r>
    </w:p>
    <w:p>
      <w:pPr>
        <w:pStyle w:val="BodyText"/>
        <w:spacing w:line="357" w:lineRule="auto" w:before="55"/>
        <w:ind w:right="1441" w:firstLine="480"/>
        <w:jc w:val="both"/>
      </w:pPr>
      <w:r>
        <w:rPr/>
        <w:t>③</w:t>
      </w:r>
      <w:r>
        <w:rPr>
          <w:spacing w:val="20"/>
        </w:rPr>
        <w:t> </w:t>
      </w:r>
      <w:r>
        <w:rPr/>
        <w:t>审计小组在本年度审计中按照中国注册会计师审计准则的要求执行了恰当的审</w:t>
      </w:r>
      <w:r>
        <w:rPr/>
        <w:t> </w:t>
      </w:r>
      <w:r>
        <w:rPr>
          <w:spacing w:val="-3"/>
        </w:rPr>
        <w:t>计程序，为发表审计意见获取了充分、适当的审计证据。事务所对财务报表发表的无保</w:t>
      </w:r>
      <w:r>
        <w:rPr>
          <w:spacing w:val="-103"/>
        </w:rPr>
        <w:t> </w:t>
      </w:r>
      <w:r>
        <w:rPr>
          <w:spacing w:val="-103"/>
        </w:rPr>
      </w:r>
      <w:r>
        <w:rPr/>
        <w:t>留审计意见是在获取充分、适当的审计证据的基础上做出的。</w:t>
      </w:r>
    </w:p>
    <w:p>
      <w:pPr>
        <w:pStyle w:val="BodyText"/>
        <w:spacing w:line="348" w:lineRule="auto" w:before="36"/>
        <w:ind w:right="1435" w:firstLine="480"/>
        <w:jc w:val="both"/>
      </w:pPr>
      <w:r>
        <w:rPr/>
        <w:t>④ 关于对续聘会计师事务所的建议：第四届董事会审计委员会认为公司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8"/>
        </w:rPr>
        <w:t> </w:t>
      </w:r>
      <w:r>
        <w:rPr/>
        <w:t>年 </w:t>
      </w:r>
      <w:r>
        <w:rPr>
          <w:spacing w:val="3"/>
        </w:rPr>
        <w:t>聘请的普华永道中天会计师事务所有限公司在为公司提供审计服务的工作中，恪尽职</w:t>
      </w:r>
      <w:r>
        <w:rPr>
          <w:spacing w:val="-108"/>
        </w:rPr>
        <w:t> </w:t>
      </w:r>
      <w:r>
        <w:rPr>
          <w:spacing w:val="-108"/>
        </w:rPr>
      </w:r>
      <w:r>
        <w:rPr>
          <w:spacing w:val="-3"/>
        </w:rPr>
        <w:t>守，遵循独立、客观、公正的职业准则，较好的完成了公司委托的审计工作。因此，审</w:t>
      </w:r>
      <w:r>
        <w:rPr>
          <w:spacing w:val="-98"/>
        </w:rPr>
        <w:t> </w:t>
      </w:r>
      <w:r>
        <w:rPr>
          <w:spacing w:val="-98"/>
        </w:rPr>
      </w:r>
      <w:r>
        <w:rPr/>
        <w:t>计委员会建议公司董事会继续聘任普华永道中天会计师事务所有限公司作为公司</w:t>
      </w:r>
      <w:r>
        <w:rPr>
          <w:spacing w:val="25"/>
        </w:rPr>
        <w:t> </w:t>
      </w:r>
      <w:r>
        <w:rPr>
          <w:rFonts w:ascii="Times New Roman" w:hAnsi="Times New Roman" w:cs="Times New Roman" w:eastAsia="Times New Roman" w:hint="default"/>
        </w:rPr>
        <w:t>2012 </w:t>
      </w:r>
      <w:r>
        <w:rPr/>
        <w:t>年度的审计机构。</w:t>
      </w:r>
    </w:p>
    <w:p>
      <w:pPr>
        <w:pStyle w:val="BodyText"/>
        <w:spacing w:line="338" w:lineRule="auto" w:before="46"/>
        <w:ind w:left="620" w:right="1314"/>
        <w:jc w:val="left"/>
      </w:pPr>
      <w:r>
        <w:rPr>
          <w:rFonts w:ascii="Times New Roman" w:hAnsi="Times New Roman" w:cs="Times New Roman" w:eastAsia="Times New Roman" w:hint="default"/>
        </w:rPr>
        <w:t>4</w:t>
      </w:r>
      <w:r>
        <w:rPr/>
        <w:t>、董事会薪酬与考核委员会履职情况： </w:t>
      </w:r>
      <w:r>
        <w:rPr>
          <w:spacing w:val="-3"/>
        </w:rPr>
        <w:t>第四届董事会薪酬与考核委员会对公司董事、监事和高级管理人员所披露薪酬发表</w:t>
      </w:r>
    </w:p>
    <w:p>
      <w:pPr>
        <w:pStyle w:val="BodyText"/>
        <w:spacing w:line="240" w:lineRule="auto" w:before="55"/>
        <w:ind w:right="0"/>
        <w:jc w:val="both"/>
      </w:pPr>
      <w:r>
        <w:rPr/>
        <w:t>审核意见如下：</w:t>
      </w:r>
    </w:p>
    <w:p>
      <w:pPr>
        <w:spacing w:after="0" w:line="240" w:lineRule="auto"/>
        <w:jc w:val="both"/>
        <w:sectPr>
          <w:footerReference w:type="default" r:id="rId51"/>
          <w:pgSz w:w="11910" w:h="16840"/>
          <w:pgMar w:footer="1117" w:header="748" w:top="980" w:bottom="1300" w:left="1300" w:right="0"/>
          <w:pgNumType w:start="74"/>
        </w:sectPr>
      </w:pPr>
    </w:p>
    <w:p>
      <w:pPr>
        <w:spacing w:line="240" w:lineRule="auto" w:before="6"/>
        <w:rPr>
          <w:rFonts w:ascii="宋体" w:hAnsi="宋体" w:cs="宋体" w:eastAsia="宋体" w:hint="default"/>
          <w:sz w:val="29"/>
          <w:szCs w:val="29"/>
        </w:rPr>
      </w:pPr>
    </w:p>
    <w:p>
      <w:pPr>
        <w:pStyle w:val="BodyText"/>
        <w:spacing w:line="348" w:lineRule="auto" w:before="26"/>
        <w:ind w:left="240" w:right="1436"/>
        <w:jc w:val="both"/>
      </w:pPr>
      <w:r>
        <w:rPr/>
        <w:t>领全体员工共同努力，取得了良好的经营业绩，实现了公司的稳步发展。</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年所披 </w:t>
      </w:r>
      <w:r>
        <w:rPr>
          <w:spacing w:val="-3"/>
        </w:rPr>
        <w:t>露的董事和高管薪酬是经公司董事会、股东大会审议通过的，相关决策程序符合法律法</w:t>
      </w:r>
      <w:r>
        <w:rPr>
          <w:spacing w:val="-98"/>
        </w:rPr>
        <w:t> </w:t>
      </w:r>
      <w:r>
        <w:rPr>
          <w:spacing w:val="-98"/>
        </w:rPr>
      </w:r>
      <w:r>
        <w:rPr/>
        <w:t>规的规定，披露的薪酬信息是真实和合理的。</w:t>
      </w:r>
    </w:p>
    <w:p>
      <w:pPr>
        <w:pStyle w:val="BodyText"/>
        <w:spacing w:line="240" w:lineRule="auto" w:before="46"/>
        <w:ind w:left="720" w:right="3386"/>
        <w:jc w:val="left"/>
      </w:pPr>
      <w:r>
        <w:rPr/>
        <w:t>六、利润分配预案</w:t>
      </w:r>
    </w:p>
    <w:p>
      <w:pPr>
        <w:pStyle w:val="BodyText"/>
        <w:spacing w:line="338" w:lineRule="auto" w:before="154"/>
        <w:ind w:left="766" w:right="1336"/>
        <w:jc w:val="left"/>
      </w:pPr>
      <w:r>
        <w:rPr>
          <w:rFonts w:ascii="Times New Roman" w:hAnsi="Times New Roman" w:cs="Times New Roman" w:eastAsia="Times New Roman" w:hint="default"/>
        </w:rPr>
        <w:t>1</w:t>
      </w:r>
      <w:r>
        <w:rPr/>
        <w:t>、本年度利润分配预案 经普华永道中天会计师事务所有限公司出具的普华永道中天审字</w:t>
      </w:r>
      <w:r>
        <w:rPr>
          <w:rFonts w:ascii="Times New Roman" w:hAnsi="Times New Roman" w:cs="Times New Roman" w:eastAsia="Times New Roman" w:hint="default"/>
        </w:rPr>
        <w:t>(2012)</w:t>
      </w:r>
      <w:r>
        <w:rPr/>
        <w:t>第 </w:t>
      </w:r>
      <w:r>
        <w:rPr>
          <w:rFonts w:ascii="Times New Roman" w:hAnsi="Times New Roman" w:cs="Times New Roman" w:eastAsia="Times New Roman" w:hint="default"/>
        </w:rPr>
        <w:t>10045</w:t>
      </w:r>
      <w:r>
        <w:rPr>
          <w:rFonts w:ascii="Times New Roman" w:hAnsi="Times New Roman" w:cs="Times New Roman" w:eastAsia="Times New Roman" w:hint="default"/>
          <w:spacing w:val="-34"/>
        </w:rPr>
        <w:t> </w:t>
      </w:r>
      <w:r>
        <w:rPr/>
        <w:t>号</w:t>
      </w:r>
    </w:p>
    <w:p>
      <w:pPr>
        <w:pStyle w:val="BodyText"/>
        <w:spacing w:line="240" w:lineRule="auto" w:before="27"/>
        <w:ind w:left="240" w:right="0"/>
        <w:jc w:val="both"/>
        <w:rPr>
          <w:rFonts w:ascii="Times New Roman" w:hAnsi="Times New Roman" w:cs="Times New Roman" w:eastAsia="Times New Roman" w:hint="default"/>
        </w:rPr>
      </w:pPr>
      <w:r>
        <w:rPr/>
        <w:t>《审计报告》确认，</w:t>
      </w:r>
      <w:r>
        <w:rPr>
          <w:rFonts w:ascii="Times New Roman" w:hAnsi="Times New Roman" w:cs="Times New Roman" w:eastAsia="Times New Roman" w:hint="default"/>
        </w:rPr>
        <w:t>2011 </w:t>
      </w:r>
      <w:r>
        <w:rPr/>
        <w:t>年公司母公司实现净利润 </w:t>
      </w:r>
      <w:r>
        <w:rPr>
          <w:rFonts w:ascii="Times New Roman" w:hAnsi="Times New Roman" w:cs="Times New Roman" w:eastAsia="Times New Roman" w:hint="default"/>
        </w:rPr>
        <w:t>2,606,014 </w:t>
      </w:r>
      <w:r>
        <w:rPr/>
        <w:t>千元，按公司净利润</w:t>
      </w:r>
      <w:r>
        <w:rPr>
          <w:spacing w:val="-85"/>
        </w:rPr>
        <w:t> </w:t>
      </w:r>
      <w:r>
        <w:rPr>
          <w:rFonts w:ascii="Times New Roman" w:hAnsi="Times New Roman" w:cs="Times New Roman" w:eastAsia="Times New Roman" w:hint="default"/>
        </w:rPr>
        <w:t>10%</w:t>
      </w:r>
    </w:p>
    <w:p>
      <w:pPr>
        <w:pStyle w:val="BodyText"/>
        <w:spacing w:line="240" w:lineRule="auto" w:before="136"/>
        <w:ind w:left="240" w:right="0"/>
        <w:jc w:val="both"/>
        <w:rPr>
          <w:rFonts w:ascii="Times New Roman" w:hAnsi="Times New Roman" w:cs="Times New Roman" w:eastAsia="Times New Roman" w:hint="default"/>
        </w:rPr>
      </w:pPr>
      <w:r>
        <w:rPr/>
        <w:t>提取法定盈余公积金</w:t>
      </w:r>
      <w:r>
        <w:rPr>
          <w:spacing w:val="-77"/>
        </w:rPr>
        <w:t> </w:t>
      </w:r>
      <w:r>
        <w:rPr>
          <w:rFonts w:ascii="Times New Roman" w:hAnsi="Times New Roman" w:cs="Times New Roman" w:eastAsia="Times New Roman" w:hint="default"/>
        </w:rPr>
        <w:t>260,601</w:t>
      </w:r>
      <w:r>
        <w:rPr>
          <w:rFonts w:ascii="Times New Roman" w:hAnsi="Times New Roman" w:cs="Times New Roman" w:eastAsia="Times New Roman" w:hint="default"/>
          <w:spacing w:val="-17"/>
        </w:rPr>
        <w:t> </w:t>
      </w:r>
      <w:r>
        <w:rPr/>
        <w:t>千元</w:t>
      </w:r>
      <w:r>
        <w:rPr>
          <w:spacing w:val="-120"/>
        </w:rPr>
        <w:t>，</w:t>
      </w:r>
      <w:r>
        <w:rPr/>
        <w:t>提取法定盈余公积金后剩余利润</w:t>
      </w:r>
      <w:r>
        <w:rPr>
          <w:spacing w:val="-76"/>
        </w:rPr>
        <w:t> </w:t>
      </w:r>
      <w:r>
        <w:rPr>
          <w:rFonts w:ascii="Times New Roman" w:hAnsi="Times New Roman" w:cs="Times New Roman" w:eastAsia="Times New Roman" w:hint="default"/>
        </w:rPr>
        <w:t>2,345,413</w:t>
      </w:r>
      <w:r>
        <w:rPr>
          <w:rFonts w:ascii="Times New Roman" w:hAnsi="Times New Roman" w:cs="Times New Roman" w:eastAsia="Times New Roman" w:hint="default"/>
          <w:spacing w:val="-17"/>
        </w:rPr>
        <w:t> </w:t>
      </w:r>
      <w:r>
        <w:rPr/>
        <w:t>千元</w:t>
      </w:r>
      <w:r>
        <w:rPr>
          <w:spacing w:val="-120"/>
        </w:rPr>
        <w:t>。</w:t>
      </w:r>
      <w:r>
        <w:rPr>
          <w:rFonts w:ascii="Times New Roman" w:hAnsi="Times New Roman" w:cs="Times New Roman" w:eastAsia="Times New Roman" w:hint="default"/>
        </w:rPr>
        <w:t>2011</w:t>
      </w:r>
    </w:p>
    <w:p>
      <w:pPr>
        <w:pStyle w:val="BodyText"/>
        <w:spacing w:line="240" w:lineRule="auto"/>
        <w:ind w:left="240" w:right="0"/>
        <w:jc w:val="both"/>
      </w:pPr>
      <w:r>
        <w:rPr/>
        <w:t>年内，公司支付普通股股利</w:t>
      </w:r>
      <w:r>
        <w:rPr>
          <w:spacing w:val="-70"/>
        </w:rPr>
        <w:t> </w:t>
      </w:r>
      <w:r>
        <w:rPr>
          <w:rFonts w:ascii="Times New Roman" w:hAnsi="Times New Roman" w:cs="Times New Roman" w:eastAsia="Times New Roman" w:hint="default"/>
        </w:rPr>
        <w:t>699,621</w:t>
      </w:r>
      <w:r>
        <w:rPr>
          <w:rFonts w:ascii="Times New Roman" w:hAnsi="Times New Roman" w:cs="Times New Roman" w:eastAsia="Times New Roman" w:hint="default"/>
          <w:spacing w:val="-10"/>
        </w:rPr>
        <w:t> </w:t>
      </w:r>
      <w:r>
        <w:rPr/>
        <w:t>千元，加年初未分配利润</w:t>
      </w:r>
      <w:r>
        <w:rPr>
          <w:spacing w:val="-70"/>
        </w:rPr>
        <w:t> </w:t>
      </w:r>
      <w:r>
        <w:rPr>
          <w:rFonts w:ascii="Times New Roman" w:hAnsi="Times New Roman" w:cs="Times New Roman" w:eastAsia="Times New Roman" w:hint="default"/>
        </w:rPr>
        <w:t>4,892,728</w:t>
      </w:r>
      <w:r>
        <w:rPr>
          <w:rFonts w:ascii="Times New Roman" w:hAnsi="Times New Roman" w:cs="Times New Roman" w:eastAsia="Times New Roman" w:hint="default"/>
          <w:spacing w:val="-10"/>
        </w:rPr>
        <w:t> </w:t>
      </w:r>
      <w:r>
        <w:rPr>
          <w:spacing w:val="-4"/>
        </w:rPr>
        <w:t>千元，报告期末</w:t>
      </w:r>
    </w:p>
    <w:p>
      <w:pPr>
        <w:pStyle w:val="BodyText"/>
        <w:spacing w:line="240" w:lineRule="auto"/>
        <w:ind w:left="240" w:right="0"/>
        <w:jc w:val="both"/>
      </w:pPr>
      <w:r>
        <w:rPr/>
        <w:t>公司未分配利润为</w:t>
      </w:r>
      <w:r>
        <w:rPr>
          <w:spacing w:val="-61"/>
        </w:rPr>
        <w:t> </w:t>
      </w:r>
      <w:r>
        <w:rPr>
          <w:rFonts w:ascii="Times New Roman" w:hAnsi="Times New Roman" w:cs="Times New Roman" w:eastAsia="Times New Roman" w:hint="default"/>
        </w:rPr>
        <w:t>6,538,520 </w:t>
      </w:r>
      <w:r>
        <w:rPr/>
        <w:t>千元。</w:t>
      </w:r>
    </w:p>
    <w:p>
      <w:pPr>
        <w:pStyle w:val="BodyText"/>
        <w:spacing w:line="338" w:lineRule="auto"/>
        <w:ind w:left="240" w:right="1347" w:firstLine="525"/>
        <w:jc w:val="both"/>
      </w:pPr>
      <w:r>
        <w:rPr>
          <w:spacing w:val="-5"/>
        </w:rPr>
        <w:t>公司第四届董事会第二十三次会议审议通过 </w:t>
      </w:r>
      <w:r>
        <w:rPr>
          <w:rFonts w:ascii="Times New Roman" w:hAnsi="Times New Roman" w:cs="Times New Roman" w:eastAsia="Times New Roman" w:hint="default"/>
          <w:spacing w:val="-3"/>
        </w:rPr>
        <w:t>2011 </w:t>
      </w:r>
      <w:r>
        <w:rPr>
          <w:spacing w:val="-4"/>
        </w:rPr>
        <w:t>年度利润分配方案：以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spacing w:val="-5"/>
        </w:rPr>
        <w:t>年末 </w:t>
      </w:r>
      <w:r>
        <w:rPr>
          <w:spacing w:val="-4"/>
        </w:rPr>
        <w:t>公司总股本</w:t>
      </w:r>
      <w:r>
        <w:rPr>
          <w:spacing w:val="-59"/>
        </w:rPr>
        <w:t> </w:t>
      </w:r>
      <w:r>
        <w:rPr>
          <w:rFonts w:ascii="Times New Roman" w:hAnsi="Times New Roman" w:cs="Times New Roman" w:eastAsia="Times New Roman" w:hint="default"/>
          <w:spacing w:val="-3"/>
        </w:rPr>
        <w:t>6,996,211,866</w:t>
      </w:r>
      <w:r>
        <w:rPr>
          <w:rFonts w:ascii="Times New Roman" w:hAnsi="Times New Roman" w:cs="Times New Roman" w:eastAsia="Times New Roman" w:hint="default"/>
          <w:spacing w:val="5"/>
        </w:rPr>
        <w:t> </w:t>
      </w:r>
      <w:r>
        <w:rPr>
          <w:spacing w:val="-4"/>
        </w:rPr>
        <w:t>股为基数，向全体股东每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股派发现金</w:t>
      </w:r>
      <w:r>
        <w:rPr>
          <w:spacing w:val="-58"/>
        </w:rPr>
        <w:t> </w:t>
      </w:r>
      <w:r>
        <w:rPr>
          <w:rFonts w:ascii="Times New Roman" w:hAnsi="Times New Roman" w:cs="Times New Roman" w:eastAsia="Times New Roman" w:hint="default"/>
          <w:spacing w:val="-1"/>
        </w:rPr>
        <w:t>1.50</w:t>
      </w:r>
      <w:r>
        <w:rPr>
          <w:rFonts w:ascii="Times New Roman" w:hAnsi="Times New Roman" w:cs="Times New Roman" w:eastAsia="Times New Roman" w:hint="default"/>
          <w:spacing w:val="5"/>
        </w:rPr>
        <w:t> </w:t>
      </w:r>
      <w:r>
        <w:rPr>
          <w:spacing w:val="-19"/>
        </w:rPr>
        <w:t>元（含税），本次</w:t>
      </w:r>
      <w:r>
        <w:rPr/>
        <w:t> </w:t>
      </w:r>
      <w:r>
        <w:rPr>
          <w:spacing w:val="-4"/>
        </w:rPr>
        <w:t>利润分配</w:t>
      </w:r>
      <w:r>
        <w:rPr>
          <w:spacing w:val="-68"/>
        </w:rPr>
        <w:t> </w:t>
      </w:r>
      <w:r>
        <w:rPr>
          <w:rFonts w:ascii="Times New Roman" w:hAnsi="Times New Roman" w:cs="Times New Roman" w:eastAsia="Times New Roman" w:hint="default"/>
          <w:spacing w:val="-3"/>
        </w:rPr>
        <w:t>1,049,432</w:t>
      </w:r>
      <w:r>
        <w:rPr>
          <w:rFonts w:ascii="Times New Roman" w:hAnsi="Times New Roman" w:cs="Times New Roman" w:eastAsia="Times New Roman" w:hint="default"/>
          <w:spacing w:val="-6"/>
        </w:rPr>
        <w:t> </w:t>
      </w:r>
      <w:r>
        <w:rPr>
          <w:spacing w:val="-8"/>
        </w:rPr>
        <w:t>千元，利润分配后，剩余未分配利润</w:t>
      </w:r>
      <w:r>
        <w:rPr>
          <w:spacing w:val="-67"/>
        </w:rPr>
        <w:t> </w:t>
      </w:r>
      <w:r>
        <w:rPr>
          <w:rFonts w:ascii="Times New Roman" w:hAnsi="Times New Roman" w:cs="Times New Roman" w:eastAsia="Times New Roman" w:hint="default"/>
        </w:rPr>
        <w:t>5,489,088</w:t>
      </w:r>
      <w:r>
        <w:rPr>
          <w:rFonts w:ascii="Times New Roman" w:hAnsi="Times New Roman" w:cs="Times New Roman" w:eastAsia="Times New Roman" w:hint="default"/>
          <w:spacing w:val="-6"/>
        </w:rPr>
        <w:t> </w:t>
      </w:r>
      <w:r>
        <w:rPr>
          <w:spacing w:val="-7"/>
        </w:rPr>
        <w:t>千元转入下一年度。本</w:t>
      </w:r>
      <w:r>
        <w:rPr/>
        <w:t> 次利润分配预案须经</w:t>
      </w:r>
      <w:r>
        <w:rPr>
          <w:spacing w:val="-60"/>
        </w:rPr>
        <w:t> </w:t>
      </w:r>
      <w:r>
        <w:rPr>
          <w:rFonts w:ascii="Times New Roman" w:hAnsi="Times New Roman" w:cs="Times New Roman" w:eastAsia="Times New Roman" w:hint="default"/>
        </w:rPr>
        <w:t>2011 </w:t>
      </w:r>
      <w:r>
        <w:rPr/>
        <w:t>年年度股东大会审议批准后实施。</w:t>
      </w:r>
    </w:p>
    <w:p>
      <w:pPr>
        <w:pStyle w:val="BodyText"/>
        <w:spacing w:line="240" w:lineRule="auto" w:before="27"/>
        <w:ind w:left="720" w:right="3386"/>
        <w:jc w:val="left"/>
      </w:pPr>
      <w:r>
        <w:rPr>
          <w:rFonts w:ascii="Times New Roman" w:hAnsi="Times New Roman" w:cs="Times New Roman" w:eastAsia="Times New Roman" w:hint="default"/>
        </w:rPr>
        <w:t>2</w:t>
      </w:r>
      <w:r>
        <w:rPr/>
        <w:t>、公司近三年的利润分配方案</w:t>
      </w:r>
    </w:p>
    <w:p>
      <w:pPr>
        <w:pStyle w:val="BodyText"/>
        <w:spacing w:line="240" w:lineRule="auto"/>
        <w:ind w:left="720" w:right="1328"/>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5"/>
        </w:rPr>
        <w:t>年利润分配方案：公司以</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年末总股本</w:t>
      </w:r>
      <w:r>
        <w:rPr>
          <w:spacing w:val="-57"/>
        </w:rPr>
        <w:t> </w:t>
      </w:r>
      <w:r>
        <w:rPr>
          <w:rFonts w:ascii="Times New Roman" w:hAnsi="Times New Roman" w:cs="Times New Roman" w:eastAsia="Times New Roman" w:hint="default"/>
        </w:rPr>
        <w:t>2,991,008,000</w:t>
      </w:r>
      <w:r>
        <w:rPr>
          <w:rFonts w:ascii="Times New Roman" w:hAnsi="Times New Roman" w:cs="Times New Roman" w:eastAsia="Times New Roman" w:hint="default"/>
          <w:spacing w:val="3"/>
        </w:rPr>
        <w:t> </w:t>
      </w:r>
      <w:r>
        <w:rPr>
          <w:spacing w:val="-6"/>
        </w:rPr>
        <w:t>股为基数，向全体股</w:t>
      </w:r>
    </w:p>
    <w:p>
      <w:pPr>
        <w:pStyle w:val="BodyText"/>
        <w:spacing w:line="240" w:lineRule="auto"/>
        <w:ind w:left="240" w:right="0"/>
        <w:jc w:val="both"/>
      </w:pPr>
      <w:r>
        <w:rPr/>
        <w:t>东每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股送红股</w:t>
      </w:r>
      <w:r>
        <w:rPr>
          <w:spacing w:val="-60"/>
        </w:rPr>
        <w:t> </w:t>
      </w:r>
      <w:r>
        <w:rPr>
          <w:rFonts w:ascii="Times New Roman" w:hAnsi="Times New Roman" w:cs="Times New Roman" w:eastAsia="Times New Roman" w:hint="default"/>
        </w:rPr>
        <w:t>2 </w:t>
      </w:r>
      <w:r>
        <w:rPr/>
        <w:t>股并派发现金</w:t>
      </w:r>
      <w:r>
        <w:rPr>
          <w:spacing w:val="-60"/>
        </w:rPr>
        <w:t> </w:t>
      </w:r>
      <w:r>
        <w:rPr>
          <w:rFonts w:ascii="Times New Roman" w:hAnsi="Times New Roman" w:cs="Times New Roman" w:eastAsia="Times New Roman" w:hint="default"/>
        </w:rPr>
        <w:t>0.3 </w:t>
      </w:r>
      <w:r>
        <w:rPr/>
        <w:t>元（含税）。</w:t>
      </w:r>
    </w:p>
    <w:p>
      <w:pPr>
        <w:pStyle w:val="BodyText"/>
        <w:spacing w:line="240" w:lineRule="auto"/>
        <w:ind w:left="720" w:right="1302"/>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年利润分配方案：公司以</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日总股本</w:t>
      </w:r>
      <w:r>
        <w:rPr>
          <w:spacing w:val="-60"/>
        </w:rPr>
        <w:t> </w:t>
      </w:r>
      <w:r>
        <w:rPr>
          <w:rFonts w:ascii="Times New Roman" w:hAnsi="Times New Roman" w:cs="Times New Roman" w:eastAsia="Times New Roman" w:hint="default"/>
        </w:rPr>
        <w:t>4,664,141,244 </w:t>
      </w:r>
      <w:r>
        <w:rPr/>
        <w:t>股为基数，</w:t>
      </w:r>
    </w:p>
    <w:p>
      <w:pPr>
        <w:pStyle w:val="BodyText"/>
        <w:spacing w:line="240" w:lineRule="auto"/>
        <w:ind w:left="240" w:right="0"/>
        <w:jc w:val="both"/>
      </w:pPr>
      <w:r>
        <w:rPr/>
        <w:t>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0.5</w:t>
      </w:r>
      <w:r>
        <w:rPr>
          <w:rFonts w:ascii="Times New Roman" w:hAnsi="Times New Roman" w:cs="Times New Roman" w:eastAsia="Times New Roman" w:hint="default"/>
          <w:spacing w:val="-31"/>
        </w:rPr>
        <w:t> </w:t>
      </w:r>
      <w:r>
        <w:rPr/>
        <w:t>元，同时，以资本公积金转增股本的方式向全体</w:t>
      </w:r>
    </w:p>
    <w:p>
      <w:pPr>
        <w:pStyle w:val="BodyText"/>
        <w:spacing w:line="240" w:lineRule="auto"/>
        <w:ind w:left="240" w:right="0"/>
        <w:jc w:val="both"/>
      </w:pPr>
      <w:r>
        <w:rPr/>
        <w:t>股东每</w:t>
      </w:r>
      <w:r>
        <w:rPr>
          <w:spacing w:val="-61"/>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5 </w:t>
      </w:r>
      <w:r>
        <w:rPr/>
        <w:t>股。</w:t>
      </w:r>
    </w:p>
    <w:p>
      <w:pPr>
        <w:pStyle w:val="BodyText"/>
        <w:spacing w:line="240" w:lineRule="auto" w:before="136"/>
        <w:ind w:left="720" w:right="1328"/>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5"/>
        </w:rPr>
        <w:t>年利润分配方案：公司以</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年末公司总股本</w:t>
      </w:r>
      <w:r>
        <w:rPr>
          <w:spacing w:val="-58"/>
        </w:rPr>
        <w:t> </w:t>
      </w:r>
      <w:r>
        <w:rPr>
          <w:rFonts w:ascii="Times New Roman" w:hAnsi="Times New Roman" w:cs="Times New Roman" w:eastAsia="Times New Roman" w:hint="default"/>
        </w:rPr>
        <w:t>6,996,211,866</w:t>
      </w:r>
      <w:r>
        <w:rPr>
          <w:rFonts w:ascii="Times New Roman" w:hAnsi="Times New Roman" w:cs="Times New Roman" w:eastAsia="Times New Roman" w:hint="default"/>
          <w:spacing w:val="2"/>
        </w:rPr>
        <w:t> </w:t>
      </w:r>
      <w:r>
        <w:rPr>
          <w:spacing w:val="-7"/>
        </w:rPr>
        <w:t>股为基数，向全</w:t>
      </w:r>
    </w:p>
    <w:p>
      <w:pPr>
        <w:pStyle w:val="BodyText"/>
        <w:spacing w:line="240" w:lineRule="auto"/>
        <w:ind w:left="240" w:right="0"/>
        <w:jc w:val="both"/>
      </w:pPr>
      <w:r>
        <w:rPr/>
        <w:t>体股东每</w:t>
      </w:r>
      <w:r>
        <w:rPr>
          <w:spacing w:val="-61"/>
        </w:rPr>
        <w:t> </w:t>
      </w:r>
      <w:r>
        <w:rPr>
          <w:rFonts w:ascii="Times New Roman" w:hAnsi="Times New Roman" w:cs="Times New Roman" w:eastAsia="Times New Roman" w:hint="default"/>
        </w:rPr>
        <w:t>10 </w:t>
      </w:r>
      <w:r>
        <w:rPr/>
        <w:t>股派发现金</w:t>
      </w:r>
      <w:r>
        <w:rPr>
          <w:spacing w:val="-60"/>
        </w:rPr>
        <w:t> </w:t>
      </w:r>
      <w:r>
        <w:rPr>
          <w:rFonts w:ascii="Times New Roman" w:hAnsi="Times New Roman" w:cs="Times New Roman" w:eastAsia="Times New Roman" w:hint="default"/>
        </w:rPr>
        <w:t>1 </w:t>
      </w:r>
      <w:r>
        <w:rPr/>
        <w:t>元（含税）。</w:t>
      </w:r>
    </w:p>
    <w:p>
      <w:pPr>
        <w:pStyle w:val="BodyText"/>
        <w:spacing w:line="240" w:lineRule="auto"/>
        <w:ind w:left="720" w:right="3386"/>
        <w:jc w:val="left"/>
      </w:pPr>
      <w:r>
        <w:rPr>
          <w:rFonts w:ascii="Times New Roman" w:hAnsi="Times New Roman" w:cs="Times New Roman" w:eastAsia="Times New Roman" w:hint="default"/>
        </w:rPr>
        <w:t>3</w:t>
      </w:r>
      <w:r>
        <w:rPr/>
        <w:t>、公司前三年现金分红情况</w:t>
      </w:r>
    </w:p>
    <w:p>
      <w:pPr>
        <w:spacing w:line="240" w:lineRule="auto" w:before="6"/>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3617"/>
        <w:gridCol w:w="2456"/>
        <w:gridCol w:w="1448"/>
        <w:gridCol w:w="1726"/>
      </w:tblGrid>
      <w:tr>
        <w:trPr>
          <w:trHeight w:val="329" w:hRule="exact"/>
        </w:trPr>
        <w:tc>
          <w:tcPr>
            <w:tcW w:w="3617" w:type="dxa"/>
            <w:tcBorders>
              <w:top w:val="single" w:sz="17" w:space="0" w:color="000000"/>
              <w:left w:val="single" w:sz="17" w:space="0" w:color="000000"/>
              <w:bottom w:val="single" w:sz="4" w:space="0" w:color="000000"/>
              <w:right w:val="single" w:sz="4" w:space="0" w:color="000000"/>
            </w:tcBorders>
          </w:tcPr>
          <w:p>
            <w:pPr>
              <w:pStyle w:val="TableParagraph"/>
              <w:spacing w:line="251" w:lineRule="exact"/>
              <w:ind w:right="17"/>
              <w:jc w:val="center"/>
              <w:rPr>
                <w:rFonts w:ascii="宋体" w:hAnsi="宋体" w:cs="宋体" w:eastAsia="宋体" w:hint="default"/>
                <w:sz w:val="20"/>
                <w:szCs w:val="20"/>
              </w:rPr>
            </w:pPr>
            <w:r>
              <w:rPr>
                <w:rFonts w:ascii="宋体" w:hAnsi="宋体" w:cs="宋体" w:eastAsia="宋体" w:hint="default"/>
                <w:sz w:val="20"/>
                <w:szCs w:val="20"/>
              </w:rPr>
              <w:t>项目</w:t>
            </w:r>
          </w:p>
        </w:tc>
        <w:tc>
          <w:tcPr>
            <w:tcW w:w="2456" w:type="dxa"/>
            <w:tcBorders>
              <w:top w:val="single" w:sz="17"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448" w:type="dxa"/>
            <w:tcBorders>
              <w:top w:val="single" w:sz="17" w:space="0" w:color="000000"/>
              <w:left w:val="single" w:sz="4" w:space="0" w:color="000000"/>
              <w:bottom w:val="single" w:sz="4" w:space="0" w:color="000000"/>
              <w:right w:val="single" w:sz="4" w:space="0" w:color="000000"/>
            </w:tcBorders>
          </w:tcPr>
          <w:p>
            <w:pPr>
              <w:pStyle w:val="TableParagraph"/>
              <w:spacing w:line="266" w:lineRule="exact"/>
              <w:ind w:left="3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726" w:type="dxa"/>
            <w:tcBorders>
              <w:top w:val="single" w:sz="17" w:space="0" w:color="000000"/>
              <w:left w:val="single" w:sz="4" w:space="0" w:color="000000"/>
              <w:bottom w:val="single" w:sz="4" w:space="0" w:color="000000"/>
              <w:right w:val="single" w:sz="17" w:space="0" w:color="000000"/>
            </w:tcBorders>
          </w:tcPr>
          <w:p>
            <w:pPr>
              <w:pStyle w:val="TableParagraph"/>
              <w:spacing w:line="266" w:lineRule="exact"/>
              <w:ind w:left="53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r>
      <w:tr>
        <w:trPr>
          <w:trHeight w:val="295" w:hRule="exact"/>
        </w:trPr>
        <w:tc>
          <w:tcPr>
            <w:tcW w:w="3617"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现金分红金额（千元）</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699,621.19</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233,207.06</w:t>
            </w:r>
            <w:r>
              <w:rPr>
                <w:rFonts w:ascii="Times New Roman"/>
                <w:sz w:val="20"/>
              </w:rPr>
            </w: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right="84"/>
              <w:jc w:val="right"/>
              <w:rPr>
                <w:rFonts w:ascii="Times New Roman" w:hAnsi="Times New Roman" w:cs="Times New Roman" w:eastAsia="Times New Roman" w:hint="default"/>
                <w:sz w:val="20"/>
                <w:szCs w:val="20"/>
              </w:rPr>
            </w:pPr>
            <w:r>
              <w:rPr>
                <w:rFonts w:ascii="Times New Roman"/>
                <w:w w:val="95"/>
                <w:sz w:val="20"/>
              </w:rPr>
              <w:t>239,280.64</w:t>
            </w:r>
            <w:r>
              <w:rPr>
                <w:rFonts w:ascii="Times New Roman"/>
                <w:sz w:val="20"/>
              </w:rPr>
            </w:r>
          </w:p>
        </w:tc>
      </w:tr>
      <w:tr>
        <w:trPr>
          <w:trHeight w:val="295" w:hRule="exact"/>
        </w:trPr>
        <w:tc>
          <w:tcPr>
            <w:tcW w:w="3617"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归属于上市公司股东的净利润（千元）</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spacing w:val="-1"/>
                <w:w w:val="95"/>
                <w:sz w:val="20"/>
              </w:rPr>
              <w:t>4,011,820</w:t>
            </w:r>
            <w:r>
              <w:rPr>
                <w:rFonts w:ascii="Times New Roman"/>
                <w:spacing w:val="-1"/>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2,889,956</w:t>
            </w:r>
            <w:r>
              <w:rPr>
                <w:rFonts w:ascii="Times New Roman"/>
                <w:sz w:val="20"/>
              </w:rPr>
            </w:r>
          </w:p>
        </w:tc>
        <w:tc>
          <w:tcPr>
            <w:tcW w:w="172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right="84"/>
              <w:jc w:val="right"/>
              <w:rPr>
                <w:rFonts w:ascii="Times New Roman" w:hAnsi="Times New Roman" w:cs="Times New Roman" w:eastAsia="Times New Roman" w:hint="default"/>
                <w:sz w:val="20"/>
                <w:szCs w:val="20"/>
              </w:rPr>
            </w:pPr>
            <w:r>
              <w:rPr>
                <w:rFonts w:ascii="Times New Roman"/>
                <w:w w:val="95"/>
                <w:sz w:val="20"/>
              </w:rPr>
              <w:t>2,170,189</w:t>
            </w:r>
            <w:r>
              <w:rPr>
                <w:rFonts w:ascii="Times New Roman"/>
                <w:sz w:val="20"/>
              </w:rPr>
            </w:r>
          </w:p>
        </w:tc>
      </w:tr>
      <w:tr>
        <w:trPr>
          <w:trHeight w:val="293" w:hRule="exact"/>
        </w:trPr>
        <w:tc>
          <w:tcPr>
            <w:tcW w:w="3617" w:type="dxa"/>
            <w:tcBorders>
              <w:top w:val="single" w:sz="4" w:space="0" w:color="000000"/>
              <w:left w:val="single" w:sz="17"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0"/>
                <w:szCs w:val="20"/>
              </w:rPr>
            </w:pPr>
            <w:r>
              <w:rPr>
                <w:rFonts w:ascii="宋体" w:hAnsi="宋体" w:cs="宋体" w:eastAsia="宋体" w:hint="default"/>
                <w:sz w:val="20"/>
                <w:szCs w:val="20"/>
              </w:rPr>
              <w:t>前三年年平均净利润（千元）</w:t>
            </w:r>
          </w:p>
        </w:tc>
        <w:tc>
          <w:tcPr>
            <w:tcW w:w="5629" w:type="dxa"/>
            <w:gridSpan w:val="3"/>
            <w:tcBorders>
              <w:top w:val="single" w:sz="4" w:space="0" w:color="000000"/>
              <w:left w:val="single" w:sz="4" w:space="0" w:color="000000"/>
              <w:bottom w:val="single" w:sz="4" w:space="0" w:color="000000"/>
              <w:right w:val="single" w:sz="17" w:space="0" w:color="000000"/>
            </w:tcBorders>
          </w:tcPr>
          <w:p>
            <w:pPr>
              <w:pStyle w:val="TableParagraph"/>
              <w:spacing w:line="240" w:lineRule="auto" w:before="19"/>
              <w:ind w:left="16" w:right="0"/>
              <w:jc w:val="center"/>
              <w:rPr>
                <w:rFonts w:ascii="Times New Roman" w:hAnsi="Times New Roman" w:cs="Times New Roman" w:eastAsia="Times New Roman" w:hint="default"/>
                <w:sz w:val="20"/>
                <w:szCs w:val="20"/>
              </w:rPr>
            </w:pPr>
            <w:r>
              <w:rPr>
                <w:rFonts w:ascii="Times New Roman"/>
                <w:sz w:val="20"/>
              </w:rPr>
              <w:t>3,023,988</w:t>
            </w:r>
          </w:p>
        </w:tc>
      </w:tr>
      <w:tr>
        <w:trPr>
          <w:trHeight w:val="329" w:hRule="exact"/>
        </w:trPr>
        <w:tc>
          <w:tcPr>
            <w:tcW w:w="3617" w:type="dxa"/>
            <w:tcBorders>
              <w:top w:val="single" w:sz="4" w:space="0" w:color="000000"/>
              <w:left w:val="single" w:sz="17" w:space="0" w:color="000000"/>
              <w:bottom w:val="single" w:sz="17" w:space="0" w:color="000000"/>
              <w:right w:val="single" w:sz="4" w:space="0" w:color="000000"/>
            </w:tcBorders>
          </w:tcPr>
          <w:p>
            <w:pPr>
              <w:pStyle w:val="TableParagraph"/>
              <w:spacing w:line="266" w:lineRule="exact"/>
              <w:ind w:left="86" w:right="0"/>
              <w:jc w:val="left"/>
              <w:rPr>
                <w:rFonts w:ascii="宋体" w:hAnsi="宋体" w:cs="宋体" w:eastAsia="宋体" w:hint="default"/>
                <w:sz w:val="20"/>
                <w:szCs w:val="20"/>
              </w:rPr>
            </w:pPr>
            <w:r>
              <w:rPr>
                <w:rFonts w:ascii="宋体" w:hAnsi="宋体" w:cs="宋体" w:eastAsia="宋体" w:hint="default"/>
                <w:sz w:val="20"/>
                <w:szCs w:val="20"/>
              </w:rPr>
              <w:t>现金分红与平均净利润的比率（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4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sz w:val="20"/>
              </w:rPr>
              <w:t>23.14%</w:t>
            </w:r>
          </w:p>
        </w:tc>
        <w:tc>
          <w:tcPr>
            <w:tcW w:w="14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0"/>
                <w:szCs w:val="20"/>
              </w:rPr>
            </w:pPr>
            <w:r>
              <w:rPr>
                <w:rFonts w:ascii="Times New Roman"/>
                <w:sz w:val="20"/>
              </w:rPr>
              <w:t>7.71%</w:t>
            </w:r>
          </w:p>
        </w:tc>
        <w:tc>
          <w:tcPr>
            <w:tcW w:w="172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29"/>
              <w:ind w:right="81"/>
              <w:jc w:val="right"/>
              <w:rPr>
                <w:rFonts w:ascii="Times New Roman" w:hAnsi="Times New Roman" w:cs="Times New Roman" w:eastAsia="Times New Roman" w:hint="default"/>
                <w:sz w:val="20"/>
                <w:szCs w:val="20"/>
              </w:rPr>
            </w:pPr>
            <w:r>
              <w:rPr>
                <w:rFonts w:ascii="Times New Roman"/>
                <w:sz w:val="20"/>
              </w:rPr>
              <w:t>7.91%</w:t>
            </w:r>
          </w:p>
        </w:tc>
      </w:tr>
    </w:tbl>
    <w:p>
      <w:pPr>
        <w:pStyle w:val="BodyText"/>
        <w:spacing w:line="357" w:lineRule="auto" w:before="80"/>
        <w:ind w:left="240" w:right="1421" w:firstLine="482"/>
        <w:jc w:val="left"/>
      </w:pPr>
      <w:r>
        <w:rPr/>
        <w:t>七</w:t>
      </w:r>
      <w:r>
        <w:rPr>
          <w:spacing w:val="-32"/>
        </w:rPr>
        <w:t>、</w:t>
      </w:r>
      <w:r>
        <w:rPr/>
        <w:t>报告期内</w:t>
      </w:r>
      <w:r>
        <w:rPr>
          <w:spacing w:val="-32"/>
        </w:rPr>
        <w:t>，</w:t>
      </w:r>
      <w:r>
        <w:rPr/>
        <w:t>公司选定的信息披露报纸</w:t>
      </w:r>
      <w:r>
        <w:rPr>
          <w:spacing w:val="-31"/>
        </w:rPr>
        <w:t>为</w:t>
      </w:r>
      <w:r>
        <w:rPr/>
        <w:t>《证券时报</w:t>
      </w:r>
      <w:r>
        <w:rPr>
          <w:spacing w:val="-120"/>
        </w:rPr>
        <w:t>》、</w:t>
      </w:r>
      <w:r>
        <w:rPr/>
        <w:t>《中国证券报</w:t>
      </w:r>
      <w:r>
        <w:rPr>
          <w:spacing w:val="-120"/>
        </w:rPr>
        <w:t>》、</w:t>
      </w:r>
      <w:r>
        <w:rPr/>
        <w:t>《上海证</w:t>
      </w:r>
      <w:r>
        <w:rPr/>
        <w:t> 券报</w:t>
      </w:r>
      <w:r>
        <w:rPr>
          <w:spacing w:val="-120"/>
        </w:rPr>
        <w:t>》、</w:t>
      </w:r>
      <w:r>
        <w:rPr/>
        <w:t>《证券日报》，没有发生变更。</w:t>
      </w:r>
    </w:p>
    <w:p>
      <w:pPr>
        <w:pStyle w:val="BodyText"/>
        <w:spacing w:line="357" w:lineRule="auto" w:before="36"/>
        <w:ind w:left="720" w:right="1310"/>
        <w:jc w:val="left"/>
      </w:pPr>
      <w:r>
        <w:rPr/>
        <w:t>八、开展投资者关系管理的具体情况 </w:t>
      </w:r>
      <w:r>
        <w:rPr>
          <w:spacing w:val="-6"/>
        </w:rPr>
        <w:t>报告期内，公司严格按照《投资者关系管理制度》、《信息披露管理制度》的要求，</w:t>
      </w:r>
    </w:p>
    <w:p>
      <w:pPr>
        <w:spacing w:after="0" w:line="357" w:lineRule="auto"/>
        <w:jc w:val="left"/>
        <w:sectPr>
          <w:footerReference w:type="default" r:id="rId52"/>
          <w:pgSz w:w="11910" w:h="16840"/>
          <w:pgMar w:footer="857" w:header="748" w:top="980" w:bottom="1040" w:left="1200" w:right="0"/>
          <w:pgNumType w:start="75"/>
        </w:sectPr>
      </w:pPr>
    </w:p>
    <w:p>
      <w:pPr>
        <w:spacing w:line="240" w:lineRule="auto" w:before="6"/>
        <w:rPr>
          <w:rFonts w:ascii="宋体" w:hAnsi="宋体" w:cs="宋体" w:eastAsia="宋体" w:hint="default"/>
          <w:sz w:val="29"/>
          <w:szCs w:val="29"/>
        </w:rPr>
      </w:pPr>
    </w:p>
    <w:p>
      <w:pPr>
        <w:pStyle w:val="BodyText"/>
        <w:spacing w:line="240" w:lineRule="auto" w:before="26"/>
        <w:ind w:right="1314"/>
        <w:jc w:val="left"/>
      </w:pPr>
      <w:r>
        <w:rPr/>
        <w:t>认真做好投资者关系管理工作：</w:t>
      </w:r>
    </w:p>
    <w:p>
      <w:pPr>
        <w:pStyle w:val="BodyText"/>
        <w:spacing w:line="240" w:lineRule="auto" w:before="154"/>
        <w:ind w:left="620" w:right="1314"/>
        <w:jc w:val="left"/>
      </w:pPr>
      <w:r>
        <w:rPr>
          <w:rFonts w:ascii="Times New Roman" w:hAnsi="Times New Roman" w:cs="Times New Roman" w:eastAsia="Times New Roman" w:hint="default"/>
        </w:rPr>
        <w:t>1</w:t>
      </w:r>
      <w:r>
        <w:rPr/>
        <w:t>、日常工作</w:t>
      </w:r>
    </w:p>
    <w:p>
      <w:pPr>
        <w:pStyle w:val="BodyText"/>
        <w:spacing w:line="338" w:lineRule="auto"/>
        <w:ind w:right="1344" w:firstLine="480"/>
        <w:jc w:val="both"/>
      </w:pPr>
      <w:r>
        <w:rPr/>
        <w:t>（</w:t>
      </w:r>
      <w:r>
        <w:rPr>
          <w:rFonts w:ascii="Times New Roman" w:hAnsi="Times New Roman" w:cs="Times New Roman" w:eastAsia="Times New Roman" w:hint="default"/>
        </w:rPr>
        <w:t>1</w:t>
      </w:r>
      <w:r>
        <w:rPr/>
        <w:t>）指定董事会秘书作为投资者关系管理负责人，安排专人做好投资者来访接待 工作，并做好各次接待的资料存档工作。报告期内，公司共接待投资者来访</w:t>
      </w:r>
      <w:r>
        <w:rPr>
          <w:spacing w:val="-59"/>
        </w:rPr>
        <w:t> </w:t>
      </w:r>
      <w:r>
        <w:rPr>
          <w:rFonts w:ascii="Times New Roman" w:hAnsi="Times New Roman" w:cs="Times New Roman" w:eastAsia="Times New Roman" w:hint="default"/>
        </w:rPr>
        <w:t>328 </w:t>
      </w:r>
      <w:r>
        <w:rPr/>
        <w:t>人次；</w:t>
      </w:r>
    </w:p>
    <w:p>
      <w:pPr>
        <w:pStyle w:val="BodyText"/>
        <w:spacing w:line="348" w:lineRule="auto" w:before="27"/>
        <w:ind w:right="1437" w:firstLine="480"/>
        <w:jc w:val="both"/>
      </w:pPr>
      <w:r>
        <w:rPr/>
        <w:t>（</w:t>
      </w:r>
      <w:r>
        <w:rPr>
          <w:rFonts w:ascii="Times New Roman" w:hAnsi="Times New Roman" w:cs="Times New Roman" w:eastAsia="Times New Roman" w:hint="default"/>
        </w:rPr>
        <w:t>2</w:t>
      </w:r>
      <w:r>
        <w:rPr/>
        <w:t>）通过公司网站、投资者关系管理电话、电子信箱、传真、中小企业板互动平 </w:t>
      </w:r>
      <w:r>
        <w:rPr>
          <w:spacing w:val="-3"/>
        </w:rPr>
        <w:t>台等多种渠道与投资者加强交流，解答疑问，聆听意见，传递信息，维护投资者和公司</w:t>
      </w:r>
      <w:r>
        <w:rPr>
          <w:spacing w:val="-98"/>
        </w:rPr>
        <w:t> </w:t>
      </w:r>
      <w:r>
        <w:rPr>
          <w:spacing w:val="-98"/>
        </w:rPr>
      </w:r>
      <w:r>
        <w:rPr/>
        <w:t>之间的信任。</w:t>
      </w:r>
    </w:p>
    <w:p>
      <w:pPr>
        <w:pStyle w:val="BodyText"/>
        <w:spacing w:line="240" w:lineRule="auto" w:before="46"/>
        <w:ind w:left="620" w:right="1314"/>
        <w:jc w:val="left"/>
      </w:pPr>
      <w:r>
        <w:rPr>
          <w:rFonts w:ascii="Times New Roman" w:hAnsi="Times New Roman" w:cs="Times New Roman" w:eastAsia="Times New Roman" w:hint="default"/>
        </w:rPr>
        <w:t>2</w:t>
      </w:r>
      <w:r>
        <w:rPr/>
        <w:t>、互动交流</w:t>
      </w:r>
    </w:p>
    <w:p>
      <w:pPr>
        <w:pStyle w:val="BodyText"/>
        <w:spacing w:line="352" w:lineRule="auto"/>
        <w:ind w:right="1433" w:firstLine="48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日，公司通过全景网投资者关系互动平台举行了</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年年度 </w:t>
      </w:r>
      <w:r>
        <w:rPr>
          <w:spacing w:val="-3"/>
        </w:rPr>
        <w:t>业绩网上说明会，公司副董事长孙为民先生、总裁金明先生、独立董事孙剑平先生、董</w:t>
      </w:r>
      <w:r>
        <w:rPr>
          <w:spacing w:val="-96"/>
        </w:rPr>
        <w:t> </w:t>
      </w:r>
      <w:r>
        <w:rPr>
          <w:spacing w:val="-96"/>
        </w:rPr>
      </w:r>
      <w:r>
        <w:rPr>
          <w:spacing w:val="-3"/>
        </w:rPr>
        <w:t>事会秘书任峻先生、财务负责人朱华女士参加了本次网上业绩说明会，并在线回答了投</w:t>
      </w:r>
      <w:r>
        <w:rPr>
          <w:spacing w:val="-98"/>
        </w:rPr>
        <w:t> </w:t>
      </w:r>
      <w:r>
        <w:rPr>
          <w:spacing w:val="-98"/>
        </w:rPr>
      </w:r>
      <w:r>
        <w:rPr>
          <w:spacing w:val="-3"/>
        </w:rPr>
        <w:t>资者的咨询，与广大投资者进行坦诚的沟通和交流，使广大投资者更深入的了解公司各</w:t>
      </w:r>
      <w:r>
        <w:rPr>
          <w:spacing w:val="-98"/>
        </w:rPr>
        <w:t> </w:t>
      </w:r>
      <w:r>
        <w:rPr>
          <w:spacing w:val="-98"/>
        </w:rPr>
      </w:r>
      <w:r>
        <w:rPr/>
        <w:t>项情况；</w:t>
      </w:r>
    </w:p>
    <w:p>
      <w:pPr>
        <w:pStyle w:val="BodyText"/>
        <w:spacing w:line="338" w:lineRule="auto" w:before="41"/>
        <w:ind w:right="1434"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日，公司在南京举行了</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年度业绩交流会，就公司经营业 绩、发展动态与投资者进行了交流，加强了与投资者的沟通；</w:t>
      </w:r>
    </w:p>
    <w:p>
      <w:pPr>
        <w:pStyle w:val="BodyText"/>
        <w:spacing w:line="338" w:lineRule="auto" w:before="55"/>
        <w:ind w:right="1440" w:firstLine="480"/>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4"/>
        </w:rPr>
        <w:t>日，公司在南京举行了</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3"/>
        </w:rPr>
        <w:t>年半年度业绩交流会，使关注和</w:t>
      </w:r>
      <w:r>
        <w:rPr/>
        <w:t> 支持公司的广大投资者及时了解公司上半年经营情况以及下半年的发展规划；</w:t>
      </w:r>
    </w:p>
    <w:p>
      <w:pPr>
        <w:pStyle w:val="BodyText"/>
        <w:spacing w:line="348" w:lineRule="auto" w:before="55"/>
        <w:ind w:right="1435" w:firstLine="480"/>
        <w:jc w:val="both"/>
      </w:pPr>
      <w:r>
        <w:rPr/>
        <w:t>（</w:t>
      </w:r>
      <w:r>
        <w:rPr>
          <w:rFonts w:ascii="Times New Roman" w:hAnsi="Times New Roman" w:cs="Times New Roman" w:eastAsia="Times New Roman" w:hint="default"/>
        </w:rPr>
        <w:t>4</w:t>
      </w:r>
      <w:r>
        <w:rPr/>
        <w:t>）除努力做好日常事务外，公司还积极主动的联系、走访投资者。</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spacing w:val="-3"/>
        </w:rPr>
        <w:t>年，公</w:t>
      </w:r>
      <w:r>
        <w:rPr/>
        <w:t> 司董秘先后参加了</w:t>
      </w:r>
      <w:r>
        <w:rPr>
          <w:spacing w:val="-61"/>
        </w:rPr>
        <w:t> </w:t>
      </w:r>
      <w:r>
        <w:rPr>
          <w:rFonts w:ascii="Times New Roman" w:hAnsi="Times New Roman" w:cs="Times New Roman" w:eastAsia="Times New Roman" w:hint="default"/>
        </w:rPr>
        <w:t>14 </w:t>
      </w:r>
      <w:r>
        <w:rPr/>
        <w:t>次由不同投资机构组织的大型交流会，</w:t>
      </w:r>
      <w:r>
        <w:rPr>
          <w:spacing w:val="-91"/>
        </w:rPr>
        <w:t> </w:t>
      </w:r>
      <w:r>
        <w:rPr/>
        <w:t>与众多专家共同探讨行业</w:t>
      </w:r>
      <w:r>
        <w:rPr/>
        <w:t> </w:t>
      </w:r>
      <w:r>
        <w:rPr>
          <w:spacing w:val="-3"/>
        </w:rPr>
        <w:t>前景和未来发展方向，针对公司连锁发展、后台建设、电子商务等方面与广大海内外投</w:t>
      </w:r>
      <w:r>
        <w:rPr>
          <w:spacing w:val="-102"/>
        </w:rPr>
        <w:t> </w:t>
      </w:r>
      <w:r>
        <w:rPr>
          <w:spacing w:val="-102"/>
        </w:rPr>
      </w:r>
      <w:r>
        <w:rPr>
          <w:spacing w:val="-3"/>
        </w:rPr>
        <w:t>资者进行了深度交流，了解投资者关注重点，解答疑虑，接受建议，有效提升公司资本</w:t>
      </w:r>
      <w:r>
        <w:rPr>
          <w:spacing w:val="-96"/>
        </w:rPr>
        <w:t> </w:t>
      </w:r>
      <w:r>
        <w:rPr>
          <w:spacing w:val="-96"/>
        </w:rPr>
      </w:r>
      <w:r>
        <w:rPr/>
        <w:t>市场形象；</w:t>
      </w:r>
    </w:p>
    <w:p>
      <w:pPr>
        <w:pStyle w:val="BodyText"/>
        <w:spacing w:line="348" w:lineRule="auto" w:before="46"/>
        <w:ind w:right="1438" w:firstLine="480"/>
        <w:jc w:val="both"/>
      </w:pPr>
      <w:r>
        <w:rPr/>
        <w:t>（</w:t>
      </w:r>
      <w:r>
        <w:rPr>
          <w:rFonts w:ascii="Times New Roman" w:hAnsi="Times New Roman" w:cs="Times New Roman" w:eastAsia="Times New Roman" w:hint="default"/>
        </w:rPr>
        <w:t>5</w:t>
      </w:r>
      <w:r>
        <w:rPr/>
        <w:t>）报告期内，公司共召开了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次股东大会。会上，公司董事、监事、高级管理 </w:t>
      </w:r>
      <w:r>
        <w:rPr>
          <w:spacing w:val="-3"/>
        </w:rPr>
        <w:t>人员认真听取了投资者的建议和意见，并就公司经营、未来发展等问题与参会的股东进</w:t>
      </w:r>
      <w:r>
        <w:rPr>
          <w:spacing w:val="-99"/>
        </w:rPr>
        <w:t> </w:t>
      </w:r>
      <w:r>
        <w:rPr>
          <w:spacing w:val="-99"/>
        </w:rPr>
      </w:r>
      <w:r>
        <w:rPr/>
        <w:t>行了面对面的会谈。</w:t>
      </w:r>
    </w:p>
    <w:p>
      <w:pPr>
        <w:pStyle w:val="BodyText"/>
        <w:spacing w:line="240" w:lineRule="auto" w:before="46"/>
        <w:ind w:left="620" w:right="1314"/>
        <w:jc w:val="left"/>
      </w:pPr>
      <w:r>
        <w:rPr>
          <w:rFonts w:ascii="Times New Roman" w:hAnsi="Times New Roman" w:cs="Times New Roman" w:eastAsia="Times New Roman" w:hint="default"/>
        </w:rPr>
        <w:t>3</w:t>
      </w:r>
      <w:r>
        <w:rPr/>
        <w:t>、信息披露</w:t>
      </w:r>
    </w:p>
    <w:p>
      <w:pPr>
        <w:pStyle w:val="BodyText"/>
        <w:spacing w:line="338" w:lineRule="auto"/>
        <w:ind w:right="1436" w:firstLine="480"/>
        <w:jc w:val="both"/>
      </w:pPr>
      <w:r>
        <w:rPr/>
        <w:t>（</w:t>
      </w:r>
      <w:r>
        <w:rPr>
          <w:rFonts w:ascii="Times New Roman" w:hAnsi="Times New Roman" w:cs="Times New Roman" w:eastAsia="Times New Roman" w:hint="default"/>
        </w:rPr>
        <w:t>1</w:t>
      </w:r>
      <w:r>
        <w:rPr/>
        <w:t>）公司严格按照《信息披露管理制度》等规定，保证信息披露的真实、准确、 完整、及时、公平。</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日，经深圳证券交易所考核，公司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年度信息 披露工作获得“优秀”评级。</w:t>
      </w:r>
    </w:p>
    <w:p>
      <w:pPr>
        <w:pStyle w:val="BodyText"/>
        <w:spacing w:line="240" w:lineRule="auto" w:before="55"/>
        <w:ind w:right="0" w:firstLine="480"/>
        <w:jc w:val="both"/>
      </w:pPr>
      <w:r>
        <w:rPr/>
        <w:t>（</w:t>
      </w:r>
      <w:r>
        <w:rPr>
          <w:rFonts w:ascii="Times New Roman" w:hAnsi="Times New Roman" w:cs="Times New Roman" w:eastAsia="Times New Roman" w:hint="default"/>
        </w:rPr>
        <w:t>2</w:t>
      </w:r>
      <w:r>
        <w:rPr/>
        <w:t>）通过对相关法律法规的深入学习、理解，以及与深圳证券交易所经常性联系</w:t>
      </w:r>
    </w:p>
    <w:p>
      <w:pPr>
        <w:pStyle w:val="BodyText"/>
        <w:spacing w:line="240" w:lineRule="auto"/>
        <w:ind w:right="1314"/>
        <w:jc w:val="left"/>
      </w:pPr>
      <w:r>
        <w:rPr>
          <w:spacing w:val="-3"/>
        </w:rPr>
        <w:t>和沟通的进一步加强，公司将不断适应新的信息披露要求，进一步提高公司透明度以及</w:t>
      </w:r>
    </w:p>
    <w:p>
      <w:pPr>
        <w:spacing w:after="0" w:line="240" w:lineRule="auto"/>
        <w:jc w:val="left"/>
        <w:sectPr>
          <w:pgSz w:w="11910" w:h="16840"/>
          <w:pgMar w:header="748" w:footer="857" w:top="980" w:bottom="1040" w:left="1300" w:right="0"/>
        </w:sectPr>
      </w:pPr>
    </w:p>
    <w:p>
      <w:pPr>
        <w:spacing w:line="240" w:lineRule="auto" w:before="6"/>
        <w:rPr>
          <w:rFonts w:ascii="宋体" w:hAnsi="宋体" w:cs="宋体" w:eastAsia="宋体" w:hint="default"/>
          <w:sz w:val="29"/>
          <w:szCs w:val="29"/>
        </w:rPr>
      </w:pPr>
    </w:p>
    <w:p>
      <w:pPr>
        <w:pStyle w:val="BodyText"/>
        <w:spacing w:line="357" w:lineRule="auto" w:before="26"/>
        <w:ind w:left="622" w:right="4446" w:hanging="483"/>
        <w:jc w:val="left"/>
      </w:pPr>
      <w:r>
        <w:rPr/>
        <w:t>信息披露质量。 九、内幕信息知情人登记管理制度的建立和执行情况</w:t>
      </w:r>
    </w:p>
    <w:p>
      <w:pPr>
        <w:pStyle w:val="BodyText"/>
        <w:spacing w:line="355" w:lineRule="auto" w:before="36"/>
        <w:ind w:right="1433" w:firstLine="480"/>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日，公司第四届董事会第二十一次会议审议通过了《内幕信息知 </w:t>
      </w:r>
      <w:r>
        <w:rPr>
          <w:spacing w:val="-3"/>
        </w:rPr>
        <w:t>情人登记管理制度》，明确了公司内幕信息及内幕信息知情人范围，从制度层面更加完</w:t>
      </w:r>
      <w:r>
        <w:rPr>
          <w:spacing w:val="-107"/>
        </w:rPr>
        <w:t> </w:t>
      </w:r>
      <w:r>
        <w:rPr>
          <w:spacing w:val="-107"/>
        </w:rPr>
      </w:r>
      <w:r>
        <w:rPr>
          <w:spacing w:val="-3"/>
        </w:rPr>
        <w:t>善内幕知情人登记备案。公司在日常工作中严格按照《内幕信息知情人登记制度》的有</w:t>
      </w:r>
      <w:r>
        <w:rPr>
          <w:spacing w:val="-100"/>
        </w:rPr>
        <w:t> </w:t>
      </w:r>
      <w:r>
        <w:rPr>
          <w:spacing w:val="-100"/>
        </w:rPr>
      </w:r>
      <w:r>
        <w:rPr>
          <w:spacing w:val="-3"/>
        </w:rPr>
        <w:t>关规定对内幕信息知情人进行登记备案，并按照证监会、深交所的相关要求针对公司定</w:t>
      </w:r>
      <w:r>
        <w:rPr>
          <w:spacing w:val="-98"/>
        </w:rPr>
        <w:t> </w:t>
      </w:r>
      <w:r>
        <w:rPr>
          <w:spacing w:val="-98"/>
        </w:rPr>
      </w:r>
      <w:r>
        <w:rPr>
          <w:spacing w:val="-3"/>
        </w:rPr>
        <w:t>期报告、再融资等重大事项、建立内幕信息知情人档案，并按规定报送，有效的防止内</w:t>
      </w:r>
      <w:r>
        <w:rPr>
          <w:spacing w:val="-96"/>
        </w:rPr>
        <w:t> </w:t>
      </w:r>
      <w:r>
        <w:rPr>
          <w:spacing w:val="-96"/>
        </w:rPr>
      </w:r>
      <w:r>
        <w:rPr>
          <w:spacing w:val="-3"/>
        </w:rPr>
        <w:t>幕信息泄露，保证信息披露的公平。本报告期内，公司未发生内幕信息泄露的情况，未</w:t>
      </w:r>
      <w:r>
        <w:rPr>
          <w:spacing w:val="-24"/>
        </w:rPr>
        <w:t> </w:t>
      </w:r>
      <w:r>
        <w:rPr/>
        <w:t>存在公司董事、监事、高级管理人员利用内幕信息违规买卖公司股票情况。</w:t>
      </w:r>
    </w:p>
    <w:p>
      <w:pPr>
        <w:pStyle w:val="BodyText"/>
        <w:spacing w:line="240" w:lineRule="auto" w:before="38"/>
        <w:ind w:left="620" w:right="1314"/>
        <w:jc w:val="left"/>
      </w:pPr>
      <w:r>
        <w:rPr/>
        <w:t>十、其他报告事项</w:t>
      </w:r>
    </w:p>
    <w:p>
      <w:pPr>
        <w:pStyle w:val="BodyText"/>
        <w:spacing w:line="357" w:lineRule="auto" w:before="154"/>
        <w:ind w:left="620" w:right="1432"/>
        <w:jc w:val="left"/>
      </w:pPr>
      <w:r>
        <w:rPr/>
        <w:t>（一）注册会计师对公司控股股东及其他关联方占用资金情况的说明： </w:t>
      </w:r>
      <w:r>
        <w:rPr>
          <w:spacing w:val="2"/>
        </w:rPr>
        <w:t>普华永道中天会计师事务所有限公司出具了普华永道中天特审字</w:t>
      </w:r>
      <w:r>
        <w:rPr>
          <w:rFonts w:ascii="Times New Roman" w:hAnsi="Times New Roman" w:cs="Times New Roman" w:eastAsia="Times New Roman" w:hint="default"/>
          <w:spacing w:val="2"/>
        </w:rPr>
        <w:t>(2012)</w:t>
      </w:r>
      <w:r>
        <w:rPr>
          <w:spacing w:val="2"/>
        </w:rPr>
        <w:t>第 </w:t>
      </w:r>
      <w:r>
        <w:rPr>
          <w:rFonts w:ascii="Times New Roman" w:hAnsi="Times New Roman" w:cs="Times New Roman" w:eastAsia="Times New Roman" w:hint="default"/>
        </w:rPr>
        <w:t>841 </w:t>
      </w:r>
      <w:r>
        <w:rPr>
          <w:rFonts w:ascii="Times New Roman" w:hAnsi="Times New Roman" w:cs="Times New Roman" w:eastAsia="Times New Roman" w:hint="default"/>
          <w:spacing w:val="24"/>
        </w:rPr>
        <w:t> </w:t>
      </w:r>
      <w:r>
        <w:rPr/>
        <w:t>号</w:t>
      </w:r>
    </w:p>
    <w:p>
      <w:pPr>
        <w:pStyle w:val="BodyText"/>
        <w:spacing w:line="240" w:lineRule="auto" w:before="5"/>
        <w:ind w:right="0"/>
        <w:jc w:val="both"/>
      </w:pPr>
      <w:r>
        <w:rPr/>
        <w:t>《关于苏宁电器股份有限公司控股股东及其他关联方占用资金情况的专项说</w:t>
      </w:r>
      <w:r>
        <w:rPr>
          <w:spacing w:val="1"/>
        </w:rPr>
        <w:t>明</w:t>
      </w:r>
      <w:r>
        <w:rPr>
          <w:spacing w:val="-120"/>
        </w:rPr>
        <w:t>》。</w:t>
      </w:r>
      <w:r>
        <w:rPr/>
      </w:r>
    </w:p>
    <w:p>
      <w:pPr>
        <w:pStyle w:val="BodyText"/>
        <w:spacing w:line="357" w:lineRule="auto" w:before="154"/>
        <w:ind w:left="620" w:right="1424"/>
        <w:jc w:val="left"/>
      </w:pPr>
      <w:r>
        <w:rPr/>
        <w:t>（二）公司独立董事对公司与关联方资金往来及对外担保情况的专项说明： 根据中国证监会证监发〔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rFonts w:ascii="Times New Roman" w:hAnsi="Times New Roman" w:cs="Times New Roman" w:eastAsia="Times New Roman" w:hint="default"/>
          <w:spacing w:val="24"/>
        </w:rPr>
        <w:t> </w:t>
      </w:r>
      <w:r>
        <w:rPr/>
        <w:t>号《关于规范上市公司与关联方资金往来及上</w:t>
      </w:r>
    </w:p>
    <w:p>
      <w:pPr>
        <w:pStyle w:val="BodyText"/>
        <w:spacing w:line="350" w:lineRule="auto" w:before="5"/>
        <w:ind w:right="1433"/>
        <w:jc w:val="both"/>
      </w:pPr>
      <w:r>
        <w:rPr>
          <w:spacing w:val="-3"/>
        </w:rPr>
        <w:t>市公司对外担保若干问题的通知》、深圳证券交易所《股票上市规则》和中国证监会江</w:t>
      </w:r>
      <w:r>
        <w:rPr>
          <w:spacing w:val="-104"/>
        </w:rPr>
        <w:t> </w:t>
      </w:r>
      <w:r>
        <w:rPr>
          <w:spacing w:val="-104"/>
        </w:rPr>
      </w:r>
      <w:r>
        <w:rPr/>
        <w:t>苏监管局苏证监公司字〔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号《关于规范独立董事对于担保事项专项说明和独立 </w:t>
      </w:r>
      <w:r>
        <w:rPr>
          <w:spacing w:val="-3"/>
        </w:rPr>
        <w:t>意见的通知》的要求，公司独立董事本着对公司、全体股东及投资者负责的态度，对公</w:t>
      </w:r>
      <w:r>
        <w:rPr>
          <w:spacing w:val="-95"/>
        </w:rPr>
        <w:t> </w:t>
      </w:r>
      <w:r>
        <w:rPr>
          <w:spacing w:val="-95"/>
        </w:rPr>
      </w:r>
      <w:r>
        <w:rPr/>
        <w:t>司与关联方的资金往来和对外担保情况进行了仔细的核查，并发表以下独立意见：</w:t>
      </w:r>
    </w:p>
    <w:p>
      <w:pPr>
        <w:pStyle w:val="BodyText"/>
        <w:spacing w:line="348" w:lineRule="auto" w:before="43"/>
        <w:ind w:right="1439" w:firstLine="482"/>
        <w:jc w:val="both"/>
      </w:pPr>
      <w:r>
        <w:rPr>
          <w:rFonts w:ascii="Times New Roman" w:hAnsi="Times New Roman" w:cs="Times New Roman" w:eastAsia="Times New Roman" w:hint="default"/>
        </w:rPr>
        <w:t>1</w:t>
      </w:r>
      <w:r>
        <w:rPr/>
        <w:t>、公司与控股股东及其他关联方发生的资金往来均属于经营性资金往来，均根据 </w:t>
      </w:r>
      <w:r>
        <w:rPr>
          <w:spacing w:val="-9"/>
        </w:rPr>
        <w:t>公司《章程》、《关联交易决策制度》等制度规定履行了相关审批程序，且信息披露符合</w:t>
      </w:r>
      <w:r>
        <w:rPr>
          <w:spacing w:val="-105"/>
        </w:rPr>
        <w:t> </w:t>
      </w:r>
      <w:r>
        <w:rPr>
          <w:spacing w:val="-105"/>
        </w:rPr>
      </w:r>
      <w:r>
        <w:rPr/>
        <w:t>规范性要求，不存在应披露而未披露的资金往来、资金占用事项。</w:t>
      </w:r>
    </w:p>
    <w:p>
      <w:pPr>
        <w:pStyle w:val="BodyText"/>
        <w:spacing w:line="338" w:lineRule="auto" w:before="46"/>
        <w:ind w:right="1442" w:firstLine="482"/>
        <w:jc w:val="both"/>
      </w:pPr>
      <w:r>
        <w:rPr>
          <w:rFonts w:ascii="Times New Roman" w:hAnsi="Times New Roman" w:cs="Times New Roman" w:eastAsia="Times New Roman" w:hint="default"/>
        </w:rPr>
        <w:t>2</w:t>
      </w:r>
      <w:r>
        <w:rPr/>
        <w:t>、公司与控股股东及其他关联方不存在非经营性资金往来的情况，亦不存在控股 股东及其他关联方以其他方式变相资金占用的情形。</w:t>
      </w:r>
    </w:p>
    <w:p>
      <w:pPr>
        <w:pStyle w:val="BodyText"/>
        <w:spacing w:line="348" w:lineRule="auto" w:before="55"/>
        <w:ind w:right="1435" w:firstLine="482"/>
        <w:jc w:val="both"/>
      </w:pPr>
      <w:r>
        <w:rPr>
          <w:rFonts w:ascii="Times New Roman" w:hAnsi="Times New Roman" w:cs="Times New Roman" w:eastAsia="Times New Roman" w:hint="default"/>
        </w:rPr>
        <w:t>3</w:t>
      </w:r>
      <w:r>
        <w:rPr/>
        <w:t>、公司已建立了较为健全的防范大股东及其他关联方资金占用的内部控制制度， </w:t>
      </w:r>
      <w:r>
        <w:rPr>
          <w:spacing w:val="-3"/>
        </w:rPr>
        <w:t>并且建立了“占用即冻结”机制，能够有效防止大股东及其他关联方占用公司资金、侵</w:t>
      </w:r>
      <w:r>
        <w:rPr>
          <w:spacing w:val="-97"/>
        </w:rPr>
        <w:t> </w:t>
      </w:r>
      <w:r>
        <w:rPr>
          <w:spacing w:val="-97"/>
        </w:rPr>
      </w:r>
      <w:r>
        <w:rPr/>
        <w:t>害公司利益，维护中小股东利益。</w:t>
      </w:r>
    </w:p>
    <w:p>
      <w:pPr>
        <w:pStyle w:val="BodyText"/>
        <w:spacing w:line="338" w:lineRule="auto" w:before="46"/>
        <w:ind w:right="1442" w:firstLine="482"/>
        <w:jc w:val="both"/>
      </w:pPr>
      <w:r>
        <w:rPr>
          <w:rFonts w:ascii="Times New Roman" w:hAnsi="Times New Roman" w:cs="Times New Roman" w:eastAsia="Times New Roman" w:hint="default"/>
        </w:rPr>
        <w:t>4</w:t>
      </w:r>
      <w:r>
        <w:rPr/>
        <w:t>、公司不存在为控股股东及其关联方提供担保的情况，也不存在直接或间接为资 产负债率超过</w:t>
      </w:r>
      <w:r>
        <w:rPr>
          <w:spacing w:val="-62"/>
        </w:rPr>
        <w:t> </w:t>
      </w:r>
      <w:r>
        <w:rPr>
          <w:rFonts w:ascii="Times New Roman" w:hAnsi="Times New Roman" w:cs="Times New Roman" w:eastAsia="Times New Roman" w:hint="default"/>
        </w:rPr>
        <w:t>70%</w:t>
      </w:r>
      <w:r>
        <w:rPr/>
        <w:t>的被担保对象提供担保的情况。</w:t>
      </w:r>
    </w:p>
    <w:p>
      <w:pPr>
        <w:pStyle w:val="BodyText"/>
        <w:spacing w:line="240" w:lineRule="auto" w:before="27"/>
        <w:ind w:left="622" w:right="1314"/>
        <w:jc w:val="left"/>
      </w:pPr>
      <w:r>
        <w:rPr/>
        <w:t>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日，公司实际为全资子公司提供的尚未履行完毕的担保总额</w:t>
      </w:r>
    </w:p>
    <w:p>
      <w:pPr>
        <w:pStyle w:val="BodyText"/>
        <w:spacing w:line="240" w:lineRule="auto"/>
        <w:ind w:right="0"/>
        <w:jc w:val="both"/>
      </w:pPr>
      <w:r>
        <w:rPr/>
        <w:t>为</w:t>
      </w:r>
      <w:r>
        <w:rPr>
          <w:spacing w:val="-60"/>
        </w:rPr>
        <w:t> </w:t>
      </w:r>
      <w:r>
        <w:rPr>
          <w:rFonts w:ascii="Times New Roman" w:hAnsi="Times New Roman" w:cs="Times New Roman" w:eastAsia="Times New Roman" w:hint="default"/>
        </w:rPr>
        <w:t>110,000</w:t>
      </w:r>
      <w:r>
        <w:rPr>
          <w:rFonts w:ascii="Times New Roman" w:hAnsi="Times New Roman" w:cs="Times New Roman" w:eastAsia="Times New Roman" w:hint="default"/>
          <w:spacing w:val="-1"/>
        </w:rPr>
        <w:t> </w:t>
      </w:r>
      <w:r>
        <w:rPr>
          <w:spacing w:val="-8"/>
        </w:rPr>
        <w:t>万元，占公司</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日经审计净资产的</w:t>
      </w:r>
      <w:r>
        <w:rPr>
          <w:spacing w:val="-60"/>
        </w:rPr>
        <w:t> </w:t>
      </w:r>
      <w:r>
        <w:rPr>
          <w:rFonts w:ascii="Times New Roman" w:hAnsi="Times New Roman" w:cs="Times New Roman" w:eastAsia="Times New Roman" w:hint="default"/>
          <w:spacing w:val="-4"/>
        </w:rPr>
        <w:t>4.93%</w:t>
      </w:r>
      <w:r>
        <w:rPr>
          <w:spacing w:val="-4"/>
        </w:rPr>
        <w:t>。不存在对外担保总</w:t>
      </w:r>
    </w:p>
    <w:p>
      <w:pPr>
        <w:spacing w:after="0" w:line="240" w:lineRule="auto"/>
        <w:jc w:val="both"/>
        <w:sectPr>
          <w:footerReference w:type="default" r:id="rId53"/>
          <w:pgSz w:w="11910" w:h="16840"/>
          <w:pgMar w:footer="782" w:header="748" w:top="980" w:bottom="980" w:left="1300" w:right="0"/>
          <w:pgNumType w:start="77"/>
        </w:sectPr>
      </w:pPr>
    </w:p>
    <w:p>
      <w:pPr>
        <w:spacing w:line="240" w:lineRule="auto" w:before="6"/>
        <w:rPr>
          <w:rFonts w:ascii="宋体" w:hAnsi="宋体" w:cs="宋体" w:eastAsia="宋体" w:hint="default"/>
          <w:sz w:val="29"/>
          <w:szCs w:val="29"/>
        </w:rPr>
      </w:pPr>
    </w:p>
    <w:p>
      <w:pPr>
        <w:pStyle w:val="BodyText"/>
        <w:spacing w:line="338" w:lineRule="auto" w:before="26"/>
        <w:ind w:right="1423"/>
        <w:jc w:val="left"/>
      </w:pPr>
      <w:r>
        <w:rPr/>
        <w:t>额超过净资产</w:t>
      </w:r>
      <w:r>
        <w:rPr>
          <w:spacing w:val="-43"/>
        </w:rPr>
        <w:t> </w:t>
      </w:r>
      <w:r>
        <w:rPr>
          <w:rFonts w:ascii="Times New Roman" w:hAnsi="Times New Roman" w:cs="Times New Roman" w:eastAsia="Times New Roman" w:hint="default"/>
          <w:spacing w:val="-4"/>
        </w:rPr>
        <w:t>50%</w:t>
      </w:r>
      <w:r>
        <w:rPr>
          <w:spacing w:val="-4"/>
        </w:rPr>
        <w:t>的情况，且所有担保均为对控股子公司的担保，被担保方经营状况良</w:t>
      </w:r>
      <w:r>
        <w:rPr/>
        <w:t> 好。</w:t>
      </w:r>
    </w:p>
    <w:p>
      <w:pPr>
        <w:pStyle w:val="BodyText"/>
        <w:spacing w:line="352" w:lineRule="auto" w:before="55"/>
        <w:ind w:right="1314" w:firstLine="482"/>
        <w:jc w:val="left"/>
      </w:pPr>
      <w:r>
        <w:rPr>
          <w:spacing w:val="-10"/>
        </w:rPr>
        <w:t>公司在实施上述担保时均已严格按照《公司法》、《上市规则》、公司《章程》的有</w:t>
      </w:r>
      <w:r>
        <w:rPr/>
        <w:t> </w:t>
      </w:r>
      <w:r>
        <w:rPr>
          <w:spacing w:val="-3"/>
        </w:rPr>
        <w:t>关规定，执行对外担保的有关决策程序，履行对外担保情况的信息披露义务，如实提供</w:t>
      </w:r>
      <w:r>
        <w:rPr>
          <w:spacing w:val="-102"/>
        </w:rPr>
        <w:t> </w:t>
      </w:r>
      <w:r>
        <w:rPr>
          <w:spacing w:val="-102"/>
        </w:rPr>
      </w:r>
      <w:r>
        <w:rPr>
          <w:spacing w:val="-3"/>
        </w:rPr>
        <w:t>了公司全部对外担保事项，信息披露准确、完整，担保风险已充分揭示。公司不存在违</w:t>
      </w:r>
      <w:r>
        <w:rPr>
          <w:spacing w:val="-97"/>
        </w:rPr>
        <w:t> </w:t>
      </w:r>
      <w:r>
        <w:rPr>
          <w:spacing w:val="-97"/>
        </w:rPr>
      </w:r>
      <w:r>
        <w:rPr>
          <w:spacing w:val="-3"/>
        </w:rPr>
        <w:t>规对外担保事项，能够严格控制对外担保的风险，没有明显迹象表明公司可能因对外担</w:t>
      </w:r>
      <w:r>
        <w:rPr>
          <w:spacing w:val="-98"/>
        </w:rPr>
        <w:t> </w:t>
      </w:r>
      <w:r>
        <w:rPr>
          <w:spacing w:val="-98"/>
        </w:rPr>
      </w:r>
      <w:r>
        <w:rPr>
          <w:spacing w:val="-4"/>
        </w:rPr>
        <w:t>保承担连带清偿责任，不存在与“证监发〔</w:t>
      </w:r>
      <w:r>
        <w:rPr>
          <w:rFonts w:ascii="Times New Roman" w:hAnsi="Times New Roman" w:cs="Times New Roman" w:eastAsia="Times New Roman" w:hint="default"/>
          <w:spacing w:val="-4"/>
        </w:rPr>
        <w:t>2003</w:t>
      </w:r>
      <w:r>
        <w:rPr>
          <w:spacing w:val="-4"/>
        </w:rPr>
        <w:t>〕</w:t>
      </w:r>
      <w:r>
        <w:rPr>
          <w:rFonts w:ascii="Times New Roman" w:hAnsi="Times New Roman" w:cs="Times New Roman" w:eastAsia="Times New Roman" w:hint="default"/>
          <w:spacing w:val="-4"/>
        </w:rPr>
        <w:t>56</w:t>
      </w:r>
      <w:r>
        <w:rPr>
          <w:rFonts w:ascii="Times New Roman" w:hAnsi="Times New Roman" w:cs="Times New Roman" w:eastAsia="Times New Roman" w:hint="default"/>
        </w:rPr>
        <w:t> </w:t>
      </w:r>
      <w:r>
        <w:rPr>
          <w:spacing w:val="-11"/>
        </w:rPr>
        <w:t>号”文、“证监发〔</w:t>
      </w:r>
      <w:r>
        <w:rPr>
          <w:rFonts w:ascii="Times New Roman" w:hAnsi="Times New Roman" w:cs="Times New Roman" w:eastAsia="Times New Roman" w:hint="default"/>
          <w:spacing w:val="-11"/>
        </w:rPr>
        <w:t>2005</w:t>
      </w:r>
      <w:r>
        <w:rPr>
          <w:spacing w:val="-11"/>
        </w:rPr>
        <w:t>〕</w:t>
      </w:r>
      <w:r>
        <w:rPr>
          <w:rFonts w:ascii="Times New Roman" w:hAnsi="Times New Roman" w:cs="Times New Roman" w:eastAsia="Times New Roman" w:hint="default"/>
          <w:spacing w:val="-11"/>
        </w:rPr>
        <w:t>120</w:t>
      </w:r>
      <w:r>
        <w:rPr>
          <w:rFonts w:ascii="Times New Roman" w:hAnsi="Times New Roman" w:cs="Times New Roman" w:eastAsia="Times New Roman" w:hint="default"/>
          <w:spacing w:val="16"/>
        </w:rPr>
        <w:t> </w:t>
      </w:r>
      <w:r>
        <w:rPr/>
        <w:t>号” </w:t>
      </w:r>
      <w:r>
        <w:rPr>
          <w:spacing w:val="-7"/>
        </w:rPr>
        <w:t>文、《股票上市规则》规定相违背的情形。</w:t>
      </w:r>
    </w:p>
    <w:p>
      <w:pPr>
        <w:spacing w:after="0" w:line="352" w:lineRule="auto"/>
        <w:jc w:val="left"/>
        <w:sectPr>
          <w:pgSz w:w="11910" w:h="16840"/>
          <w:pgMar w:header="748" w:footer="782" w:top="980" w:bottom="1040" w:left="1300" w:right="0"/>
        </w:sectPr>
      </w:pPr>
    </w:p>
    <w:p>
      <w:pPr>
        <w:spacing w:line="240" w:lineRule="auto" w:before="0"/>
        <w:rPr>
          <w:rFonts w:ascii="宋体" w:hAnsi="宋体" w:cs="宋体" w:eastAsia="宋体" w:hint="default"/>
          <w:sz w:val="20"/>
          <w:szCs w:val="20"/>
        </w:rPr>
      </w:pPr>
    </w:p>
    <w:p>
      <w:pPr>
        <w:pStyle w:val="Heading1"/>
        <w:tabs>
          <w:tab w:pos="1279" w:val="left" w:leader="none"/>
        </w:tabs>
        <w:spacing w:line="240" w:lineRule="auto"/>
        <w:ind w:right="655"/>
        <w:jc w:val="center"/>
        <w:rPr>
          <w:b w:val="0"/>
          <w:bCs w:val="0"/>
        </w:rPr>
      </w:pPr>
      <w:bookmarkStart w:name="_TOC_250003" w:id="8"/>
      <w:r>
        <w:rPr>
          <w:w w:val="95"/>
        </w:rPr>
        <w:t>第八节</w:t>
        <w:tab/>
      </w:r>
      <w:r>
        <w:rPr/>
        <w:t>监事会报告</w:t>
      </w:r>
      <w:bookmarkEnd w:id="8"/>
      <w:r>
        <w:rPr>
          <w:b w:val="0"/>
          <w:bCs w:val="0"/>
        </w:rPr>
      </w:r>
    </w:p>
    <w:p>
      <w:pPr>
        <w:pStyle w:val="BodyText"/>
        <w:spacing w:line="240" w:lineRule="auto" w:before="217"/>
        <w:ind w:left="620" w:right="1314"/>
        <w:jc w:val="left"/>
      </w:pPr>
      <w:r>
        <w:rPr/>
        <w:t>一、监事会会议情况</w:t>
      </w:r>
    </w:p>
    <w:p>
      <w:pPr>
        <w:pStyle w:val="BodyText"/>
        <w:spacing w:line="348" w:lineRule="auto" w:before="91"/>
        <w:ind w:right="1438"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年，公司监事会认真履行了《公司法》、公司《章程》及其他各项法律、法 </w:t>
      </w:r>
      <w:r>
        <w:rPr>
          <w:spacing w:val="-3"/>
        </w:rPr>
        <w:t>规的要求，依法独立行使职权，以保证公司经营的正常进行，维护股东特别是中小股东</w:t>
      </w:r>
      <w:r>
        <w:rPr>
          <w:spacing w:val="-102"/>
        </w:rPr>
        <w:t> </w:t>
      </w:r>
      <w:r>
        <w:rPr>
          <w:spacing w:val="-102"/>
        </w:rPr>
      </w:r>
      <w:r>
        <w:rPr/>
        <w:t>的利益。报告期内，公司共召开四次监事会，具体内容如下：</w:t>
      </w:r>
    </w:p>
    <w:p>
      <w:pPr>
        <w:pStyle w:val="BodyText"/>
        <w:spacing w:line="338" w:lineRule="auto" w:before="46"/>
        <w:ind w:right="1433" w:firstLine="480"/>
        <w:jc w:val="both"/>
      </w:pPr>
      <w:r>
        <w:rPr>
          <w:rFonts w:ascii="Times New Roman" w:hAnsi="Times New Roman" w:cs="Times New Roman" w:eastAsia="Times New Roman" w:hint="default"/>
          <w:spacing w:val="-15"/>
        </w:rPr>
        <w:t>1</w:t>
      </w:r>
      <w:r>
        <w:rPr>
          <w:spacing w:val="-15"/>
        </w:rPr>
        <w:t>、公司于</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spacing w:val="-6"/>
        </w:rPr>
        <w:t>日召开第四届监事会第六次会议，会议审议通过了《</w:t>
      </w:r>
      <w:r>
        <w:rPr>
          <w:rFonts w:ascii="Times New Roman" w:hAnsi="Times New Roman" w:cs="Times New Roman" w:eastAsia="Times New Roman" w:hint="default"/>
          <w:spacing w:val="-6"/>
        </w:rPr>
        <w:t>2010</w:t>
      </w:r>
      <w:r>
        <w:rPr>
          <w:rFonts w:ascii="Times New Roman" w:hAnsi="Times New Roman" w:cs="Times New Roman" w:eastAsia="Times New Roman" w:hint="default"/>
        </w:rPr>
        <w:t> </w:t>
      </w:r>
      <w:r>
        <w:rPr/>
        <w:t>年度监事会工作报告》、《</w:t>
      </w:r>
      <w:r>
        <w:rPr>
          <w:rFonts w:ascii="Times New Roman" w:hAnsi="Times New Roman" w:cs="Times New Roman" w:eastAsia="Times New Roman" w:hint="default"/>
        </w:rPr>
        <w:t>2010 </w:t>
      </w:r>
      <w:r>
        <w:rPr/>
        <w:t>年度财务决算报告》、《</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年年度报告》及《</w:t>
      </w:r>
      <w:r>
        <w:rPr>
          <w:rFonts w:ascii="Times New Roman" w:hAnsi="Times New Roman" w:cs="Times New Roman" w:eastAsia="Times New Roman" w:hint="default"/>
        </w:rPr>
        <w:t>2010 </w:t>
      </w:r>
      <w:r>
        <w:rPr/>
        <w:t>年年度报告摘要》、《</w:t>
      </w:r>
      <w:r>
        <w:rPr>
          <w:rFonts w:ascii="Times New Roman" w:hAnsi="Times New Roman" w:cs="Times New Roman" w:eastAsia="Times New Roman" w:hint="default"/>
        </w:rPr>
        <w:t>2010 </w:t>
      </w:r>
      <w:r>
        <w:rPr/>
        <w:t>年度利润分配预案》、《</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年募集资金年度使用情况的 专项报告》、《关于公司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年度关联交易情况说明的议案》、《关于续聘会计师事</w:t>
      </w:r>
    </w:p>
    <w:p>
      <w:pPr>
        <w:pStyle w:val="BodyText"/>
        <w:spacing w:line="240" w:lineRule="auto" w:before="27"/>
        <w:ind w:right="0"/>
        <w:jc w:val="both"/>
      </w:pPr>
      <w:r>
        <w:rPr/>
        <w:t>务所的议案》、《关于公司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年度内部控制的自我评价报告》，本次监事会决议公</w:t>
      </w:r>
    </w:p>
    <w:p>
      <w:pPr>
        <w:pStyle w:val="BodyText"/>
        <w:spacing w:line="338" w:lineRule="auto"/>
        <w:ind w:right="1439"/>
        <w:jc w:val="both"/>
      </w:pPr>
      <w:r>
        <w:rPr/>
        <w:t>告刊登在</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日的巨潮资讯网站、《证券时报》、《中国证券报》、《上海</w:t>
      </w:r>
      <w:r>
        <w:rPr/>
        <w:t> 证券报》和《证券日报》上；</w:t>
      </w:r>
    </w:p>
    <w:p>
      <w:pPr>
        <w:pStyle w:val="BodyText"/>
        <w:spacing w:line="240" w:lineRule="auto" w:before="55"/>
        <w:ind w:left="620" w:right="1314"/>
        <w:jc w:val="left"/>
      </w:pPr>
      <w:r>
        <w:rPr>
          <w:rFonts w:ascii="Times New Roman" w:hAnsi="Times New Roman" w:cs="Times New Roman" w:eastAsia="Times New Roman" w:hint="default"/>
        </w:rPr>
        <w:t>2</w:t>
      </w:r>
      <w:r>
        <w:rPr/>
        <w:t>、公司于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日召开第四届监事会第七次会议，会议审议通过了《苏</w:t>
      </w:r>
    </w:p>
    <w:p>
      <w:pPr>
        <w:pStyle w:val="BodyText"/>
        <w:spacing w:line="338" w:lineRule="auto"/>
        <w:ind w:right="1438"/>
        <w:jc w:val="both"/>
      </w:pPr>
      <w:r>
        <w:rPr/>
        <w:t>宁电器股份有限公司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年第一季度报告》，本次监事会决议已提交深圳证券交易所 备案；</w:t>
      </w:r>
    </w:p>
    <w:p>
      <w:pPr>
        <w:pStyle w:val="BodyText"/>
        <w:spacing w:line="240" w:lineRule="auto" w:before="55"/>
        <w:ind w:left="620" w:right="1314"/>
        <w:jc w:val="left"/>
      </w:pPr>
      <w:r>
        <w:rPr>
          <w:rFonts w:ascii="Times New Roman" w:hAnsi="Times New Roman" w:cs="Times New Roman" w:eastAsia="Times New Roman" w:hint="default"/>
        </w:rPr>
        <w:t>3</w:t>
      </w:r>
      <w:r>
        <w:rPr/>
        <w:t>、公司于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日召开第四届监事会第八次会议，会议审议通过了《苏</w:t>
      </w:r>
    </w:p>
    <w:p>
      <w:pPr>
        <w:pStyle w:val="BodyText"/>
        <w:spacing w:line="338" w:lineRule="auto"/>
        <w:ind w:right="1436"/>
        <w:jc w:val="both"/>
      </w:pPr>
      <w:r>
        <w:rPr/>
        <w:t>宁电器股份有限公司</w:t>
      </w:r>
      <w:r>
        <w:rPr>
          <w:spacing w:val="-60"/>
        </w:rPr>
        <w:t> </w:t>
      </w:r>
      <w:r>
        <w:rPr>
          <w:rFonts w:ascii="Times New Roman" w:hAnsi="Times New Roman" w:cs="Times New Roman" w:eastAsia="Times New Roman" w:hint="default"/>
        </w:rPr>
        <w:t>2011 </w:t>
      </w:r>
      <w:r>
        <w:rPr>
          <w:spacing w:val="-5"/>
        </w:rPr>
        <w:t>年半年度报告》及《苏宁电器股份有限公司</w:t>
      </w:r>
      <w:r>
        <w:rPr>
          <w:spacing w:val="-59"/>
        </w:rPr>
        <w:t> </w:t>
      </w:r>
      <w:r>
        <w:rPr>
          <w:rFonts w:ascii="Times New Roman" w:hAnsi="Times New Roman" w:cs="Times New Roman" w:eastAsia="Times New Roman" w:hint="default"/>
        </w:rPr>
        <w:t>2011 </w:t>
      </w:r>
      <w:r>
        <w:rPr/>
        <w:t>年半年度报 告摘要》，本次监事会决议已提交深圳证券交易所备案；</w:t>
      </w:r>
    </w:p>
    <w:p>
      <w:pPr>
        <w:pStyle w:val="BodyText"/>
        <w:spacing w:line="240" w:lineRule="auto" w:before="55"/>
        <w:ind w:left="620" w:right="1314"/>
        <w:jc w:val="left"/>
      </w:pPr>
      <w:r>
        <w:rPr>
          <w:rFonts w:ascii="Times New Roman" w:hAnsi="Times New Roman" w:cs="Times New Roman" w:eastAsia="Times New Roman" w:hint="default"/>
          <w:spacing w:val="-7"/>
        </w:rPr>
        <w:t>4</w:t>
      </w:r>
      <w:r>
        <w:rPr>
          <w:spacing w:val="-7"/>
        </w:rPr>
        <w:t>、公司于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3"/>
        </w:rPr>
        <w:t>日召开第四届监事会第九次会议，会议审议通过了《苏</w:t>
      </w:r>
    </w:p>
    <w:p>
      <w:pPr>
        <w:pStyle w:val="BodyText"/>
        <w:spacing w:line="338" w:lineRule="auto"/>
        <w:ind w:right="1438"/>
        <w:jc w:val="both"/>
      </w:pPr>
      <w:r>
        <w:rPr/>
        <w:t>宁电器股份有限公司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年第三季度报告》，本次监事会决议已提交深圳证券交易所 备案。</w:t>
      </w:r>
    </w:p>
    <w:p>
      <w:pPr>
        <w:pStyle w:val="BodyText"/>
        <w:spacing w:line="240" w:lineRule="auto" w:before="55"/>
        <w:ind w:left="620" w:right="1314"/>
        <w:jc w:val="left"/>
      </w:pPr>
      <w:r>
        <w:rPr/>
        <w:t>二、监事会对以下事项发表的独立意见</w:t>
      </w:r>
    </w:p>
    <w:p>
      <w:pPr>
        <w:pStyle w:val="BodyText"/>
        <w:spacing w:line="314" w:lineRule="auto" w:before="154"/>
        <w:ind w:left="620" w:right="1436"/>
        <w:jc w:val="left"/>
      </w:pPr>
      <w:r>
        <w:rPr>
          <w:rFonts w:ascii="Times New Roman" w:hAnsi="Times New Roman" w:cs="Times New Roman" w:eastAsia="Times New Roman" w:hint="default"/>
        </w:rPr>
        <w:t>1</w:t>
      </w:r>
      <w:r>
        <w:rPr/>
        <w:t>、公司依法运作情况： </w:t>
      </w:r>
      <w:r>
        <w:rPr>
          <w:spacing w:val="-3"/>
        </w:rPr>
        <w:t>根据《公司法》、《证券法》、公司《章程》等各项法律法规的要求，监事会通过</w:t>
      </w:r>
    </w:p>
    <w:p>
      <w:pPr>
        <w:pStyle w:val="BodyText"/>
        <w:spacing w:line="348" w:lineRule="auto" w:before="79"/>
        <w:ind w:right="1346"/>
        <w:jc w:val="both"/>
      </w:pPr>
      <w:r>
        <w:rPr/>
        <w:t>召开四次会议，列席报告期内历次董事会会议，参加公司 </w:t>
      </w:r>
      <w:r>
        <w:rPr>
          <w:rFonts w:ascii="Times New Roman" w:hAnsi="Times New Roman" w:cs="Times New Roman" w:eastAsia="Times New Roman" w:hint="default"/>
        </w:rPr>
        <w:t>2010</w:t>
      </w:r>
      <w:r>
        <w:rPr>
          <w:rFonts w:ascii="Times New Roman" w:hAnsi="Times New Roman" w:cs="Times New Roman" w:eastAsia="Times New Roman" w:hint="default"/>
          <w:spacing w:val="-31"/>
        </w:rPr>
        <w:t> </w:t>
      </w:r>
      <w:r>
        <w:rPr/>
        <w:t>年年度股东大会、</w:t>
      </w:r>
      <w:r>
        <w:rPr>
          <w:rFonts w:ascii="Times New Roman" w:hAnsi="Times New Roman" w:cs="Times New Roman" w:eastAsia="Times New Roman" w:hint="default"/>
        </w:rPr>
        <w:t>2011 </w:t>
      </w:r>
      <w:r>
        <w:rPr/>
        <w:t>年第一次临时股东大会等，对公司经营运作的情况进行了监督，认为：</w:t>
      </w:r>
      <w:r>
        <w:rPr>
          <w:rFonts w:ascii="Times New Roman" w:hAnsi="Times New Roman" w:cs="Times New Roman" w:eastAsia="Times New Roman" w:hint="default"/>
        </w:rPr>
        <w:t>2011 </w:t>
      </w:r>
      <w:r>
        <w:rPr/>
        <w:t>年度，公</w:t>
      </w:r>
      <w:r>
        <w:rPr>
          <w:spacing w:val="-94"/>
        </w:rPr>
        <w:t> </w:t>
      </w:r>
      <w:r>
        <w:rPr>
          <w:spacing w:val="-94"/>
        </w:rPr>
      </w:r>
      <w:r>
        <w:rPr>
          <w:spacing w:val="-3"/>
        </w:rPr>
        <w:t>司所有重大决策程序符合《公司法》、《证券法》、公司《章程》等规定规范运作，建</w:t>
      </w:r>
      <w:r>
        <w:rPr>
          <w:spacing w:val="-98"/>
        </w:rPr>
        <w:t> </w:t>
      </w:r>
      <w:r>
        <w:rPr>
          <w:spacing w:val="-98"/>
        </w:rPr>
      </w:r>
      <w:r>
        <w:rPr>
          <w:spacing w:val="-3"/>
        </w:rPr>
        <w:t>立了较为完善的内部控制制度，信息披露及时、准确。公司董事、高级管理人员在执行</w:t>
      </w:r>
      <w:r>
        <w:rPr>
          <w:spacing w:val="-97"/>
        </w:rPr>
        <w:t> </w:t>
      </w:r>
      <w:r>
        <w:rPr>
          <w:spacing w:val="-97"/>
        </w:rPr>
      </w:r>
      <w:r>
        <w:rPr/>
        <w:t>公司职务时，不存在违反法律、法规、公司《章程》或有损于公司和股东利益的行为。</w:t>
      </w:r>
    </w:p>
    <w:p>
      <w:pPr>
        <w:pStyle w:val="BodyText"/>
        <w:spacing w:line="240" w:lineRule="auto" w:before="46"/>
        <w:ind w:left="620" w:right="1314"/>
        <w:jc w:val="left"/>
      </w:pPr>
      <w:r>
        <w:rPr>
          <w:rFonts w:ascii="Times New Roman" w:hAnsi="Times New Roman" w:cs="Times New Roman" w:eastAsia="Times New Roman" w:hint="default"/>
        </w:rPr>
        <w:t>2</w:t>
      </w:r>
      <w:r>
        <w:rPr/>
        <w:t>、检查公司财务的情况：</w:t>
      </w:r>
    </w:p>
    <w:p>
      <w:pPr>
        <w:pStyle w:val="BodyText"/>
        <w:spacing w:line="240" w:lineRule="auto"/>
        <w:ind w:left="620" w:right="1314"/>
        <w:jc w:val="left"/>
      </w:pPr>
      <w:r>
        <w:rPr/>
        <w:t>监事会对公司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年的财务状况、财务管理等进行了认真、细致的检查和审核，</w:t>
      </w:r>
    </w:p>
    <w:p>
      <w:pPr>
        <w:spacing w:after="0" w:line="240" w:lineRule="auto"/>
        <w:jc w:val="left"/>
        <w:sectPr>
          <w:pgSz w:w="11910" w:h="16840"/>
          <w:pgMar w:header="748" w:footer="782" w:top="980" w:bottom="980" w:left="1300" w:right="0"/>
        </w:sectPr>
      </w:pPr>
    </w:p>
    <w:p>
      <w:pPr>
        <w:spacing w:line="240" w:lineRule="auto" w:before="6"/>
        <w:rPr>
          <w:rFonts w:ascii="宋体" w:hAnsi="宋体" w:cs="宋体" w:eastAsia="宋体" w:hint="default"/>
          <w:sz w:val="29"/>
          <w:szCs w:val="29"/>
        </w:rPr>
      </w:pPr>
    </w:p>
    <w:p>
      <w:pPr>
        <w:pStyle w:val="BodyText"/>
        <w:spacing w:line="328" w:lineRule="auto" w:before="26"/>
        <w:ind w:right="1314"/>
        <w:jc w:val="left"/>
      </w:pPr>
      <w:r>
        <w:rPr>
          <w:spacing w:val="-3"/>
        </w:rPr>
        <w:t>检查认为：公司财务制度健全、运作规范，执行《会计法》、《企业会计准则》等法律</w:t>
      </w:r>
      <w:r>
        <w:rPr>
          <w:spacing w:val="-96"/>
        </w:rPr>
        <w:t> </w:t>
      </w:r>
      <w:r>
        <w:rPr>
          <w:spacing w:val="-96"/>
        </w:rPr>
      </w:r>
      <w:r>
        <w:rPr>
          <w:spacing w:val="-6"/>
        </w:rPr>
        <w:t>法规的情况良好。报告期内的财务报告真实、准确的反映了公司的财务状况和经营成果。</w:t>
      </w:r>
      <w:r>
        <w:rPr>
          <w:spacing w:val="-98"/>
        </w:rPr>
        <w:t> </w:t>
      </w:r>
      <w:r>
        <w:rPr>
          <w:spacing w:val="-98"/>
        </w:rPr>
      </w:r>
      <w:r>
        <w:rPr/>
        <w:t>公司 </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年财务报告经普华永道中天会计师事务所有限公司出具了无保留意见的审计 报告。</w:t>
      </w:r>
    </w:p>
    <w:p>
      <w:pPr>
        <w:pStyle w:val="BodyText"/>
        <w:spacing w:line="338" w:lineRule="auto" w:before="34"/>
        <w:ind w:left="620" w:right="1436"/>
        <w:jc w:val="left"/>
      </w:pPr>
      <w:r>
        <w:rPr>
          <w:rFonts w:ascii="Times New Roman" w:hAnsi="Times New Roman" w:cs="Times New Roman" w:eastAsia="Times New Roman" w:hint="default"/>
        </w:rPr>
        <w:t>3</w:t>
      </w:r>
      <w:r>
        <w:rPr/>
        <w:t>、募集资金使用情况： </w:t>
      </w:r>
      <w:r>
        <w:rPr>
          <w:spacing w:val="-3"/>
        </w:rPr>
        <w:t>报告期内，公司募集资金的存放和使用管理严格遵循了《募集资金管理办法》的规</w:t>
      </w:r>
    </w:p>
    <w:p>
      <w:pPr>
        <w:pStyle w:val="BodyText"/>
        <w:spacing w:line="240" w:lineRule="auto" w:before="55"/>
        <w:ind w:right="1314"/>
        <w:jc w:val="left"/>
      </w:pPr>
      <w:r>
        <w:rPr/>
        <w:t>定，募集资金实际投入项目与承诺投入项目一致，没有变更募集资金的投向。</w:t>
      </w:r>
    </w:p>
    <w:p>
      <w:pPr>
        <w:pStyle w:val="BodyText"/>
        <w:spacing w:line="240" w:lineRule="auto" w:before="154"/>
        <w:ind w:left="620" w:right="1314"/>
        <w:jc w:val="left"/>
      </w:pPr>
      <w:r>
        <w:rPr>
          <w:rFonts w:ascii="Times New Roman" w:hAnsi="Times New Roman" w:cs="Times New Roman" w:eastAsia="Times New Roman" w:hint="default"/>
        </w:rPr>
        <w:t>4</w:t>
      </w:r>
      <w:r>
        <w:rPr/>
        <w:t>、公司收购、出售资产情况：</w:t>
      </w:r>
    </w:p>
    <w:p>
      <w:pPr>
        <w:pStyle w:val="BodyText"/>
        <w:spacing w:line="348" w:lineRule="auto"/>
        <w:ind w:right="1435"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年公司不存在重大收购和出售资产的情况。报告期内，公司所有的资产购置 </w:t>
      </w:r>
      <w:r>
        <w:rPr>
          <w:spacing w:val="-3"/>
        </w:rPr>
        <w:t>行为，符合公司长期发展规划的要求，与公司主营业务配套相关，且遵循市场原则，交</w:t>
      </w:r>
      <w:r>
        <w:rPr>
          <w:spacing w:val="-96"/>
        </w:rPr>
        <w:t> </w:t>
      </w:r>
      <w:r>
        <w:rPr>
          <w:spacing w:val="-96"/>
        </w:rPr>
      </w:r>
      <w:r>
        <w:rPr/>
        <w:t>易价格合理，没有发现内幕交易及损害部分股东的权益或造成公司资产流失的情况。</w:t>
      </w:r>
    </w:p>
    <w:p>
      <w:pPr>
        <w:pStyle w:val="BodyText"/>
        <w:spacing w:line="240" w:lineRule="auto" w:before="46"/>
        <w:ind w:left="620" w:right="1314"/>
        <w:jc w:val="left"/>
      </w:pPr>
      <w:r>
        <w:rPr>
          <w:rFonts w:ascii="Times New Roman" w:hAnsi="Times New Roman" w:cs="Times New Roman" w:eastAsia="Times New Roman" w:hint="default"/>
        </w:rPr>
        <w:t>5</w:t>
      </w:r>
      <w:r>
        <w:rPr/>
        <w:t>、公司关联交易情况：</w:t>
      </w:r>
    </w:p>
    <w:p>
      <w:pPr>
        <w:pStyle w:val="BodyText"/>
        <w:spacing w:line="350" w:lineRule="auto"/>
        <w:ind w:right="1303" w:firstLine="480"/>
        <w:jc w:val="left"/>
      </w:pPr>
      <w:r>
        <w:rPr/>
        <w:t>经对公司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8"/>
        </w:rPr>
        <w:t>年度关联交易的核查，认为公司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8"/>
        </w:rPr>
        <w:t>年关联交易遵循了客观、公正、</w:t>
      </w:r>
      <w:r>
        <w:rPr/>
        <w:t> </w:t>
      </w:r>
      <w:r>
        <w:rPr>
          <w:spacing w:val="-3"/>
        </w:rPr>
        <w:t>公平的交易原则，根据市场原则进行，不存在任何内部交易，严格执行了《股票上市规</w:t>
      </w:r>
      <w:r>
        <w:rPr>
          <w:spacing w:val="-97"/>
        </w:rPr>
        <w:t> </w:t>
      </w:r>
      <w:r>
        <w:rPr>
          <w:spacing w:val="-97"/>
        </w:rPr>
      </w:r>
      <w:r>
        <w:rPr>
          <w:spacing w:val="-3"/>
        </w:rPr>
        <w:t>则》及《公司法》的各项规定，履行了相应的法定程序，并在关联方回避的情况下表决</w:t>
      </w:r>
      <w:r>
        <w:rPr>
          <w:spacing w:val="-104"/>
        </w:rPr>
        <w:t> </w:t>
      </w:r>
      <w:r>
        <w:rPr>
          <w:spacing w:val="-104"/>
        </w:rPr>
      </w:r>
      <w:r>
        <w:rPr/>
        <w:t>通过，因而没有损害到公司和其他关联方股东的利益。</w:t>
      </w:r>
    </w:p>
    <w:p>
      <w:pPr>
        <w:pStyle w:val="BodyText"/>
        <w:spacing w:line="240" w:lineRule="auto" w:before="43"/>
        <w:ind w:left="620" w:right="1314"/>
        <w:jc w:val="left"/>
      </w:pPr>
      <w:r>
        <w:rPr>
          <w:rFonts w:ascii="Times New Roman" w:hAnsi="Times New Roman" w:cs="Times New Roman" w:eastAsia="Times New Roman" w:hint="default"/>
        </w:rPr>
        <w:t>6</w:t>
      </w:r>
      <w:r>
        <w:rPr/>
        <w:t>、公司对外担保及股权、资产置换情况：</w:t>
      </w:r>
    </w:p>
    <w:p>
      <w:pPr>
        <w:pStyle w:val="BodyText"/>
        <w:spacing w:line="338" w:lineRule="auto"/>
        <w:ind w:right="1314"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年度公司未发生违规对外担保，未发生债务重组、非货币性交易事项及资产 置换，也未发生其他损害公司股东利益或造成公司资产流失的情况。</w:t>
      </w:r>
    </w:p>
    <w:p>
      <w:pPr>
        <w:pStyle w:val="BodyText"/>
        <w:spacing w:line="240" w:lineRule="auto" w:before="55"/>
        <w:ind w:left="620" w:right="1314"/>
        <w:jc w:val="left"/>
      </w:pPr>
      <w:r>
        <w:rPr>
          <w:rFonts w:ascii="Times New Roman" w:hAnsi="Times New Roman" w:cs="Times New Roman" w:eastAsia="Times New Roman" w:hint="default"/>
        </w:rPr>
        <w:t>7</w:t>
      </w:r>
      <w:r>
        <w:rPr/>
        <w:t>、内部控制自我评价报告：</w:t>
      </w:r>
    </w:p>
    <w:p>
      <w:pPr>
        <w:pStyle w:val="BodyText"/>
        <w:spacing w:line="350" w:lineRule="auto"/>
        <w:ind w:right="1436" w:firstLine="480"/>
        <w:jc w:val="both"/>
      </w:pPr>
      <w:r>
        <w:rPr/>
        <w:t>第四届监事会第六次会议对公司《关于公司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32"/>
        </w:rPr>
        <w:t> </w:t>
      </w:r>
      <w:r>
        <w:rPr/>
        <w:t>年度内部控制的自我评价报告》 </w:t>
      </w:r>
      <w:r>
        <w:rPr>
          <w:spacing w:val="-3"/>
        </w:rPr>
        <w:t>进行了审核，监事会成员一致认为：公司建立了较为完善的内部控制制度体系，并能得</w:t>
      </w:r>
      <w:r>
        <w:rPr>
          <w:spacing w:val="-102"/>
        </w:rPr>
        <w:t> </w:t>
      </w:r>
      <w:r>
        <w:rPr>
          <w:spacing w:val="-102"/>
        </w:rPr>
      </w:r>
      <w:r>
        <w:rPr>
          <w:spacing w:val="-3"/>
        </w:rPr>
        <w:t>到有效的执行。公司内部控制的自我评价报告真实、客观地反映了公司内部控制制度的</w:t>
      </w:r>
      <w:r>
        <w:rPr>
          <w:spacing w:val="-98"/>
        </w:rPr>
        <w:t> </w:t>
      </w:r>
      <w:r>
        <w:rPr>
          <w:spacing w:val="-98"/>
        </w:rPr>
      </w:r>
      <w:r>
        <w:rPr/>
        <w:t>建设及运行情况。</w:t>
      </w:r>
    </w:p>
    <w:p>
      <w:pPr>
        <w:pStyle w:val="BodyText"/>
        <w:spacing w:line="240" w:lineRule="auto" w:before="43"/>
        <w:ind w:left="620" w:right="1314"/>
        <w:jc w:val="left"/>
      </w:pPr>
      <w:r>
        <w:rPr>
          <w:rFonts w:ascii="Times New Roman" w:hAnsi="Times New Roman" w:cs="Times New Roman" w:eastAsia="Times New Roman" w:hint="default"/>
        </w:rPr>
        <w:t>8</w:t>
      </w:r>
      <w:r>
        <w:rPr/>
        <w:t>、公司建立和执行内幕信息知情人登记管理制度的情况：</w:t>
      </w:r>
    </w:p>
    <w:p>
      <w:pPr>
        <w:pStyle w:val="BodyText"/>
        <w:spacing w:line="352" w:lineRule="auto"/>
        <w:ind w:right="1314" w:firstLine="48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17"/>
        </w:rPr>
        <w:t> </w:t>
      </w:r>
      <w:r>
        <w:rPr/>
        <w:t>日，公司第四届董事会第二十一次会议审议通过了《内幕信息知 </w:t>
      </w:r>
      <w:r>
        <w:rPr>
          <w:spacing w:val="-3"/>
        </w:rPr>
        <w:t>情人登记管理制度》。公司在日常工作中严格按照《内幕信息知情人登记制度》的有关</w:t>
      </w:r>
      <w:r>
        <w:rPr>
          <w:spacing w:val="-96"/>
        </w:rPr>
        <w:t> </w:t>
      </w:r>
      <w:r>
        <w:rPr>
          <w:spacing w:val="-96"/>
        </w:rPr>
      </w:r>
      <w:r>
        <w:rPr>
          <w:spacing w:val="-6"/>
        </w:rPr>
        <w:t>规定对内幕信息知情人进行登记备案，并按照证监会、深交所相关要求针对公司再融资、</w:t>
      </w:r>
      <w:r>
        <w:rPr>
          <w:spacing w:val="-97"/>
        </w:rPr>
        <w:t> </w:t>
      </w:r>
      <w:r>
        <w:rPr>
          <w:spacing w:val="-97"/>
        </w:rPr>
      </w:r>
      <w:r>
        <w:rPr>
          <w:spacing w:val="-6"/>
        </w:rPr>
        <w:t>定期报告等事项报送内幕知情人信息，有效的防止内幕信息泄露，保证信息披露的公平。</w:t>
      </w:r>
      <w:r>
        <w:rPr>
          <w:spacing w:val="-98"/>
        </w:rPr>
        <w:t> </w:t>
      </w:r>
      <w:r>
        <w:rPr>
          <w:spacing w:val="-98"/>
        </w:rPr>
      </w:r>
      <w:r>
        <w:rPr>
          <w:spacing w:val="-3"/>
        </w:rPr>
        <w:t>本报告期内，公司未发生内幕信息泄露，也不存在内幕信息知情人违规买卖公司股票的</w:t>
      </w:r>
      <w:r>
        <w:rPr>
          <w:spacing w:val="-97"/>
        </w:rPr>
        <w:t> </w:t>
      </w:r>
      <w:r>
        <w:rPr>
          <w:spacing w:val="-97"/>
        </w:rPr>
      </w:r>
      <w:r>
        <w:rPr/>
        <w:t>情况。</w:t>
      </w:r>
    </w:p>
    <w:p>
      <w:pPr>
        <w:spacing w:after="0" w:line="352" w:lineRule="auto"/>
        <w:jc w:val="left"/>
        <w:sectPr>
          <w:pgSz w:w="11910" w:h="16840"/>
          <w:pgMar w:header="748" w:footer="782" w:top="980" w:bottom="980" w:left="1300" w:right="0"/>
        </w:sectPr>
      </w:pPr>
    </w:p>
    <w:p>
      <w:pPr>
        <w:spacing w:line="240" w:lineRule="auto" w:before="0"/>
        <w:rPr>
          <w:rFonts w:ascii="宋体" w:hAnsi="宋体" w:cs="宋体" w:eastAsia="宋体" w:hint="default"/>
          <w:sz w:val="20"/>
          <w:szCs w:val="20"/>
        </w:rPr>
      </w:pPr>
    </w:p>
    <w:p>
      <w:pPr>
        <w:pStyle w:val="Heading1"/>
        <w:tabs>
          <w:tab w:pos="1279" w:val="left" w:leader="none"/>
        </w:tabs>
        <w:spacing w:line="240" w:lineRule="auto"/>
        <w:ind w:right="635"/>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217"/>
        <w:ind w:left="1000" w:right="5648" w:hanging="360"/>
        <w:jc w:val="left"/>
      </w:pPr>
      <w:r>
        <w:rPr/>
        <w:t>一、公司应披露的重大诉讼、仲裁事项： 本年度公司无重大诉讼、仲裁事项。</w:t>
      </w:r>
    </w:p>
    <w:p>
      <w:pPr>
        <w:pStyle w:val="BodyText"/>
        <w:spacing w:line="240" w:lineRule="auto" w:before="36"/>
        <w:ind w:left="640" w:right="1298"/>
        <w:jc w:val="left"/>
      </w:pPr>
      <w:r>
        <w:rPr/>
        <w:t>二、公司应披露的收购及出售资产、吸收合并事项：</w:t>
      </w:r>
    </w:p>
    <w:p>
      <w:pPr>
        <w:pStyle w:val="BodyText"/>
        <w:spacing w:line="338" w:lineRule="auto" w:before="154"/>
        <w:ind w:left="160" w:right="1298" w:firstLine="480"/>
        <w:jc w:val="left"/>
      </w:pPr>
      <w:r>
        <w:rPr>
          <w:rFonts w:ascii="Times New Roman" w:hAnsi="Times New Roman" w:cs="Times New Roman" w:eastAsia="Times New Roman" w:hint="default"/>
          <w:spacing w:val="-4"/>
        </w:rPr>
        <w:t>011</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日，公司及境外全资子公司</w:t>
      </w:r>
      <w:r>
        <w:rPr>
          <w:spacing w:val="-61"/>
        </w:rPr>
        <w:t> </w:t>
      </w:r>
      <w:r>
        <w:rPr>
          <w:rFonts w:ascii="Times New Roman" w:hAnsi="Times New Roman" w:cs="Times New Roman" w:eastAsia="Times New Roman" w:hint="default"/>
        </w:rPr>
        <w:t>GRANDA</w:t>
      </w:r>
      <w:r>
        <w:rPr>
          <w:rFonts w:ascii="Times New Roman" w:hAnsi="Times New Roman" w:cs="Times New Roman" w:eastAsia="Times New Roman" w:hint="default"/>
          <w:spacing w:val="-14"/>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t>（以下简称 </w:t>
      </w:r>
      <w:r>
        <w:rPr>
          <w:spacing w:val="-8"/>
          <w:w w:val="99"/>
        </w:rPr>
        <w:t>“</w:t>
      </w:r>
      <w:r>
        <w:rPr>
          <w:rFonts w:ascii="Times New Roman" w:hAnsi="Times New Roman" w:cs="Times New Roman" w:eastAsia="Times New Roman" w:hint="default"/>
          <w:spacing w:val="-8"/>
          <w:w w:val="99"/>
        </w:rPr>
        <w:t>MAGIC</w:t>
      </w:r>
      <w:r>
        <w:rPr>
          <w:spacing w:val="-8"/>
          <w:w w:val="99"/>
        </w:rPr>
        <w:t>”）、苏宁电器集团有限公司（公司第二大股东，持有公司</w:t>
      </w:r>
      <w:r>
        <w:rPr>
          <w:spacing w:val="-56"/>
          <w:w w:val="99"/>
        </w:rPr>
        <w:t> </w:t>
      </w:r>
      <w:r>
        <w:rPr>
          <w:rFonts w:ascii="Times New Roman" w:hAnsi="Times New Roman" w:cs="Times New Roman" w:eastAsia="Times New Roman" w:hint="default"/>
          <w:spacing w:val="-1"/>
          <w:w w:val="99"/>
        </w:rPr>
        <w:t>13.47%</w:t>
      </w:r>
      <w:r>
        <w:rPr>
          <w:spacing w:val="-1"/>
          <w:w w:val="99"/>
        </w:rPr>
        <w:t>的股权）及</w:t>
      </w:r>
      <w:r>
        <w:rPr>
          <w:spacing w:val="-113"/>
          <w:w w:val="99"/>
        </w:rPr>
        <w:t> </w:t>
      </w:r>
      <w:r>
        <w:rPr>
          <w:spacing w:val="-113"/>
          <w:w w:val="99"/>
        </w:rPr>
      </w:r>
      <w:r>
        <w:rPr>
          <w:w w:val="99"/>
        </w:rPr>
        <w:t>其境外子公司</w:t>
      </w:r>
      <w:r>
        <w:rPr>
          <w:spacing w:val="-61"/>
          <w:w w:val="99"/>
        </w:rPr>
        <w:t> </w:t>
      </w:r>
      <w:r>
        <w:rPr>
          <w:rFonts w:ascii="Times New Roman" w:hAnsi="Times New Roman" w:cs="Times New Roman" w:eastAsia="Times New Roman" w:hint="default"/>
          <w:w w:val="99"/>
        </w:rPr>
        <w:t>GRANDA</w:t>
      </w:r>
      <w:r>
        <w:rPr>
          <w:rFonts w:ascii="Times New Roman" w:hAnsi="Times New Roman" w:cs="Times New Roman" w:eastAsia="Times New Roman" w:hint="default"/>
          <w:spacing w:val="-13"/>
          <w:w w:val="99"/>
        </w:rPr>
        <w:t> </w:t>
      </w:r>
      <w:r>
        <w:rPr>
          <w:rFonts w:ascii="Times New Roman" w:hAnsi="Times New Roman" w:cs="Times New Roman" w:eastAsia="Times New Roman" w:hint="default"/>
          <w:spacing w:val="-1"/>
          <w:w w:val="99"/>
        </w:rPr>
        <w:t>GALAXY</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spacing w:val="-14"/>
          <w:w w:val="99"/>
        </w:rPr>
        <w:t>LIMITED</w:t>
      </w:r>
      <w:r>
        <w:rPr>
          <w:spacing w:val="-14"/>
          <w:w w:val="99"/>
        </w:rPr>
        <w:t>（以下简称“</w:t>
      </w:r>
      <w:r>
        <w:rPr>
          <w:rFonts w:ascii="Times New Roman" w:hAnsi="Times New Roman" w:cs="Times New Roman" w:eastAsia="Times New Roman" w:hint="default"/>
          <w:spacing w:val="-14"/>
          <w:w w:val="99"/>
        </w:rPr>
        <w:t>GALAXY</w:t>
      </w:r>
      <w:r>
        <w:rPr>
          <w:spacing w:val="-14"/>
          <w:w w:val="99"/>
        </w:rPr>
        <w:t>”）与日本</w:t>
      </w:r>
      <w:r>
        <w:rPr>
          <w:spacing w:val="-58"/>
          <w:w w:val="99"/>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59"/>
          <w:w w:val="99"/>
        </w:rPr>
        <w:t> </w:t>
      </w:r>
      <w:r>
        <w:rPr/>
        <w:t>株 </w:t>
      </w:r>
      <w:r>
        <w:rPr>
          <w:spacing w:val="-21"/>
          <w:w w:val="99"/>
        </w:rPr>
        <w:t>式会社（以下简称“</w:t>
      </w:r>
      <w:r>
        <w:rPr>
          <w:rFonts w:ascii="Times New Roman" w:hAnsi="Times New Roman" w:cs="Times New Roman" w:eastAsia="Times New Roman" w:hint="default"/>
          <w:spacing w:val="-21"/>
          <w:w w:val="99"/>
        </w:rPr>
        <w:t>LAOX</w:t>
      </w:r>
      <w:r>
        <w:rPr>
          <w:spacing w:val="-21"/>
          <w:w w:val="99"/>
        </w:rPr>
        <w:t>”）签署《资本及业务合作合同书》（以下简称“《合同书》”）。</w:t>
      </w:r>
      <w:r>
        <w:rPr>
          <w:spacing w:val="-97"/>
          <w:w w:val="99"/>
        </w:rPr>
        <w:t> </w:t>
      </w:r>
      <w:r>
        <w:rPr>
          <w:spacing w:val="-97"/>
          <w:w w:val="99"/>
        </w:rPr>
      </w:r>
      <w:r>
        <w:rPr>
          <w:spacing w:val="-12"/>
        </w:rPr>
        <w:t>根据《合同书》的约定，</w:t>
      </w:r>
      <w:r>
        <w:rPr>
          <w:rFonts w:ascii="Times New Roman" w:hAnsi="Times New Roman" w:cs="Times New Roman" w:eastAsia="Times New Roman" w:hint="default"/>
          <w:spacing w:val="-12"/>
        </w:rPr>
        <w:t>MAGIC</w:t>
      </w:r>
      <w:r>
        <w:rPr>
          <w:rFonts w:ascii="Times New Roman" w:hAnsi="Times New Roman" w:cs="Times New Roman" w:eastAsia="Times New Roman" w:hint="default"/>
        </w:rPr>
        <w:t> </w:t>
      </w:r>
      <w:r>
        <w:rPr/>
        <w:t>以</w:t>
      </w:r>
      <w:r>
        <w:rPr>
          <w:spacing w:val="-60"/>
        </w:rPr>
        <w:t> </w:t>
      </w:r>
      <w:r>
        <w:rPr>
          <w:rFonts w:ascii="Times New Roman" w:hAnsi="Times New Roman" w:cs="Times New Roman" w:eastAsia="Times New Roman" w:hint="default"/>
        </w:rPr>
        <w:t>35 </w:t>
      </w:r>
      <w:r>
        <w:rPr>
          <w:spacing w:val="-7"/>
        </w:rPr>
        <w:t>日元</w:t>
      </w:r>
      <w:r>
        <w:rPr>
          <w:rFonts w:ascii="Times New Roman" w:hAnsi="Times New Roman" w:cs="Times New Roman" w:eastAsia="Times New Roman" w:hint="default"/>
          <w:spacing w:val="-7"/>
        </w:rPr>
        <w:t>/</w:t>
      </w:r>
      <w:r>
        <w:rPr>
          <w:spacing w:val="-7"/>
        </w:rPr>
        <w:t>股价格，出资</w:t>
      </w:r>
      <w:r>
        <w:rPr>
          <w:spacing w:val="-60"/>
        </w:rPr>
        <w:t> </w:t>
      </w:r>
      <w:r>
        <w:rPr>
          <w:rFonts w:ascii="Times New Roman" w:hAnsi="Times New Roman" w:cs="Times New Roman" w:eastAsia="Times New Roman" w:hint="default"/>
        </w:rPr>
        <w:t>6,273,225,000 </w:t>
      </w:r>
      <w:r>
        <w:rPr/>
        <w:t>日元认购</w:t>
      </w:r>
      <w:r>
        <w:rPr>
          <w:spacing w:val="-58"/>
        </w:rPr>
        <w:t> </w:t>
      </w:r>
      <w:r>
        <w:rPr>
          <w:rFonts w:ascii="Times New Roman" w:hAnsi="Times New Roman" w:cs="Times New Roman" w:eastAsia="Times New Roman" w:hint="default"/>
        </w:rPr>
        <w:t>LAOX</w:t>
      </w:r>
      <w:r>
        <w:rPr>
          <w:rFonts w:ascii="Times New Roman" w:hAnsi="Times New Roman" w:cs="Times New Roman" w:eastAsia="Times New Roman" w:hint="default"/>
          <w:w w:val="99"/>
        </w:rPr>
        <w:t> </w:t>
      </w:r>
      <w:r>
        <w:rPr/>
        <w:t>定向发行的</w:t>
      </w:r>
      <w:r>
        <w:rPr>
          <w:spacing w:val="-63"/>
        </w:rPr>
        <w:t> </w:t>
      </w:r>
      <w:r>
        <w:rPr>
          <w:rFonts w:ascii="Times New Roman" w:hAnsi="Times New Roman" w:cs="Times New Roman" w:eastAsia="Times New Roman" w:hint="default"/>
        </w:rPr>
        <w:t>179,235,000</w:t>
      </w:r>
      <w:r>
        <w:rPr>
          <w:rFonts w:ascii="Times New Roman" w:hAnsi="Times New Roman" w:cs="Times New Roman" w:eastAsia="Times New Roman" w:hint="default"/>
          <w:spacing w:val="-2"/>
        </w:rPr>
        <w:t> </w:t>
      </w:r>
      <w:r>
        <w:rPr/>
        <w:t>股股份。此次为</w:t>
      </w:r>
      <w:r>
        <w:rPr>
          <w:spacing w:val="-62"/>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1"/>
        </w:rPr>
        <w:t> </w:t>
      </w:r>
      <w:r>
        <w:rPr/>
        <w:t>第三次参与</w:t>
      </w:r>
      <w:r>
        <w:rPr>
          <w:spacing w:val="-60"/>
        </w:rPr>
        <w:t> </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定向发行。</w:t>
      </w:r>
    </w:p>
    <w:p>
      <w:pPr>
        <w:pStyle w:val="BodyText"/>
        <w:spacing w:line="338" w:lineRule="auto" w:before="27"/>
        <w:ind w:left="160" w:right="1298" w:firstLine="48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月，本次非公开发行获得</w:t>
      </w:r>
      <w:r>
        <w:rPr>
          <w:rFonts w:ascii="Times New Roman" w:hAnsi="Times New Roman" w:cs="Times New Roman" w:eastAsia="Times New Roman" w:hint="default"/>
        </w:rPr>
        <w:t>LAOX</w:t>
      </w:r>
      <w:r>
        <w:rPr/>
        <w:t>股东大会及中日两国相关政府部门审批通 </w:t>
      </w:r>
      <w:r>
        <w:rPr>
          <w:spacing w:val="-3"/>
        </w:rPr>
        <w:t>过。</w:t>
      </w:r>
      <w:r>
        <w:rPr>
          <w:rFonts w:ascii="Times New Roman" w:hAnsi="Times New Roman" w:cs="Times New Roman" w:eastAsia="Times New Roman" w:hint="default"/>
          <w:spacing w:val="-3"/>
        </w:rPr>
        <w:t>8</w:t>
      </w:r>
      <w:r>
        <w:rPr>
          <w:spacing w:val="-3"/>
        </w:rPr>
        <w:t>月底，</w:t>
      </w:r>
      <w:r>
        <w:rPr>
          <w:spacing w:val="-32"/>
        </w:rPr>
        <w:t> </w:t>
      </w:r>
      <w:r>
        <w:rPr>
          <w:rFonts w:ascii="Times New Roman" w:hAnsi="Times New Roman" w:cs="Times New Roman" w:eastAsia="Times New Roman" w:hint="default"/>
        </w:rPr>
        <w:t>MAGIC</w:t>
      </w:r>
      <w:r>
        <w:rPr/>
        <w:t>完成认购款项支付，并办理完成相关股权登记手续。认购完成后，</w:t>
      </w:r>
      <w:r>
        <w:rPr>
          <w:w w:val="99"/>
        </w:rPr>
        <w:t> </w:t>
      </w:r>
      <w:r>
        <w:rPr>
          <w:rFonts w:ascii="Times New Roman" w:hAnsi="Times New Roman" w:cs="Times New Roman" w:eastAsia="Times New Roman" w:hint="default"/>
        </w:rPr>
        <w:t>MAGIC</w:t>
      </w:r>
      <w:r>
        <w:rPr/>
        <w:t>持有</w:t>
      </w:r>
      <w:r>
        <w:rPr>
          <w:rFonts w:ascii="Times New Roman" w:hAnsi="Times New Roman" w:cs="Times New Roman" w:eastAsia="Times New Roman" w:hint="default"/>
        </w:rPr>
        <w:t>LAOX</w:t>
      </w:r>
      <w:r>
        <w:rPr/>
        <w:t>发行在外普通股（扣除库存股，下同）股权提升至</w:t>
      </w:r>
      <w:r>
        <w:rPr>
          <w:rFonts w:ascii="Times New Roman" w:hAnsi="Times New Roman" w:cs="Times New Roman" w:eastAsia="Times New Roman" w:hint="default"/>
        </w:rPr>
        <w:t>51%</w:t>
      </w:r>
      <w:r>
        <w:rPr/>
        <w:t>，成为</w:t>
      </w:r>
      <w:r>
        <w:rPr>
          <w:rFonts w:ascii="Times New Roman" w:hAnsi="Times New Roman" w:cs="Times New Roman" w:eastAsia="Times New Roman" w:hint="default"/>
        </w:rPr>
        <w:t>LAOX</w:t>
      </w:r>
      <w:r>
        <w:rPr>
          <w:rFonts w:ascii="Times New Roman" w:hAnsi="Times New Roman" w:cs="Times New Roman" w:eastAsia="Times New Roman" w:hint="default"/>
          <w:w w:val="99"/>
        </w:rPr>
        <w:t> </w:t>
      </w:r>
      <w:r>
        <w:rPr/>
        <w:t>公司的控股股东。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LAOX</w:t>
      </w:r>
      <w:r>
        <w:rPr/>
        <w:t>公司纳入公司合并财务报表编制范围。</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974"/>
        <w:gridCol w:w="974"/>
        <w:gridCol w:w="1172"/>
        <w:gridCol w:w="955"/>
        <w:gridCol w:w="1184"/>
        <w:gridCol w:w="715"/>
        <w:gridCol w:w="1114"/>
        <w:gridCol w:w="650"/>
        <w:gridCol w:w="650"/>
        <w:gridCol w:w="715"/>
      </w:tblGrid>
      <w:tr>
        <w:trPr>
          <w:trHeight w:val="2203" w:hRule="exact"/>
        </w:trPr>
        <w:tc>
          <w:tcPr>
            <w:tcW w:w="97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37" w:lineRule="auto"/>
              <w:ind w:left="50" w:right="60"/>
              <w:jc w:val="center"/>
              <w:rPr>
                <w:rFonts w:ascii="宋体" w:hAnsi="宋体" w:cs="宋体" w:eastAsia="宋体" w:hint="default"/>
                <w:sz w:val="21"/>
                <w:szCs w:val="21"/>
              </w:rPr>
            </w:pPr>
            <w:r>
              <w:rPr>
                <w:rFonts w:ascii="宋体" w:hAnsi="宋体" w:cs="宋体" w:eastAsia="宋体" w:hint="default"/>
                <w:sz w:val="21"/>
                <w:szCs w:val="21"/>
              </w:rPr>
              <w:t>交易对方</w:t>
            </w:r>
            <w:r>
              <w:rPr>
                <w:rFonts w:ascii="宋体" w:hAnsi="宋体" w:cs="宋体" w:eastAsia="宋体" w:hint="default"/>
                <w:w w:val="100"/>
                <w:sz w:val="21"/>
                <w:szCs w:val="21"/>
              </w:rPr>
              <w:t> </w:t>
            </w:r>
            <w:r>
              <w:rPr>
                <w:rFonts w:ascii="宋体" w:hAnsi="宋体" w:cs="宋体" w:eastAsia="宋体" w:hint="default"/>
                <w:sz w:val="21"/>
                <w:szCs w:val="21"/>
              </w:rPr>
              <w:t>或最终控</w:t>
            </w:r>
            <w:r>
              <w:rPr>
                <w:rFonts w:ascii="宋体" w:hAnsi="宋体" w:cs="宋体" w:eastAsia="宋体" w:hint="default"/>
                <w:w w:val="100"/>
                <w:sz w:val="21"/>
                <w:szCs w:val="21"/>
              </w:rPr>
              <w:t> </w:t>
            </w:r>
            <w:r>
              <w:rPr>
                <w:rFonts w:ascii="宋体" w:hAnsi="宋体" w:cs="宋体" w:eastAsia="宋体" w:hint="default"/>
                <w:sz w:val="21"/>
                <w:szCs w:val="21"/>
              </w:rPr>
              <w:t>制方</w:t>
            </w:r>
          </w:p>
        </w:tc>
        <w:tc>
          <w:tcPr>
            <w:tcW w:w="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72" w:lineRule="exact"/>
              <w:ind w:left="60" w:right="60"/>
              <w:jc w:val="left"/>
              <w:rPr>
                <w:rFonts w:ascii="宋体" w:hAnsi="宋体" w:cs="宋体" w:eastAsia="宋体" w:hint="default"/>
                <w:sz w:val="21"/>
                <w:szCs w:val="21"/>
              </w:rPr>
            </w:pPr>
            <w:r>
              <w:rPr>
                <w:rFonts w:ascii="宋体" w:hAnsi="宋体" w:cs="宋体" w:eastAsia="宋体" w:hint="default"/>
                <w:sz w:val="21"/>
                <w:szCs w:val="21"/>
              </w:rPr>
              <w:t>被收购或</w:t>
            </w:r>
            <w:r>
              <w:rPr>
                <w:rFonts w:ascii="宋体" w:hAnsi="宋体" w:cs="宋体" w:eastAsia="宋体" w:hint="default"/>
                <w:w w:val="100"/>
                <w:sz w:val="21"/>
                <w:szCs w:val="21"/>
              </w:rPr>
              <w:t> </w:t>
            </w:r>
            <w:r>
              <w:rPr>
                <w:rFonts w:ascii="宋体" w:hAnsi="宋体" w:cs="宋体" w:eastAsia="宋体" w:hint="default"/>
                <w:sz w:val="21"/>
                <w:szCs w:val="21"/>
              </w:rPr>
              <w:t>置入资产</w:t>
            </w:r>
          </w:p>
        </w:tc>
        <w:tc>
          <w:tcPr>
            <w:tcW w:w="11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购买日</w:t>
            </w:r>
          </w:p>
        </w:tc>
        <w:tc>
          <w:tcPr>
            <w:tcW w:w="9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50" w:right="0"/>
              <w:jc w:val="left"/>
              <w:rPr>
                <w:rFonts w:ascii="宋体" w:hAnsi="宋体" w:cs="宋体" w:eastAsia="宋体" w:hint="default"/>
                <w:sz w:val="21"/>
                <w:szCs w:val="21"/>
              </w:rPr>
            </w:pPr>
            <w:r>
              <w:rPr>
                <w:rFonts w:ascii="宋体" w:hAnsi="宋体" w:cs="宋体" w:eastAsia="宋体" w:hint="default"/>
                <w:sz w:val="21"/>
                <w:szCs w:val="21"/>
              </w:rPr>
              <w:t>交易价格</w:t>
            </w:r>
          </w:p>
        </w:tc>
        <w:tc>
          <w:tcPr>
            <w:tcW w:w="118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105"/>
              <w:ind w:left="62" w:right="55"/>
              <w:jc w:val="both"/>
              <w:rPr>
                <w:rFonts w:ascii="宋体" w:hAnsi="宋体" w:cs="宋体" w:eastAsia="宋体" w:hint="default"/>
                <w:sz w:val="21"/>
                <w:szCs w:val="21"/>
              </w:rPr>
            </w:pPr>
            <w:r>
              <w:rPr>
                <w:rFonts w:ascii="宋体" w:hAnsi="宋体" w:cs="宋体" w:eastAsia="宋体" w:hint="default"/>
                <w:sz w:val="21"/>
                <w:szCs w:val="21"/>
              </w:rPr>
              <w:t>自购买日起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至本年末为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公司贡献的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用于非同一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控制下的企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业合并）</w:t>
            </w:r>
          </w:p>
        </w:tc>
        <w:tc>
          <w:tcPr>
            <w:tcW w:w="7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37" w:lineRule="auto"/>
              <w:ind w:left="38" w:right="31"/>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29"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65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2"/>
              <w:ind w:left="110" w:right="107"/>
              <w:jc w:val="both"/>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产权</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部过</w:t>
            </w:r>
            <w:r>
              <w:rPr>
                <w:rFonts w:ascii="宋体" w:hAnsi="宋体" w:cs="宋体" w:eastAsia="宋体" w:hint="default"/>
                <w:spacing w:val="-103"/>
                <w:sz w:val="21"/>
                <w:szCs w:val="21"/>
              </w:rPr>
              <w:t> </w:t>
            </w:r>
            <w:r>
              <w:rPr>
                <w:rFonts w:ascii="宋体" w:hAnsi="宋体" w:cs="宋体" w:eastAsia="宋体" w:hint="default"/>
                <w:sz w:val="21"/>
                <w:szCs w:val="21"/>
              </w:rPr>
              <w:t>户</w:t>
            </w:r>
          </w:p>
        </w:tc>
        <w:tc>
          <w:tcPr>
            <w:tcW w:w="650"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所涉</w:t>
            </w:r>
          </w:p>
          <w:p>
            <w:pPr>
              <w:pStyle w:val="TableParagraph"/>
              <w:spacing w:line="237" w:lineRule="auto" w:before="2"/>
              <w:ind w:left="107" w:right="108"/>
              <w:jc w:val="both"/>
              <w:rPr>
                <w:rFonts w:ascii="宋体" w:hAnsi="宋体" w:cs="宋体" w:eastAsia="宋体" w:hint="default"/>
                <w:sz w:val="21"/>
                <w:szCs w:val="21"/>
              </w:rPr>
            </w:pPr>
            <w:r>
              <w:rPr>
                <w:rFonts w:ascii="宋体" w:hAnsi="宋体" w:cs="宋体" w:eastAsia="宋体" w:hint="default"/>
                <w:sz w:val="21"/>
                <w:szCs w:val="21"/>
              </w:rPr>
              <w:t>及的</w:t>
            </w:r>
            <w:r>
              <w:rPr>
                <w:rFonts w:ascii="宋体" w:hAnsi="宋体" w:cs="宋体" w:eastAsia="宋体" w:hint="default"/>
                <w:spacing w:val="-103"/>
                <w:sz w:val="21"/>
                <w:szCs w:val="21"/>
              </w:rPr>
              <w:t> </w:t>
            </w: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债务</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已全</w:t>
            </w:r>
            <w:r>
              <w:rPr>
                <w:rFonts w:ascii="宋体" w:hAnsi="宋体" w:cs="宋体" w:eastAsia="宋体" w:hint="default"/>
                <w:spacing w:val="-103"/>
                <w:sz w:val="21"/>
                <w:szCs w:val="21"/>
              </w:rPr>
              <w:t> </w:t>
            </w:r>
            <w:r>
              <w:rPr>
                <w:rFonts w:ascii="宋体" w:hAnsi="宋体" w:cs="宋体" w:eastAsia="宋体" w:hint="default"/>
                <w:sz w:val="21"/>
                <w:szCs w:val="21"/>
              </w:rPr>
              <w:t>部转</w:t>
            </w:r>
            <w:r>
              <w:rPr>
                <w:rFonts w:ascii="宋体" w:hAnsi="宋体" w:cs="宋体" w:eastAsia="宋体" w:hint="default"/>
                <w:spacing w:val="-103"/>
                <w:sz w:val="21"/>
                <w:szCs w:val="21"/>
              </w:rPr>
              <w:t> </w:t>
            </w:r>
            <w:r>
              <w:rPr>
                <w:rFonts w:ascii="宋体" w:hAnsi="宋体" w:cs="宋体" w:eastAsia="宋体" w:hint="default"/>
                <w:sz w:val="21"/>
                <w:szCs w:val="21"/>
              </w:rPr>
              <w:t>移</w:t>
            </w:r>
          </w:p>
        </w:tc>
        <w:tc>
          <w:tcPr>
            <w:tcW w:w="715" w:type="dxa"/>
            <w:tcBorders>
              <w:top w:val="single" w:sz="12" w:space="0" w:color="000000"/>
              <w:left w:val="single" w:sz="4" w:space="0" w:color="000000"/>
              <w:bottom w:val="single" w:sz="4" w:space="0" w:color="000000"/>
              <w:right w:val="single" w:sz="12" w:space="0" w:color="000000"/>
            </w:tcBorders>
          </w:tcPr>
          <w:p>
            <w:pPr>
              <w:pStyle w:val="TableParagraph"/>
              <w:spacing w:line="237" w:lineRule="auto" w:before="105"/>
              <w:ind w:left="35" w:right="24"/>
              <w:jc w:val="both"/>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r>
              <w:rPr>
                <w:rFonts w:ascii="宋体" w:hAnsi="宋体" w:cs="宋体" w:eastAsia="宋体" w:hint="default"/>
                <w:spacing w:val="-102"/>
                <w:sz w:val="21"/>
                <w:szCs w:val="21"/>
              </w:rPr>
              <w:t> </w:t>
            </w: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r>
      <w:tr>
        <w:trPr>
          <w:trHeight w:val="1661" w:hRule="exact"/>
        </w:trPr>
        <w:tc>
          <w:tcPr>
            <w:tcW w:w="97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82" w:lineRule="exact"/>
              <w:ind w:right="11"/>
              <w:jc w:val="center"/>
              <w:rPr>
                <w:rFonts w:ascii="宋体" w:hAnsi="宋体" w:cs="宋体" w:eastAsia="宋体" w:hint="default"/>
                <w:sz w:val="21"/>
                <w:szCs w:val="21"/>
              </w:rPr>
            </w:pPr>
            <w:r>
              <w:rPr>
                <w:rFonts w:ascii="Times New Roman" w:hAnsi="Times New Roman" w:cs="Times New Roman" w:eastAsia="Times New Roman" w:hint="default"/>
                <w:sz w:val="21"/>
                <w:szCs w:val="21"/>
              </w:rPr>
              <w:t>LAOX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株</w:t>
            </w:r>
          </w:p>
          <w:p>
            <w:pPr>
              <w:pStyle w:val="TableParagraph"/>
              <w:spacing w:line="266" w:lineRule="exact"/>
              <w:ind w:right="7"/>
              <w:jc w:val="center"/>
              <w:rPr>
                <w:rFonts w:ascii="宋体" w:hAnsi="宋体" w:cs="宋体" w:eastAsia="宋体" w:hint="default"/>
                <w:sz w:val="21"/>
                <w:szCs w:val="21"/>
              </w:rPr>
            </w:pPr>
            <w:r>
              <w:rPr>
                <w:rFonts w:ascii="宋体" w:hAnsi="宋体" w:cs="宋体" w:eastAsia="宋体" w:hint="default"/>
                <w:sz w:val="21"/>
                <w:szCs w:val="21"/>
              </w:rPr>
              <w:t>式会社</w:t>
            </w:r>
          </w:p>
        </w:tc>
        <w:tc>
          <w:tcPr>
            <w:tcW w:w="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2" w:lineRule="exact"/>
              <w:ind w:left="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LAOX</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株</w:t>
            </w:r>
          </w:p>
          <w:p>
            <w:pPr>
              <w:pStyle w:val="TableParagraph"/>
              <w:spacing w:line="274" w:lineRule="exact" w:before="18"/>
              <w:ind w:left="165" w:right="60" w:hanging="106"/>
              <w:jc w:val="left"/>
              <w:rPr>
                <w:rFonts w:ascii="宋体" w:hAnsi="宋体" w:cs="宋体" w:eastAsia="宋体" w:hint="default"/>
                <w:sz w:val="21"/>
                <w:szCs w:val="21"/>
              </w:rPr>
            </w:pPr>
            <w:r>
              <w:rPr>
                <w:rFonts w:ascii="宋体" w:hAnsi="宋体" w:cs="宋体" w:eastAsia="宋体" w:hint="default"/>
                <w:sz w:val="21"/>
                <w:szCs w:val="21"/>
              </w:rPr>
              <w:t>式会社增</w:t>
            </w:r>
            <w:r>
              <w:rPr>
                <w:rFonts w:ascii="宋体" w:hAnsi="宋体" w:cs="宋体" w:eastAsia="宋体" w:hint="default"/>
                <w:w w:val="100"/>
                <w:sz w:val="21"/>
                <w:szCs w:val="21"/>
              </w:rPr>
              <w:t> </w:t>
            </w:r>
            <w:r>
              <w:rPr>
                <w:rFonts w:ascii="宋体" w:hAnsi="宋体" w:cs="宋体" w:eastAsia="宋体" w:hint="default"/>
                <w:sz w:val="21"/>
                <w:szCs w:val="21"/>
              </w:rPr>
              <w:t>发股份</w:t>
            </w:r>
          </w:p>
        </w:tc>
        <w:tc>
          <w:tcPr>
            <w:tcW w:w="11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Times New Roman" w:hAnsi="Times New Roman" w:cs="Times New Roman" w:eastAsia="Times New Roman" w:hint="default"/>
                <w:sz w:val="21"/>
                <w:szCs w:val="21"/>
              </w:rPr>
            </w:pPr>
            <w:r>
              <w:rPr>
                <w:rFonts w:ascii="Times New Roman"/>
                <w:sz w:val="21"/>
              </w:rPr>
              <w:t>2011.8.29</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27" w:lineRule="exact"/>
              <w:ind w:left="23" w:right="0"/>
              <w:jc w:val="left"/>
              <w:rPr>
                <w:rFonts w:ascii="Times New Roman" w:hAnsi="Times New Roman" w:cs="Times New Roman" w:eastAsia="Times New Roman" w:hint="default"/>
                <w:sz w:val="21"/>
                <w:szCs w:val="21"/>
              </w:rPr>
            </w:pPr>
            <w:r>
              <w:rPr>
                <w:rFonts w:ascii="Times New Roman"/>
                <w:sz w:val="21"/>
              </w:rPr>
              <w:t>6,273,225,</w:t>
            </w:r>
          </w:p>
          <w:p>
            <w:pPr>
              <w:pStyle w:val="TableParagraph"/>
              <w:spacing w:line="276" w:lineRule="exact"/>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日元</w:t>
            </w:r>
            <w:r>
              <w:rPr>
                <w:rFonts w:ascii="宋体" w:hAnsi="宋体" w:cs="宋体" w:eastAsia="宋体" w:hint="default"/>
                <w:sz w:val="21"/>
                <w:szCs w:val="21"/>
              </w:rPr>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-1,737.2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参考每股净</w:t>
            </w:r>
          </w:p>
          <w:p>
            <w:pPr>
              <w:pStyle w:val="TableParagraph"/>
              <w:spacing w:line="237" w:lineRule="auto"/>
              <w:ind w:left="23" w:right="24"/>
              <w:jc w:val="both"/>
              <w:rPr>
                <w:rFonts w:ascii="宋体" w:hAnsi="宋体" w:cs="宋体" w:eastAsia="宋体" w:hint="default"/>
                <w:sz w:val="21"/>
                <w:szCs w:val="21"/>
              </w:rPr>
            </w:pPr>
            <w:r>
              <w:rPr>
                <w:rFonts w:ascii="宋体" w:hAnsi="宋体" w:cs="宋体" w:eastAsia="宋体" w:hint="default"/>
                <w:sz w:val="21"/>
                <w:szCs w:val="21"/>
              </w:rPr>
              <w:t>资产、日本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家电连锁行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业估值水平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等，由各方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协商确定</w:t>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92" w:lineRule="exact" w:before="0"/>
        <w:ind w:left="640" w:right="1298"/>
        <w:jc w:val="left"/>
      </w:pPr>
      <w:r>
        <w:rPr>
          <w:rFonts w:ascii="Times New Roman" w:hAnsi="Times New Roman" w:cs="Times New Roman" w:eastAsia="Times New Roman" w:hint="default"/>
        </w:rPr>
        <w:t>3</w:t>
      </w:r>
      <w:r>
        <w:rPr/>
        <w:t>、除以上购置事项外，不存在其他应披露的收购及出售资产、吸收合并事项。</w:t>
      </w:r>
    </w:p>
    <w:p>
      <w:pPr>
        <w:pStyle w:val="BodyText"/>
        <w:spacing w:line="240" w:lineRule="auto"/>
        <w:ind w:left="640" w:right="1298"/>
        <w:jc w:val="left"/>
      </w:pPr>
      <w:r>
        <w:rPr/>
        <w:t>三、持有非上市金融企业股权情况</w:t>
      </w:r>
    </w:p>
    <w:p>
      <w:pPr>
        <w:pStyle w:val="BodyText"/>
        <w:spacing w:line="240" w:lineRule="auto" w:before="154"/>
        <w:ind w:left="640" w:right="129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月</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日，公司作为江苏省内的大型民营企业代表，与江苏银行股份</w:t>
      </w:r>
    </w:p>
    <w:p>
      <w:pPr>
        <w:pStyle w:val="BodyText"/>
        <w:spacing w:line="338" w:lineRule="auto"/>
        <w:ind w:left="160" w:right="1433"/>
        <w:jc w:val="both"/>
      </w:pPr>
      <w:r>
        <w:rPr>
          <w:spacing w:val="-4"/>
        </w:rPr>
        <w:t>有限公司签署《认股协议书》，参与其增资扩股。本次增资，公司共出资</w:t>
      </w:r>
      <w:r>
        <w:rPr/>
        <w:t> </w:t>
      </w:r>
      <w:r>
        <w:rPr>
          <w:rFonts w:ascii="Times New Roman" w:hAnsi="Times New Roman" w:cs="Times New Roman" w:eastAsia="Times New Roman" w:hint="default"/>
        </w:rPr>
        <w:t>5.4</w:t>
      </w:r>
      <w:r>
        <w:rPr>
          <w:rFonts w:ascii="Times New Roman" w:hAnsi="Times New Roman" w:cs="Times New Roman" w:eastAsia="Times New Roman" w:hint="default"/>
          <w:spacing w:val="39"/>
        </w:rPr>
        <w:t> </w:t>
      </w:r>
      <w:r>
        <w:rPr/>
        <w:t>亿元人民 </w:t>
      </w:r>
      <w:r>
        <w:rPr>
          <w:spacing w:val="-4"/>
        </w:rPr>
        <w:t>币，认购江苏银行</w:t>
      </w:r>
      <w:r>
        <w:rPr>
          <w:spacing w:val="-79"/>
        </w:rPr>
        <w:t> </w:t>
      </w:r>
      <w:r>
        <w:rPr>
          <w:rFonts w:ascii="Times New Roman" w:hAnsi="Times New Roman" w:cs="Times New Roman" w:eastAsia="Times New Roman" w:hint="default"/>
        </w:rPr>
        <w:t>1.79%</w:t>
      </w:r>
      <w:r>
        <w:rPr/>
        <w:t>的股权。江苏银行此次增资扩股已经其股东大会及江苏银监局 审核批准，相关工商变更手续也于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19 </w:t>
      </w:r>
      <w:r>
        <w:rPr/>
        <w:t>日完成。</w:t>
      </w:r>
    </w:p>
    <w:p>
      <w:pPr>
        <w:pStyle w:val="BodyText"/>
        <w:spacing w:line="240" w:lineRule="auto" w:before="27"/>
        <w:ind w:left="640" w:right="0"/>
        <w:jc w:val="left"/>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4"/>
        </w:rPr>
        <w:t>月，北京苏宁电器有限公司作为北京通州区企业代表，出资</w:t>
      </w:r>
      <w:r>
        <w:rPr>
          <w:spacing w:val="-57"/>
        </w:rPr>
        <w:t> </w:t>
      </w:r>
      <w:r>
        <w:rPr>
          <w:rFonts w:ascii="Times New Roman" w:hAnsi="Times New Roman" w:cs="Times New Roman" w:eastAsia="Times New Roman" w:hint="default"/>
        </w:rPr>
        <w:t>900</w:t>
      </w:r>
      <w:r>
        <w:rPr>
          <w:rFonts w:ascii="Times New Roman" w:hAnsi="Times New Roman" w:cs="Times New Roman" w:eastAsia="Times New Roman" w:hint="default"/>
          <w:spacing w:val="2"/>
        </w:rPr>
        <w:t> </w:t>
      </w:r>
      <w:r>
        <w:rPr/>
        <w:t>万元，</w:t>
      </w:r>
    </w:p>
    <w:p>
      <w:pPr>
        <w:pStyle w:val="BodyText"/>
        <w:spacing w:line="240" w:lineRule="auto"/>
        <w:ind w:left="160" w:right="0"/>
        <w:jc w:val="both"/>
      </w:pPr>
      <w:r>
        <w:rPr>
          <w:spacing w:val="-3"/>
        </w:rPr>
        <w:t>与国家开发银行及其他区内企业代表发起设立北京通州国开村镇银行股份有限公司。出</w:t>
      </w:r>
    </w:p>
    <w:p>
      <w:pPr>
        <w:spacing w:after="0" w:line="240" w:lineRule="auto"/>
        <w:jc w:val="both"/>
        <w:sectPr>
          <w:headerReference w:type="default" r:id="rId54"/>
          <w:footerReference w:type="default" r:id="rId55"/>
          <w:pgSz w:w="11910" w:h="16840"/>
          <w:pgMar w:header="748" w:footer="955" w:top="980" w:bottom="1140" w:left="1280" w:right="0"/>
          <w:pgNumType w:start="2010"/>
        </w:sectPr>
      </w:pPr>
    </w:p>
    <w:p>
      <w:pPr>
        <w:spacing w:line="240" w:lineRule="auto" w:before="6"/>
        <w:rPr>
          <w:rFonts w:ascii="宋体" w:hAnsi="宋体" w:cs="宋体" w:eastAsia="宋体" w:hint="default"/>
          <w:sz w:val="29"/>
          <w:szCs w:val="29"/>
        </w:rPr>
      </w:pPr>
    </w:p>
    <w:p>
      <w:pPr>
        <w:pStyle w:val="BodyText"/>
        <w:spacing w:line="338" w:lineRule="auto" w:before="26"/>
        <w:ind w:left="160" w:right="1301"/>
        <w:jc w:val="left"/>
      </w:pPr>
      <w:r>
        <w:rPr>
          <w:spacing w:val="-4"/>
        </w:rPr>
        <w:t>资完成后，北京苏宁电器有限公司持有北京通州国开村镇银行股份有限公司</w:t>
      </w:r>
      <w:r>
        <w:rPr>
          <w:spacing w:val="-35"/>
        </w:rPr>
        <w:t> </w:t>
      </w:r>
      <w:r>
        <w:rPr>
          <w:rFonts w:ascii="Times New Roman" w:hAnsi="Times New Roman" w:cs="Times New Roman" w:eastAsia="Times New Roman" w:hint="default"/>
          <w:spacing w:val="-1"/>
        </w:rPr>
        <w:t>9%</w:t>
      </w:r>
      <w:r>
        <w:rPr>
          <w:spacing w:val="-1"/>
        </w:rPr>
        <w:t>的股权，</w:t>
      </w:r>
      <w:r>
        <w:rPr/>
        <w:t> 相关工商设立登记手续已于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28 </w:t>
      </w:r>
      <w:r>
        <w:rPr/>
        <w:t>日完成。</w:t>
      </w:r>
    </w:p>
    <w:p>
      <w:pPr>
        <w:pStyle w:val="BodyText"/>
        <w:tabs>
          <w:tab w:pos="7721" w:val="left" w:leader="none"/>
        </w:tabs>
        <w:spacing w:line="240" w:lineRule="auto" w:before="27"/>
        <w:ind w:left="640" w:right="1298"/>
        <w:jc w:val="left"/>
      </w:pPr>
      <w:r>
        <w:rPr>
          <w:spacing w:val="-1"/>
        </w:rPr>
        <w:t>报告期，上述投资账面值即收益情况如下：</w:t>
        <w:tab/>
      </w:r>
      <w:r>
        <w:rPr/>
        <w:t>单位：千元</w:t>
      </w:r>
    </w:p>
    <w:p>
      <w:pPr>
        <w:spacing w:line="240" w:lineRule="auto" w:before="1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265"/>
        <w:gridCol w:w="1225"/>
        <w:gridCol w:w="1054"/>
        <w:gridCol w:w="1126"/>
        <w:gridCol w:w="1195"/>
        <w:gridCol w:w="790"/>
        <w:gridCol w:w="637"/>
        <w:gridCol w:w="943"/>
        <w:gridCol w:w="854"/>
      </w:tblGrid>
      <w:tr>
        <w:trPr>
          <w:trHeight w:val="1385" w:hRule="exact"/>
        </w:trPr>
        <w:tc>
          <w:tcPr>
            <w:tcW w:w="126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7" w:right="413"/>
              <w:jc w:val="both"/>
              <w:rPr>
                <w:rFonts w:ascii="宋体" w:hAnsi="宋体" w:cs="宋体" w:eastAsia="宋体" w:hint="default"/>
                <w:sz w:val="21"/>
                <w:szCs w:val="21"/>
              </w:rPr>
            </w:pPr>
            <w:r>
              <w:rPr>
                <w:rFonts w:ascii="宋体" w:hAnsi="宋体" w:cs="宋体" w:eastAsia="宋体" w:hint="default"/>
                <w:sz w:val="21"/>
                <w:szCs w:val="21"/>
              </w:rPr>
              <w:t>所持</w:t>
            </w:r>
            <w:r>
              <w:rPr>
                <w:rFonts w:ascii="宋体" w:hAnsi="宋体" w:cs="宋体" w:eastAsia="宋体" w:hint="default"/>
                <w:spacing w:val="-103"/>
                <w:sz w:val="21"/>
                <w:szCs w:val="21"/>
              </w:rPr>
              <w:t> </w:t>
            </w:r>
            <w:r>
              <w:rPr>
                <w:rFonts w:ascii="宋体" w:hAnsi="宋体" w:cs="宋体" w:eastAsia="宋体" w:hint="default"/>
                <w:sz w:val="21"/>
                <w:szCs w:val="21"/>
              </w:rPr>
              <w:t>对象</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2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01" w:right="77" w:hanging="420"/>
              <w:jc w:val="left"/>
              <w:rPr>
                <w:rFonts w:ascii="宋体" w:hAnsi="宋体" w:cs="宋体" w:eastAsia="宋体" w:hint="default"/>
                <w:sz w:val="21"/>
                <w:szCs w:val="21"/>
              </w:rPr>
            </w:pPr>
            <w:r>
              <w:rPr>
                <w:rFonts w:ascii="宋体" w:hAnsi="宋体" w:cs="宋体" w:eastAsia="宋体" w:hint="default"/>
                <w:sz w:val="21"/>
                <w:szCs w:val="21"/>
              </w:rPr>
              <w:t>初始投资金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（万股）</w:t>
            </w:r>
          </w:p>
        </w:tc>
        <w:tc>
          <w:tcPr>
            <w:tcW w:w="1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0" w:right="29" w:hanging="209"/>
              <w:jc w:val="left"/>
              <w:rPr>
                <w:rFonts w:ascii="宋体" w:hAnsi="宋体" w:cs="宋体" w:eastAsia="宋体" w:hint="default"/>
                <w:sz w:val="21"/>
                <w:szCs w:val="21"/>
              </w:rPr>
            </w:pPr>
            <w:r>
              <w:rPr>
                <w:rFonts w:ascii="宋体" w:hAnsi="宋体" w:cs="宋体" w:eastAsia="宋体" w:hint="default"/>
                <w:sz w:val="21"/>
                <w:szCs w:val="21"/>
              </w:rPr>
              <w:t>占该公司股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权比例</w:t>
            </w:r>
          </w:p>
        </w:tc>
        <w:tc>
          <w:tcPr>
            <w:tcW w:w="11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1"/>
                <w:sz w:val="21"/>
                <w:szCs w:val="21"/>
              </w:rPr>
              <w:t>期末账面值</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77" w:right="72"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637"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期所</w:t>
            </w:r>
            <w:r>
              <w:rPr>
                <w:rFonts w:ascii="宋体" w:hAnsi="宋体" w:cs="宋体" w:eastAsia="宋体" w:hint="default"/>
                <w:spacing w:val="-103"/>
                <w:sz w:val="21"/>
                <w:szCs w:val="21"/>
              </w:rPr>
              <w:t> </w:t>
            </w:r>
            <w:r>
              <w:rPr>
                <w:rFonts w:ascii="宋体" w:hAnsi="宋体" w:cs="宋体" w:eastAsia="宋体" w:hint="default"/>
                <w:sz w:val="21"/>
                <w:szCs w:val="21"/>
              </w:rPr>
              <w:t>有者</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9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会计核算</w:t>
            </w:r>
            <w:r>
              <w:rPr>
                <w:rFonts w:ascii="宋体" w:hAnsi="宋体" w:cs="宋体" w:eastAsia="宋体" w:hint="default"/>
                <w:w w:val="100"/>
                <w:sz w:val="21"/>
                <w:szCs w:val="21"/>
              </w:rPr>
              <w:t> </w:t>
            </w:r>
            <w:r>
              <w:rPr>
                <w:rFonts w:ascii="宋体" w:hAnsi="宋体" w:cs="宋体" w:eastAsia="宋体" w:hint="default"/>
                <w:sz w:val="21"/>
                <w:szCs w:val="21"/>
              </w:rPr>
              <w:t>科目</w:t>
            </w:r>
          </w:p>
        </w:tc>
        <w:tc>
          <w:tcPr>
            <w:tcW w:w="85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6" w:right="95" w:hanging="212"/>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100" w:hRule="exact"/>
        </w:trPr>
        <w:tc>
          <w:tcPr>
            <w:tcW w:w="126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91" w:right="98"/>
              <w:jc w:val="left"/>
              <w:rPr>
                <w:rFonts w:ascii="宋体" w:hAnsi="宋体" w:cs="宋体" w:eastAsia="宋体" w:hint="default"/>
                <w:sz w:val="21"/>
                <w:szCs w:val="21"/>
              </w:rPr>
            </w:pPr>
            <w:r>
              <w:rPr>
                <w:rFonts w:ascii="宋体" w:hAnsi="宋体" w:cs="宋体" w:eastAsia="宋体" w:hint="default"/>
                <w:sz w:val="21"/>
                <w:szCs w:val="21"/>
              </w:rPr>
              <w:t>江苏银行股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7"/>
              <w:jc w:val="right"/>
              <w:rPr>
                <w:rFonts w:ascii="Times New Roman" w:hAnsi="Times New Roman" w:cs="Times New Roman" w:eastAsia="Times New Roman" w:hint="default"/>
                <w:sz w:val="21"/>
                <w:szCs w:val="21"/>
              </w:rPr>
            </w:pPr>
            <w:r>
              <w:rPr>
                <w:rFonts w:ascii="Times New Roman"/>
                <w:spacing w:val="-1"/>
                <w:sz w:val="21"/>
              </w:rPr>
              <w:t>540,000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z w:val="21"/>
              </w:rPr>
              <w:t>15,000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9"/>
              <w:jc w:val="right"/>
              <w:rPr>
                <w:rFonts w:ascii="Times New Roman" w:hAnsi="Times New Roman" w:cs="Times New Roman" w:eastAsia="Times New Roman" w:hint="default"/>
                <w:sz w:val="21"/>
                <w:szCs w:val="21"/>
              </w:rPr>
            </w:pPr>
            <w:r>
              <w:rPr>
                <w:rFonts w:ascii="Times New Roman"/>
                <w:spacing w:val="-1"/>
                <w:sz w:val="21"/>
              </w:rPr>
              <w:t>540,000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12,000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61" w:right="0"/>
              <w:jc w:val="left"/>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56" w:right="41" w:hanging="209"/>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8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认购</w:t>
            </w:r>
          </w:p>
        </w:tc>
      </w:tr>
      <w:tr>
        <w:trPr>
          <w:trHeight w:val="1102" w:hRule="exact"/>
        </w:trPr>
        <w:tc>
          <w:tcPr>
            <w:tcW w:w="1265"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北京通州国</w:t>
            </w:r>
          </w:p>
          <w:p>
            <w:pPr>
              <w:pStyle w:val="TableParagraph"/>
              <w:spacing w:line="240" w:lineRule="auto"/>
              <w:ind w:left="91" w:right="98"/>
              <w:jc w:val="center"/>
              <w:rPr>
                <w:rFonts w:ascii="宋体" w:hAnsi="宋体" w:cs="宋体" w:eastAsia="宋体" w:hint="default"/>
                <w:sz w:val="21"/>
                <w:szCs w:val="21"/>
              </w:rPr>
            </w:pPr>
            <w:r>
              <w:rPr>
                <w:rFonts w:ascii="宋体" w:hAnsi="宋体" w:cs="宋体" w:eastAsia="宋体" w:hint="default"/>
                <w:sz w:val="21"/>
                <w:szCs w:val="21"/>
              </w:rPr>
              <w:t>开村镇银行</w:t>
            </w:r>
            <w:r>
              <w:rPr>
                <w:rFonts w:ascii="宋体" w:hAnsi="宋体" w:cs="宋体" w:eastAsia="宋体" w:hint="default"/>
                <w:w w:val="100"/>
                <w:sz w:val="21"/>
                <w:szCs w:val="21"/>
              </w:rPr>
              <w:t> </w:t>
            </w:r>
            <w:r>
              <w:rPr>
                <w:rFonts w:ascii="宋体" w:hAnsi="宋体" w:cs="宋体" w:eastAsia="宋体" w:hint="default"/>
                <w:sz w:val="21"/>
                <w:szCs w:val="21"/>
              </w:rPr>
              <w:t>股份有限公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9,000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z w:val="21"/>
              </w:rPr>
              <w:t>900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
              <w:jc w:val="center"/>
              <w:rPr>
                <w:rFonts w:ascii="Times New Roman" w:hAnsi="Times New Roman" w:cs="Times New Roman" w:eastAsia="Times New Roman" w:hint="default"/>
                <w:sz w:val="21"/>
                <w:szCs w:val="21"/>
              </w:rPr>
            </w:pPr>
            <w:r>
              <w:rPr>
                <w:rFonts w:ascii="Times New Roman"/>
                <w:sz w:val="21"/>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z w:val="21"/>
              </w:rPr>
              <w:t>9,000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w w:val="100"/>
                <w:sz w:val="21"/>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61" w:right="0"/>
              <w:jc w:val="left"/>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长期股权</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85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95" w:hanging="212"/>
              <w:jc w:val="left"/>
              <w:rPr>
                <w:rFonts w:ascii="宋体" w:hAnsi="宋体" w:cs="宋体" w:eastAsia="宋体" w:hint="default"/>
                <w:sz w:val="21"/>
                <w:szCs w:val="21"/>
              </w:rPr>
            </w:pPr>
            <w:r>
              <w:rPr>
                <w:rFonts w:ascii="宋体" w:hAnsi="宋体" w:cs="宋体" w:eastAsia="宋体" w:hint="default"/>
                <w:sz w:val="21"/>
                <w:szCs w:val="21"/>
              </w:rPr>
              <w:t>发起设</w:t>
            </w:r>
            <w:r>
              <w:rPr>
                <w:rFonts w:ascii="宋体" w:hAnsi="宋体" w:cs="宋体" w:eastAsia="宋体" w:hint="default"/>
                <w:spacing w:val="-102"/>
                <w:sz w:val="21"/>
                <w:szCs w:val="21"/>
              </w:rPr>
              <w:t> </w:t>
            </w:r>
            <w:r>
              <w:rPr>
                <w:rFonts w:ascii="宋体" w:hAnsi="宋体" w:cs="宋体" w:eastAsia="宋体" w:hint="default"/>
                <w:sz w:val="21"/>
                <w:szCs w:val="21"/>
              </w:rPr>
              <w:t>立</w:t>
            </w:r>
          </w:p>
        </w:tc>
      </w:tr>
      <w:tr>
        <w:trPr>
          <w:trHeight w:val="470" w:hRule="exact"/>
        </w:trPr>
        <w:tc>
          <w:tcPr>
            <w:tcW w:w="126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549,000</w:t>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z w:val="21"/>
              </w:rPr>
              <w:t>15,900</w:t>
            </w:r>
          </w:p>
        </w:tc>
        <w:tc>
          <w:tcPr>
            <w:tcW w:w="1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549,000</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sz w:val="21"/>
              </w:rPr>
              <w:t>12,000</w:t>
            </w:r>
          </w:p>
        </w:tc>
        <w:tc>
          <w:tcPr>
            <w:tcW w:w="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left="261" w:right="0"/>
              <w:jc w:val="left"/>
              <w:rPr>
                <w:rFonts w:ascii="Times New Roman" w:hAnsi="Times New Roman" w:cs="Times New Roman" w:eastAsia="Times New Roman" w:hint="default"/>
                <w:sz w:val="21"/>
                <w:szCs w:val="21"/>
              </w:rPr>
            </w:pPr>
            <w:r>
              <w:rPr>
                <w:rFonts w:ascii="Times New Roman"/>
                <w:w w:val="100"/>
                <w:sz w:val="21"/>
              </w:rPr>
              <w:t>0</w:t>
            </w:r>
          </w:p>
        </w:tc>
        <w:tc>
          <w:tcPr>
            <w:tcW w:w="9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21"/>
                <w:szCs w:val="21"/>
              </w:rPr>
            </w:pPr>
            <w:r>
              <w:rPr>
                <w:rFonts w:ascii="Times New Roman"/>
                <w:w w:val="100"/>
                <w:sz w:val="21"/>
              </w:rPr>
              <w:t>-</w:t>
            </w:r>
          </w:p>
        </w:tc>
        <w:tc>
          <w:tcPr>
            <w:tcW w:w="85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9"/>
              <w:ind w:left="7"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79"/>
        <w:ind w:left="640" w:right="1298"/>
        <w:jc w:val="left"/>
      </w:pPr>
      <w:r>
        <w:rPr/>
        <w:t>四、股权激励事项</w:t>
      </w:r>
    </w:p>
    <w:p>
      <w:pPr>
        <w:pStyle w:val="BodyText"/>
        <w:spacing w:line="240" w:lineRule="auto" w:before="154"/>
        <w:ind w:left="640" w:right="1298"/>
        <w:jc w:val="left"/>
      </w:pPr>
      <w:r>
        <w:rPr>
          <w:rFonts w:ascii="Times New Roman" w:hAnsi="Times New Roman" w:cs="Times New Roman" w:eastAsia="Times New Roman" w:hint="default"/>
        </w:rPr>
        <w:t>1</w:t>
      </w:r>
      <w:r>
        <w:rPr/>
        <w:t>、股权激励计划简述</w:t>
      </w:r>
    </w:p>
    <w:p>
      <w:pPr>
        <w:pStyle w:val="BodyText"/>
        <w:spacing w:line="240" w:lineRule="auto" w:before="136"/>
        <w:ind w:left="640" w:right="1298"/>
        <w:jc w:val="left"/>
      </w:pPr>
      <w:r>
        <w:rPr/>
        <w:t>公司于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日召开第四届董事会第二次会议审议通过了《苏宁电器股份</w:t>
      </w:r>
    </w:p>
    <w:p>
      <w:pPr>
        <w:pStyle w:val="BodyText"/>
        <w:spacing w:line="348" w:lineRule="auto"/>
        <w:ind w:left="160" w:right="1436"/>
        <w:jc w:val="both"/>
      </w:pPr>
      <w:r>
        <w:rPr/>
        <w:t>有限公司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spacing w:val="-15"/>
        </w:rPr>
        <w:t>年股票期权激励计划（草案）》（以下简称“本次期权激励计划草案”），</w:t>
      </w:r>
      <w:r>
        <w:rPr/>
        <w:t> </w:t>
      </w:r>
      <w:r>
        <w:rPr>
          <w:spacing w:val="3"/>
        </w:rPr>
        <w:t>并报中国证券监督管理委员会备案。本次期权激励计划草案获得中国证监会备案通过</w:t>
      </w:r>
      <w:r>
        <w:rPr>
          <w:spacing w:val="-105"/>
        </w:rPr>
        <w:t> </w:t>
      </w:r>
      <w:r>
        <w:rPr>
          <w:spacing w:val="-105"/>
        </w:rPr>
      </w:r>
      <w:r>
        <w:rPr/>
        <w:t>后，公司于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日发出召开</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年第二次临时股东大会通知，审议本次期</w:t>
      </w:r>
    </w:p>
    <w:p>
      <w:pPr>
        <w:pStyle w:val="BodyText"/>
        <w:spacing w:line="338" w:lineRule="auto" w:before="16"/>
        <w:ind w:left="160" w:right="1436"/>
        <w:jc w:val="both"/>
      </w:pPr>
      <w:r>
        <w:rPr/>
        <w:t>权激励计划。</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年第二次临时股东大会审议通过了《</w:t>
      </w:r>
      <w:r>
        <w:rPr>
          <w:rFonts w:ascii="Times New Roman" w:hAnsi="Times New Roman" w:cs="Times New Roman" w:eastAsia="Times New Roman" w:hint="default"/>
        </w:rPr>
        <w:t>2010 </w:t>
      </w:r>
      <w:r>
        <w:rPr>
          <w:spacing w:val="-5"/>
        </w:rPr>
        <w:t>年股票期权激励计划》，本次股票期权激励计划获得批准。</w:t>
      </w:r>
    </w:p>
    <w:p>
      <w:pPr>
        <w:pStyle w:val="BodyText"/>
        <w:spacing w:line="348" w:lineRule="auto" w:before="56"/>
        <w:ind w:left="160" w:right="1434" w:firstLine="480"/>
        <w:jc w:val="both"/>
      </w:pPr>
      <w:r>
        <w:rPr/>
        <w:t>根据公司期权激励计划，公司授予激励对象</w:t>
      </w:r>
      <w:r>
        <w:rPr>
          <w:spacing w:val="-75"/>
        </w:rPr>
        <w:t> </w:t>
      </w:r>
      <w:r>
        <w:rPr>
          <w:rFonts w:ascii="Times New Roman" w:hAnsi="Times New Roman" w:cs="Times New Roman" w:eastAsia="Times New Roman" w:hint="default"/>
        </w:rPr>
        <w:t>8,469</w:t>
      </w:r>
      <w:r>
        <w:rPr>
          <w:rFonts w:ascii="Times New Roman" w:hAnsi="Times New Roman" w:cs="Times New Roman" w:eastAsia="Times New Roman" w:hint="default"/>
          <w:spacing w:val="-15"/>
        </w:rPr>
        <w:t> </w:t>
      </w:r>
      <w:r>
        <w:rPr/>
        <w:t>万份期权，每份股票期权拥有在 </w:t>
      </w:r>
      <w:r>
        <w:rPr>
          <w:spacing w:val="3"/>
        </w:rPr>
        <w:t>激励计划有效期内的可行权日以行权价格和行权条件购买一股苏宁电器股票的权利。</w:t>
      </w:r>
      <w:r>
        <w:rPr>
          <w:spacing w:val="-108"/>
        </w:rPr>
        <w:t> </w:t>
      </w:r>
      <w:r>
        <w:rPr>
          <w:spacing w:val="-108"/>
        </w:rPr>
      </w:r>
      <w:r>
        <w:rPr>
          <w:rFonts w:ascii="Times New Roman" w:hAnsi="Times New Roman" w:cs="Times New Roman" w:eastAsia="Times New Roman" w:hint="default"/>
        </w:rPr>
        <w:t>8,469 </w:t>
      </w:r>
      <w:r>
        <w:rPr/>
        <w:t>万份股票期权标的股票总数占本激励计划批准时公司股本总额的</w:t>
      </w:r>
      <w:r>
        <w:rPr>
          <w:spacing w:val="-61"/>
        </w:rPr>
        <w:t> </w:t>
      </w:r>
      <w:r>
        <w:rPr>
          <w:rFonts w:ascii="Times New Roman" w:hAnsi="Times New Roman" w:cs="Times New Roman" w:eastAsia="Times New Roman" w:hint="default"/>
        </w:rPr>
        <w:t>1.21%</w:t>
      </w:r>
      <w:r>
        <w:rPr/>
        <w:t>。</w:t>
      </w:r>
    </w:p>
    <w:p>
      <w:pPr>
        <w:pStyle w:val="BodyText"/>
        <w:spacing w:line="338" w:lineRule="auto" w:before="16"/>
        <w:ind w:left="640" w:right="1421"/>
        <w:jc w:val="left"/>
      </w:pPr>
      <w:r>
        <w:rPr>
          <w:rFonts w:ascii="Times New Roman" w:hAnsi="Times New Roman" w:cs="Times New Roman" w:eastAsia="Times New Roman" w:hint="default"/>
        </w:rPr>
        <w:t>2</w:t>
      </w:r>
      <w:r>
        <w:rPr/>
        <w:t>、股票期权的授予情况 经公司第四届董事会第六次会议审议，认为公司已符合《</w:t>
      </w:r>
      <w:r>
        <w:rPr>
          <w:rFonts w:ascii="Times New Roman" w:hAnsi="Times New Roman" w:cs="Times New Roman" w:eastAsia="Times New Roman" w:hint="default"/>
        </w:rPr>
        <w:t>2010 </w:t>
      </w:r>
      <w:r>
        <w:rPr>
          <w:rFonts w:ascii="Times New Roman" w:hAnsi="Times New Roman" w:cs="Times New Roman" w:eastAsia="Times New Roman" w:hint="default"/>
          <w:spacing w:val="27"/>
        </w:rPr>
        <w:t> </w:t>
      </w:r>
      <w:r>
        <w:rPr/>
        <w:t>年股票期权激励计</w:t>
      </w:r>
    </w:p>
    <w:p>
      <w:pPr>
        <w:pStyle w:val="BodyText"/>
        <w:spacing w:line="240" w:lineRule="auto" w:before="27"/>
        <w:ind w:left="160" w:right="0"/>
        <w:jc w:val="both"/>
      </w:pPr>
      <w:r>
        <w:rPr/>
        <w:t>划》规定的各项授权条件，确定以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日作为本次股票期权的授权日，向</w:t>
      </w:r>
    </w:p>
    <w:p>
      <w:pPr>
        <w:pStyle w:val="BodyText"/>
        <w:spacing w:line="348" w:lineRule="auto"/>
        <w:ind w:left="160" w:right="1436"/>
        <w:jc w:val="both"/>
      </w:pPr>
      <w:r>
        <w:rPr>
          <w:rFonts w:ascii="Times New Roman" w:hAnsi="Times New Roman" w:cs="Times New Roman" w:eastAsia="Times New Roman" w:hint="default"/>
        </w:rPr>
        <w:t>248</w:t>
      </w:r>
      <w:r>
        <w:rPr>
          <w:rFonts w:ascii="Times New Roman" w:hAnsi="Times New Roman" w:cs="Times New Roman" w:eastAsia="Times New Roman" w:hint="default"/>
          <w:spacing w:val="11"/>
        </w:rPr>
        <w:t> </w:t>
      </w:r>
      <w:r>
        <w:rPr/>
        <w:t>位激励对象授予</w:t>
      </w:r>
      <w:r>
        <w:rPr>
          <w:spacing w:val="-49"/>
        </w:rPr>
        <w:t> </w:t>
      </w:r>
      <w:r>
        <w:rPr>
          <w:rFonts w:ascii="Times New Roman" w:hAnsi="Times New Roman" w:cs="Times New Roman" w:eastAsia="Times New Roman" w:hint="default"/>
        </w:rPr>
        <w:t>8,469</w:t>
      </w:r>
      <w:r>
        <w:rPr>
          <w:rFonts w:ascii="Times New Roman" w:hAnsi="Times New Roman" w:cs="Times New Roman" w:eastAsia="Times New Roman" w:hint="default"/>
          <w:spacing w:val="11"/>
        </w:rPr>
        <w:t> </w:t>
      </w:r>
      <w:r>
        <w:rPr/>
        <w:t>万份股票期权。</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日，经公司第四届董事会第 </w:t>
      </w:r>
      <w:r>
        <w:rPr>
          <w:spacing w:val="-3"/>
        </w:rPr>
        <w:t>十二次会议审议，通过了《关于调整股权激励计划行权价格的议案》，调整后授予股票</w:t>
      </w:r>
      <w:r>
        <w:rPr>
          <w:spacing w:val="-107"/>
        </w:rPr>
        <w:t> </w:t>
      </w:r>
      <w:r>
        <w:rPr>
          <w:spacing w:val="-107"/>
        </w:rPr>
      </w:r>
      <w:r>
        <w:rPr/>
        <w:t>期权行权价格为</w:t>
      </w:r>
      <w:r>
        <w:rPr>
          <w:spacing w:val="-61"/>
        </w:rPr>
        <w:t> </w:t>
      </w:r>
      <w:r>
        <w:rPr>
          <w:rFonts w:ascii="Times New Roman" w:hAnsi="Times New Roman" w:cs="Times New Roman" w:eastAsia="Times New Roman" w:hint="default"/>
        </w:rPr>
        <w:t>14.40 </w:t>
      </w:r>
      <w:r>
        <w:rPr/>
        <w:t>元。报告期内未有激励对象提出股票期权行权申请。</w:t>
      </w:r>
    </w:p>
    <w:p>
      <w:pPr>
        <w:pStyle w:val="BodyText"/>
        <w:spacing w:line="240" w:lineRule="auto" w:before="16"/>
        <w:ind w:left="640" w:right="1298"/>
        <w:jc w:val="left"/>
      </w:pPr>
      <w:r>
        <w:rPr>
          <w:rFonts w:ascii="Times New Roman" w:hAnsi="Times New Roman" w:cs="Times New Roman" w:eastAsia="Times New Roman" w:hint="default"/>
        </w:rPr>
        <w:t>3</w:t>
      </w:r>
      <w:r>
        <w:rPr/>
        <w:t>、公司股票期权的授予对公司本报告期及以后各年度财务状况和经营成果的影响</w:t>
      </w:r>
    </w:p>
    <w:p>
      <w:pPr>
        <w:spacing w:after="0" w:line="240" w:lineRule="auto"/>
        <w:jc w:val="left"/>
        <w:sectPr>
          <w:headerReference w:type="default" r:id="rId56"/>
          <w:footerReference w:type="default" r:id="rId57"/>
          <w:pgSz w:w="11910" w:h="16840"/>
          <w:pgMar w:header="748" w:footer="1320" w:top="980" w:bottom="1500" w:left="1280" w:right="0"/>
        </w:sectPr>
      </w:pPr>
    </w:p>
    <w:p>
      <w:pPr>
        <w:spacing w:line="240" w:lineRule="auto" w:before="6"/>
        <w:rPr>
          <w:rFonts w:ascii="宋体" w:hAnsi="宋体" w:cs="宋体" w:eastAsia="宋体" w:hint="default"/>
          <w:sz w:val="29"/>
          <w:szCs w:val="29"/>
        </w:rPr>
      </w:pPr>
    </w:p>
    <w:p>
      <w:pPr>
        <w:pStyle w:val="BodyText"/>
        <w:spacing w:line="338" w:lineRule="auto" w:before="26"/>
        <w:ind w:left="240" w:right="1426"/>
        <w:jc w:val="left"/>
      </w:pPr>
      <w:r>
        <w:rPr/>
        <w:t>定，公司选择布莱特</w:t>
      </w:r>
      <w:r>
        <w:rPr>
          <w:rFonts w:ascii="Times New Roman" w:hAnsi="Times New Roman" w:cs="Times New Roman" w:eastAsia="Times New Roman" w:hint="default"/>
        </w:rPr>
        <w:t>-</w:t>
      </w:r>
      <w:r>
        <w:rPr/>
        <w:t>斯科尔期权定价模型，并以确定的授权日</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日的收 盘价等数据为参数对公司的股票期权的公允价值进行了测算。</w:t>
      </w:r>
    </w:p>
    <w:p>
      <w:pPr>
        <w:pStyle w:val="BodyText"/>
        <w:spacing w:line="348" w:lineRule="auto" w:before="55"/>
        <w:ind w:left="240" w:right="1437" w:firstLine="480"/>
        <w:jc w:val="both"/>
      </w:pPr>
      <w:r>
        <w:rPr/>
        <w:t>公司激励计划的股票期权公允价值为</w:t>
      </w:r>
      <w:r>
        <w:rPr>
          <w:spacing w:val="-59"/>
        </w:rPr>
        <w:t> </w:t>
      </w:r>
      <w:r>
        <w:rPr>
          <w:rFonts w:ascii="Times New Roman" w:hAnsi="Times New Roman" w:cs="Times New Roman" w:eastAsia="Times New Roman" w:hint="default"/>
        </w:rPr>
        <w:t>39,464.45</w:t>
      </w:r>
      <w:r>
        <w:rPr>
          <w:rFonts w:ascii="Times New Roman" w:hAnsi="Times New Roman" w:cs="Times New Roman" w:eastAsia="Times New Roman" w:hint="default"/>
          <w:spacing w:val="1"/>
        </w:rPr>
        <w:t> </w:t>
      </w:r>
      <w:r>
        <w:rPr>
          <w:spacing w:val="-11"/>
        </w:rPr>
        <w:t>万元，在授予日起的</w:t>
      </w:r>
      <w:r>
        <w:rPr>
          <w:spacing w:val="-59"/>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个月内摊销 </w:t>
      </w:r>
      <w:r>
        <w:rPr>
          <w:spacing w:val="-3"/>
        </w:rPr>
        <w:t>完毕。假设全部激励对象均符合本计划规定的行权条件且在各行权期内全部行权，则每</w:t>
      </w:r>
      <w:r>
        <w:rPr>
          <w:spacing w:val="-98"/>
        </w:rPr>
        <w:t> </w:t>
      </w:r>
      <w:r>
        <w:rPr>
          <w:spacing w:val="-98"/>
        </w:rPr>
      </w:r>
      <w:r>
        <w:rPr/>
        <w:t>年的期权成本摊销情况以及对公司相关年度的财务指标影响如下：</w:t>
      </w:r>
    </w:p>
    <w:p>
      <w:pPr>
        <w:spacing w:line="240" w:lineRule="auto" w:before="8"/>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014"/>
        <w:gridCol w:w="1234"/>
        <w:gridCol w:w="1522"/>
        <w:gridCol w:w="1598"/>
        <w:gridCol w:w="1402"/>
        <w:gridCol w:w="1476"/>
      </w:tblGrid>
      <w:tr>
        <w:trPr>
          <w:trHeight w:val="535" w:hRule="exact"/>
        </w:trPr>
        <w:tc>
          <w:tcPr>
            <w:tcW w:w="2014" w:type="dxa"/>
            <w:tcBorders>
              <w:top w:val="single" w:sz="12" w:space="0" w:color="000000"/>
              <w:left w:val="single" w:sz="12" w:space="0" w:color="000000"/>
              <w:bottom w:val="single" w:sz="8" w:space="0" w:color="000000"/>
              <w:right w:val="single" w:sz="8" w:space="0" w:color="000000"/>
            </w:tcBorders>
          </w:tcPr>
          <w:p>
            <w:pPr/>
          </w:p>
        </w:tc>
        <w:tc>
          <w:tcPr>
            <w:tcW w:w="12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52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9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4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6"/>
              <w:ind w:left="3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6"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86"/>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r>
      <w:tr>
        <w:trPr>
          <w:trHeight w:val="613" w:hRule="exact"/>
        </w:trPr>
        <w:tc>
          <w:tcPr>
            <w:tcW w:w="2014" w:type="dxa"/>
            <w:tcBorders>
              <w:top w:val="single" w:sz="8" w:space="0" w:color="000000"/>
              <w:left w:val="single" w:sz="12" w:space="0" w:color="000000"/>
              <w:bottom w:val="single" w:sz="12"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期权成本摊销</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sz w:val="21"/>
                <w:szCs w:val="21"/>
              </w:rPr>
              <w:t>（万元）</w:t>
            </w:r>
          </w:p>
        </w:tc>
        <w:tc>
          <w:tcPr>
            <w:tcW w:w="12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6"/>
              <w:ind w:left="382" w:right="0"/>
              <w:jc w:val="left"/>
              <w:rPr>
                <w:rFonts w:ascii="Times New Roman" w:hAnsi="Times New Roman" w:cs="Times New Roman" w:eastAsia="Times New Roman" w:hint="default"/>
                <w:sz w:val="21"/>
                <w:szCs w:val="21"/>
              </w:rPr>
            </w:pPr>
            <w:r>
              <w:rPr>
                <w:rFonts w:ascii="Times New Roman"/>
                <w:sz w:val="21"/>
              </w:rPr>
              <w:t>1,454.25</w:t>
            </w:r>
          </w:p>
        </w:tc>
        <w:tc>
          <w:tcPr>
            <w:tcW w:w="15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6"/>
              <w:ind w:left="563" w:right="0"/>
              <w:jc w:val="left"/>
              <w:rPr>
                <w:rFonts w:ascii="Times New Roman" w:hAnsi="Times New Roman" w:cs="Times New Roman" w:eastAsia="Times New Roman" w:hint="default"/>
                <w:sz w:val="21"/>
                <w:szCs w:val="21"/>
              </w:rPr>
            </w:pPr>
            <w:r>
              <w:rPr>
                <w:rFonts w:ascii="Times New Roman"/>
                <w:sz w:val="21"/>
              </w:rPr>
              <w:t>16,966.55</w:t>
            </w:r>
          </w:p>
        </w:tc>
        <w:tc>
          <w:tcPr>
            <w:tcW w:w="159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6"/>
              <w:ind w:left="647" w:right="0"/>
              <w:jc w:val="left"/>
              <w:rPr>
                <w:rFonts w:ascii="Times New Roman" w:hAnsi="Times New Roman" w:cs="Times New Roman" w:eastAsia="Times New Roman" w:hint="default"/>
                <w:sz w:val="21"/>
                <w:szCs w:val="21"/>
              </w:rPr>
            </w:pPr>
            <w:r>
              <w:rPr>
                <w:rFonts w:ascii="Times New Roman"/>
                <w:sz w:val="21"/>
              </w:rPr>
              <w:t>11,256.52</w:t>
            </w:r>
          </w:p>
        </w:tc>
        <w:tc>
          <w:tcPr>
            <w:tcW w:w="14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6"/>
              <w:ind w:left="547" w:right="0"/>
              <w:jc w:val="left"/>
              <w:rPr>
                <w:rFonts w:ascii="Times New Roman" w:hAnsi="Times New Roman" w:cs="Times New Roman" w:eastAsia="Times New Roman" w:hint="default"/>
                <w:sz w:val="21"/>
                <w:szCs w:val="21"/>
              </w:rPr>
            </w:pPr>
            <w:r>
              <w:rPr>
                <w:rFonts w:ascii="Times New Roman"/>
                <w:sz w:val="21"/>
              </w:rPr>
              <w:t>6,755.65</w:t>
            </w:r>
          </w:p>
        </w:tc>
        <w:tc>
          <w:tcPr>
            <w:tcW w:w="1476"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66"/>
              <w:ind w:left="621" w:right="0"/>
              <w:jc w:val="left"/>
              <w:rPr>
                <w:rFonts w:ascii="Times New Roman" w:hAnsi="Times New Roman" w:cs="Times New Roman" w:eastAsia="Times New Roman" w:hint="default"/>
                <w:sz w:val="21"/>
                <w:szCs w:val="21"/>
              </w:rPr>
            </w:pPr>
            <w:r>
              <w:rPr>
                <w:rFonts w:ascii="Times New Roman"/>
                <w:sz w:val="21"/>
              </w:rPr>
              <w:t>3,031.47</w:t>
            </w:r>
          </w:p>
        </w:tc>
      </w:tr>
    </w:tbl>
    <w:p>
      <w:pPr>
        <w:spacing w:line="285" w:lineRule="exact" w:before="0"/>
        <w:ind w:left="720" w:right="3386" w:firstLine="0"/>
        <w:jc w:val="left"/>
        <w:rPr>
          <w:rFonts w:ascii="宋体" w:hAnsi="宋体" w:cs="宋体" w:eastAsia="宋体" w:hint="default"/>
          <w:sz w:val="24"/>
          <w:szCs w:val="24"/>
        </w:rPr>
      </w:pPr>
      <w:r>
        <w:rPr>
          <w:rFonts w:ascii="宋体" w:hAnsi="宋体" w:cs="宋体" w:eastAsia="宋体" w:hint="default"/>
          <w:sz w:val="24"/>
          <w:szCs w:val="24"/>
        </w:rPr>
        <w:t>报告期内，公司计提该项费用</w:t>
      </w:r>
      <w:r>
        <w:rPr>
          <w:rFonts w:ascii="宋体" w:hAnsi="宋体" w:cs="宋体" w:eastAsia="宋体" w:hint="default"/>
          <w:spacing w:val="-60"/>
          <w:sz w:val="24"/>
          <w:szCs w:val="24"/>
        </w:rPr>
        <w:t> </w:t>
      </w:r>
      <w:r>
        <w:rPr>
          <w:rFonts w:ascii="Times New Roman" w:hAnsi="Times New Roman" w:cs="Times New Roman" w:eastAsia="Times New Roman" w:hint="default"/>
          <w:sz w:val="21"/>
          <w:szCs w:val="21"/>
        </w:rPr>
        <w:t>16,966.55 </w:t>
      </w:r>
      <w:r>
        <w:rPr>
          <w:rFonts w:ascii="宋体" w:hAnsi="宋体" w:cs="宋体" w:eastAsia="宋体" w:hint="default"/>
          <w:sz w:val="24"/>
          <w:szCs w:val="24"/>
        </w:rPr>
        <w:t>万元。</w:t>
      </w:r>
    </w:p>
    <w:p>
      <w:pPr>
        <w:pStyle w:val="BodyText"/>
        <w:spacing w:line="240" w:lineRule="auto" w:before="142"/>
        <w:ind w:left="720" w:right="3386"/>
        <w:jc w:val="left"/>
      </w:pPr>
      <w:r>
        <w:rPr/>
        <w:t>五、重大关联交易</w:t>
      </w:r>
    </w:p>
    <w:p>
      <w:pPr>
        <w:pStyle w:val="BodyText"/>
        <w:spacing w:line="240" w:lineRule="auto" w:before="154"/>
        <w:ind w:left="720" w:right="3386"/>
        <w:jc w:val="left"/>
      </w:pPr>
      <w:r>
        <w:rPr>
          <w:rFonts w:ascii="Times New Roman" w:hAnsi="Times New Roman" w:cs="Times New Roman" w:eastAsia="Times New Roman" w:hint="default"/>
        </w:rPr>
        <w:t>1</w:t>
      </w:r>
      <w:r>
        <w:rPr/>
        <w:t>、商标使用许可协议</w:t>
      </w:r>
    </w:p>
    <w:p>
      <w:pPr>
        <w:pStyle w:val="BodyText"/>
        <w:spacing w:line="350" w:lineRule="auto"/>
        <w:ind w:left="240" w:right="1434"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日，经公司</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年年度股东大会审议通过了关于《商标使用许可 </w:t>
      </w:r>
      <w:r>
        <w:rPr>
          <w:spacing w:val="-3"/>
        </w:rPr>
        <w:t>的议案》，同意许可公司第二大发起人股东苏宁电器集团有限公司及其全资、控股子公</w:t>
      </w:r>
      <w:r>
        <w:rPr>
          <w:spacing w:val="-107"/>
        </w:rPr>
        <w:t> </w:t>
      </w:r>
      <w:r>
        <w:rPr>
          <w:spacing w:val="-107"/>
        </w:rPr>
      </w:r>
      <w:r>
        <w:rPr>
          <w:spacing w:val="-3"/>
        </w:rPr>
        <w:t>司和具有实际控制权的公司使用公司已注册的部分“蘇寧”系列注册商标以及部分“苏</w:t>
      </w:r>
      <w:r>
        <w:rPr>
          <w:spacing w:val="-100"/>
        </w:rPr>
        <w:t> </w:t>
      </w:r>
      <w:r>
        <w:rPr>
          <w:spacing w:val="-100"/>
        </w:rPr>
      </w:r>
      <w:r>
        <w:rPr/>
        <w:t>宁”及“</w:t>
      </w:r>
      <w:r>
        <w:rPr>
          <w:rFonts w:ascii="Times New Roman" w:hAnsi="Times New Roman" w:cs="Times New Roman" w:eastAsia="Times New Roman" w:hint="default"/>
        </w:rPr>
        <w:t>NS</w:t>
      </w:r>
      <w:r>
        <w:rPr/>
        <w:t>”组合的系列注册商标。若在后期的经营活动中，苏宁电器集团有限公司</w:t>
      </w:r>
      <w:r>
        <w:rPr>
          <w:spacing w:val="-51"/>
        </w:rPr>
        <w:t> </w:t>
      </w:r>
      <w:r>
        <w:rPr>
          <w:spacing w:val="-51"/>
        </w:rPr>
      </w:r>
      <w:r>
        <w:rPr>
          <w:spacing w:val="-3"/>
        </w:rPr>
        <w:t>及其全资、控股子公司和具有实际控制权的公司需要使用许可使用商标的延申商标，公</w:t>
      </w:r>
      <w:r>
        <w:rPr>
          <w:spacing w:val="-98"/>
        </w:rPr>
        <w:t> </w:t>
      </w:r>
      <w:r>
        <w:rPr>
          <w:spacing w:val="-98"/>
        </w:rPr>
      </w:r>
      <w:r>
        <w:rPr/>
        <w:t>司可代为申请注册，并许可其使用。</w:t>
      </w:r>
    </w:p>
    <w:p>
      <w:pPr>
        <w:pStyle w:val="BodyText"/>
        <w:spacing w:line="343" w:lineRule="auto" w:before="43"/>
        <w:ind w:left="240" w:right="1434" w:firstLine="48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日，经公司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年年度股东大会审议通过了关于《商标使用许可 </w:t>
      </w:r>
      <w:r>
        <w:rPr>
          <w:spacing w:val="-5"/>
        </w:rPr>
        <w:t>的议案》，许可苏宁电器集团有限公司及其直接或间接持有</w:t>
      </w:r>
      <w:r>
        <w:rPr>
          <w:spacing w:val="-55"/>
        </w:rPr>
        <w:t> </w:t>
      </w:r>
      <w:r>
        <w:rPr>
          <w:rFonts w:ascii="Times New Roman" w:hAnsi="Times New Roman" w:cs="Times New Roman" w:eastAsia="Times New Roman" w:hint="default"/>
          <w:spacing w:val="-1"/>
        </w:rPr>
        <w:t>20%</w:t>
      </w:r>
      <w:r>
        <w:rPr>
          <w:spacing w:val="-1"/>
        </w:rPr>
        <w:t>以上（含</w:t>
      </w:r>
      <w:r>
        <w:rPr>
          <w:spacing w:val="-56"/>
        </w:rPr>
        <w:t> </w:t>
      </w:r>
      <w:r>
        <w:rPr>
          <w:rFonts w:ascii="Times New Roman" w:hAnsi="Times New Roman" w:cs="Times New Roman" w:eastAsia="Times New Roman" w:hint="default"/>
          <w:spacing w:val="-1"/>
        </w:rPr>
        <w:t>20%</w:t>
      </w:r>
      <w:r>
        <w:rPr>
          <w:spacing w:val="-1"/>
        </w:rPr>
        <w:t>）股份的</w:t>
      </w:r>
      <w:r>
        <w:rPr/>
        <w:t> </w:t>
      </w:r>
      <w:r>
        <w:rPr>
          <w:spacing w:val="-3"/>
        </w:rPr>
        <w:t>公司（以下简称“子公司”）使用公司已注册的部分“苏宁”以及“苏宁”的汉语拼音</w:t>
      </w:r>
      <w:r>
        <w:rPr>
          <w:spacing w:val="-107"/>
        </w:rPr>
        <w:t> </w:t>
      </w:r>
      <w:r>
        <w:rPr>
          <w:spacing w:val="-107"/>
        </w:rPr>
      </w:r>
      <w:r>
        <w:rPr>
          <w:spacing w:val="-1"/>
        </w:rPr>
        <w:t>“</w:t>
      </w:r>
      <w:r>
        <w:rPr>
          <w:rFonts w:ascii="Times New Roman" w:hAnsi="Times New Roman" w:cs="Times New Roman" w:eastAsia="Times New Roman" w:hint="default"/>
          <w:spacing w:val="-1"/>
        </w:rPr>
        <w:t>SUNING</w:t>
      </w:r>
      <w:r>
        <w:rPr>
          <w:spacing w:val="-1"/>
        </w:rPr>
        <w:t>”系列商标。若在后期的经营活动中，苏宁电器集团有限公司及其子公司需</w:t>
      </w:r>
      <w:r>
        <w:rPr/>
        <w:t> 要使用许可使用商标的延申商标，公司可代为申请注册，并许可其使用。</w:t>
      </w:r>
    </w:p>
    <w:p>
      <w:pPr>
        <w:pStyle w:val="BodyText"/>
        <w:spacing w:line="338" w:lineRule="auto" w:before="50"/>
        <w:ind w:left="240" w:right="1437" w:firstLine="480"/>
        <w:jc w:val="both"/>
      </w:pPr>
      <w:r>
        <w:rPr>
          <w:spacing w:val="-4"/>
        </w:rPr>
        <w:t>本报告期内，苏宁电器集团有限公司向公司支付了 </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 </w:t>
      </w:r>
      <w:r>
        <w:rPr/>
        <w:t>年度商标使用许可 费</w:t>
      </w:r>
      <w:r>
        <w:rPr>
          <w:spacing w:val="-60"/>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万元。</w:t>
      </w:r>
    </w:p>
    <w:p>
      <w:pPr>
        <w:pStyle w:val="BodyText"/>
        <w:spacing w:line="240" w:lineRule="auto" w:before="27"/>
        <w:ind w:left="648" w:right="3386"/>
        <w:jc w:val="left"/>
      </w:pPr>
      <w:r>
        <w:rPr>
          <w:rFonts w:ascii="Times New Roman" w:hAnsi="Times New Roman" w:cs="Times New Roman" w:eastAsia="Times New Roman" w:hint="default"/>
        </w:rPr>
        <w:t>2</w:t>
      </w:r>
      <w:r>
        <w:rPr/>
        <w:t>、关联双方共同投资</w:t>
      </w:r>
    </w:p>
    <w:p>
      <w:pPr>
        <w:pStyle w:val="BodyText"/>
        <w:spacing w:line="338" w:lineRule="auto"/>
        <w:ind w:left="240" w:right="1430" w:firstLine="408"/>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日，公司及境外全资子公司</w:t>
      </w:r>
      <w:r>
        <w:rPr>
          <w:spacing w:val="-63"/>
        </w:rPr>
        <w:t> </w:t>
      </w:r>
      <w:r>
        <w:rPr>
          <w:rFonts w:ascii="Times New Roman" w:hAnsi="Times New Roman" w:cs="Times New Roman" w:eastAsia="Times New Roman" w:hint="default"/>
        </w:rPr>
        <w:t>GRANDA</w:t>
      </w:r>
      <w:r>
        <w:rPr>
          <w:rFonts w:ascii="Times New Roman" w:hAnsi="Times New Roman" w:cs="Times New Roman" w:eastAsia="Times New Roman" w:hint="default"/>
          <w:spacing w:val="18"/>
        </w:rPr>
        <w:t> </w:t>
      </w:r>
      <w:r>
        <w:rPr>
          <w:rFonts w:ascii="Times New Roman" w:hAnsi="Times New Roman" w:cs="Times New Roman" w:eastAsia="Times New Roman" w:hint="default"/>
        </w:rPr>
        <w:t>MAGIC</w:t>
      </w:r>
      <w:r>
        <w:rPr>
          <w:rFonts w:ascii="Times New Roman" w:hAnsi="Times New Roman" w:cs="Times New Roman" w:eastAsia="Times New Roman" w:hint="default"/>
          <w:spacing w:val="34"/>
        </w:rPr>
        <w:t> </w:t>
      </w:r>
      <w:r>
        <w:rPr>
          <w:rFonts w:ascii="Times New Roman" w:hAnsi="Times New Roman" w:cs="Times New Roman" w:eastAsia="Times New Roman" w:hint="default"/>
        </w:rPr>
        <w:t>LIMITED</w:t>
      </w:r>
      <w:r>
        <w:rPr/>
        <w:t>（以</w:t>
      </w:r>
      <w:r>
        <w:rPr>
          <w:w w:val="99"/>
        </w:rPr>
        <w:t> </w:t>
      </w:r>
      <w:r>
        <w:rPr>
          <w:spacing w:val="1"/>
          <w:w w:val="99"/>
        </w:rPr>
        <w:t>下简称“</w:t>
      </w:r>
      <w:r>
        <w:rPr>
          <w:rFonts w:ascii="Times New Roman" w:hAnsi="Times New Roman" w:cs="Times New Roman" w:eastAsia="Times New Roman" w:hint="default"/>
          <w:spacing w:val="1"/>
          <w:w w:val="99"/>
        </w:rPr>
        <w:t>MAGIC</w:t>
      </w:r>
      <w:r>
        <w:rPr>
          <w:spacing w:val="1"/>
          <w:w w:val="99"/>
        </w:rPr>
        <w:t>”）、苏宁电器集团有限公司及境外子公司——</w:t>
      </w:r>
      <w:r>
        <w:rPr>
          <w:rFonts w:ascii="Times New Roman" w:hAnsi="Times New Roman" w:cs="Times New Roman" w:eastAsia="Times New Roman" w:hint="default"/>
          <w:spacing w:val="1"/>
          <w:w w:val="99"/>
        </w:rPr>
        <w:t>GRANDA</w:t>
      </w:r>
      <w:r>
        <w:rPr>
          <w:rFonts w:ascii="Times New Roman" w:hAnsi="Times New Roman" w:cs="Times New Roman" w:eastAsia="Times New Roman" w:hint="default"/>
          <w:spacing w:val="24"/>
          <w:w w:val="99"/>
        </w:rPr>
        <w:t> </w:t>
      </w:r>
      <w:r>
        <w:rPr>
          <w:rFonts w:ascii="Times New Roman" w:hAnsi="Times New Roman" w:cs="Times New Roman" w:eastAsia="Times New Roman" w:hint="default"/>
          <w:spacing w:val="-1"/>
          <w:w w:val="99"/>
        </w:rPr>
        <w:t>GALAXY</w:t>
      </w:r>
      <w:r>
        <w:rPr>
          <w:rFonts w:ascii="Times New Roman" w:hAnsi="Times New Roman" w:cs="Times New Roman" w:eastAsia="Times New Roman" w:hint="default"/>
          <w:spacing w:val="-56"/>
          <w:w w:val="99"/>
        </w:rPr>
        <w:t> </w:t>
      </w:r>
      <w:r>
        <w:rPr>
          <w:rFonts w:ascii="Times New Roman" w:hAnsi="Times New Roman" w:cs="Times New Roman" w:eastAsia="Times New Roman" w:hint="default"/>
          <w:spacing w:val="-56"/>
          <w:w w:val="99"/>
        </w:rPr>
      </w:r>
      <w:r>
        <w:rPr>
          <w:rFonts w:ascii="Times New Roman" w:hAnsi="Times New Roman" w:cs="Times New Roman" w:eastAsia="Times New Roman" w:hint="default"/>
          <w:spacing w:val="-12"/>
          <w:w w:val="99"/>
        </w:rPr>
        <w:t>LIMITED</w:t>
      </w:r>
      <w:r>
        <w:rPr>
          <w:spacing w:val="-12"/>
          <w:w w:val="99"/>
        </w:rPr>
        <w:t>（以下简称“</w:t>
      </w:r>
      <w:r>
        <w:rPr>
          <w:rFonts w:ascii="Times New Roman" w:hAnsi="Times New Roman" w:cs="Times New Roman" w:eastAsia="Times New Roman" w:hint="default"/>
          <w:spacing w:val="-12"/>
          <w:w w:val="99"/>
        </w:rPr>
        <w:t>GALAXY</w:t>
      </w:r>
      <w:r>
        <w:rPr>
          <w:spacing w:val="-12"/>
          <w:w w:val="99"/>
        </w:rPr>
        <w:t>”）共同参与日本</w:t>
      </w:r>
      <w:r>
        <w:rPr>
          <w:w w:val="99"/>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35"/>
          <w:w w:val="99"/>
        </w:rPr>
        <w:t> </w:t>
      </w:r>
      <w:r>
        <w:rPr>
          <w:spacing w:val="-23"/>
          <w:w w:val="99"/>
        </w:rPr>
        <w:t>株式会社（以下简称“</w:t>
      </w:r>
      <w:r>
        <w:rPr>
          <w:rFonts w:ascii="Times New Roman" w:hAnsi="Times New Roman" w:cs="Times New Roman" w:eastAsia="Times New Roman" w:hint="default"/>
          <w:spacing w:val="-23"/>
          <w:w w:val="99"/>
        </w:rPr>
        <w:t>LAOX</w:t>
      </w:r>
      <w:r>
        <w:rPr>
          <w:spacing w:val="-23"/>
          <w:w w:val="99"/>
        </w:rPr>
        <w:t>”）</w:t>
      </w:r>
      <w:r>
        <w:rPr>
          <w:w w:val="99"/>
        </w:rPr>
      </w:r>
    </w:p>
    <w:p>
      <w:pPr>
        <w:pStyle w:val="BodyText"/>
        <w:spacing w:line="338" w:lineRule="auto" w:before="27"/>
        <w:ind w:left="240" w:right="1385"/>
        <w:jc w:val="left"/>
        <w:rPr>
          <w:rFonts w:ascii="Times New Roman" w:hAnsi="Times New Roman" w:cs="Times New Roman" w:eastAsia="Times New Roman" w:hint="default"/>
        </w:rPr>
      </w:pPr>
      <w:r>
        <w:rPr>
          <w:spacing w:val="-1"/>
        </w:rPr>
        <w:t>定向发行事宜，并与</w:t>
      </w:r>
      <w:r>
        <w:rPr/>
        <w:t> </w:t>
      </w:r>
      <w:r>
        <w:rPr>
          <w:rFonts w:ascii="Times New Roman" w:hAnsi="Times New Roman" w:cs="Times New Roman" w:eastAsia="Times New Roman" w:hint="default"/>
          <w:spacing w:val="-1"/>
          <w:w w:val="99"/>
        </w:rPr>
        <w:t>LAOX</w:t>
      </w:r>
      <w:r>
        <w:rPr>
          <w:rFonts w:ascii="Times New Roman" w:hAnsi="Times New Roman" w:cs="Times New Roman" w:eastAsia="Times New Roman" w:hint="default"/>
          <w:spacing w:val="-34"/>
          <w:w w:val="99"/>
        </w:rPr>
        <w:t> </w:t>
      </w:r>
      <w:r>
        <w:rPr>
          <w:spacing w:val="-22"/>
        </w:rPr>
        <w:t>签署《资本及业务合作合同书》（以下简称“《合同书》”）。</w:t>
      </w:r>
      <w:r>
        <w:rPr/>
        <w:t> 根据《合同书》约定，</w:t>
      </w:r>
      <w:r>
        <w:rPr>
          <w:rFonts w:ascii="Times New Roman" w:hAnsi="Times New Roman" w:cs="Times New Roman" w:eastAsia="Times New Roman" w:hint="default"/>
        </w:rPr>
        <w:t>LAOX </w:t>
      </w:r>
      <w:r>
        <w:rPr/>
        <w:t>计划向 </w:t>
      </w:r>
      <w:r>
        <w:rPr>
          <w:rFonts w:ascii="Times New Roman" w:hAnsi="Times New Roman" w:cs="Times New Roman" w:eastAsia="Times New Roman" w:hint="default"/>
        </w:rPr>
        <w:t>MAGIC  </w:t>
      </w:r>
      <w:r>
        <w:rPr/>
        <w:t>及 </w:t>
      </w:r>
      <w:r>
        <w:rPr>
          <w:rFonts w:ascii="Times New Roman" w:hAnsi="Times New Roman" w:cs="Times New Roman" w:eastAsia="Times New Roman" w:hint="default"/>
        </w:rPr>
        <w:t>GALAXY </w:t>
      </w:r>
      <w:r>
        <w:rPr/>
        <w:t>定向发行共计</w:t>
      </w:r>
      <w:r>
        <w:rPr>
          <w:spacing w:val="-56"/>
        </w:rPr>
        <w:t> </w:t>
      </w:r>
      <w:r>
        <w:rPr>
          <w:rFonts w:ascii="Times New Roman" w:hAnsi="Times New Roman" w:cs="Times New Roman" w:eastAsia="Times New Roman" w:hint="default"/>
        </w:rPr>
        <w:t>257,143,000</w:t>
      </w:r>
    </w:p>
    <w:p>
      <w:pPr>
        <w:spacing w:after="0" w:line="338" w:lineRule="auto"/>
        <w:jc w:val="left"/>
        <w:rPr>
          <w:rFonts w:ascii="Times New Roman" w:hAnsi="Times New Roman" w:cs="Times New Roman" w:eastAsia="Times New Roman" w:hint="default"/>
        </w:rPr>
        <w:sectPr>
          <w:footerReference w:type="default" r:id="rId58"/>
          <w:pgSz w:w="11910" w:h="16840"/>
          <w:pgMar w:footer="1320" w:header="748" w:top="980" w:bottom="1500" w:left="120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0"/>
        <w:jc w:val="both"/>
        <w:rPr>
          <w:rFonts w:ascii="Times New Roman" w:hAnsi="Times New Roman" w:cs="Times New Roman" w:eastAsia="Times New Roman" w:hint="default"/>
        </w:rPr>
      </w:pPr>
      <w:r>
        <w:rPr/>
        <w:t>币</w:t>
      </w:r>
      <w:r>
        <w:rPr>
          <w:spacing w:val="-120"/>
        </w:rPr>
        <w:t>，</w:t>
      </w:r>
      <w:r>
        <w:rPr/>
        <w:t>按照</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65"/>
        </w:rPr>
        <w:t> </w:t>
      </w:r>
      <w:r>
        <w:rPr>
          <w:rFonts w:ascii="Times New Roman" w:hAnsi="Times New Roman" w:cs="Times New Roman" w:eastAsia="Times New Roman" w:hint="default"/>
        </w:rPr>
        <w:t>6  </w:t>
      </w:r>
      <w:r>
        <w:rPr/>
        <w:t>月</w:t>
      </w:r>
      <w:r>
        <w:rPr>
          <w:spacing w:val="-6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日国家外汇管理局</w:t>
      </w:r>
      <w:r>
        <w:rPr>
          <w:spacing w:val="2"/>
        </w:rPr>
        <w:t>公</w:t>
      </w:r>
      <w:r>
        <w:rPr/>
        <w:t>布的日元兑人民币汇率中间价</w:t>
      </w:r>
      <w:r>
        <w:rPr>
          <w:spacing w:val="-64"/>
        </w:rPr>
        <w:t> </w:t>
      </w:r>
      <w:r>
        <w:rPr>
          <w:rFonts w:ascii="Times New Roman" w:hAnsi="Times New Roman" w:cs="Times New Roman" w:eastAsia="Times New Roman" w:hint="default"/>
        </w:rPr>
        <w:t>100</w:t>
      </w:r>
      <w:r>
        <w:rPr>
          <w:spacing w:val="-120"/>
        </w:rPr>
        <w:t>：</w:t>
      </w:r>
      <w:r>
        <w:rPr>
          <w:rFonts w:ascii="Times New Roman" w:hAnsi="Times New Roman" w:cs="Times New Roman" w:eastAsia="Times New Roman" w:hint="default"/>
        </w:rPr>
        <w:t>8.0151</w:t>
      </w:r>
    </w:p>
    <w:p>
      <w:pPr>
        <w:pStyle w:val="BodyText"/>
        <w:spacing w:line="240" w:lineRule="auto"/>
        <w:ind w:right="0"/>
        <w:jc w:val="both"/>
      </w:pPr>
      <w:r>
        <w:rPr>
          <w:spacing w:val="6"/>
        </w:rPr>
        <w:t>计算，下同</w:t>
      </w:r>
      <w:r>
        <w:rPr>
          <w:spacing w:val="-113"/>
        </w:rPr>
        <w:t>）</w:t>
      </w:r>
      <w:r>
        <w:rPr>
          <w:spacing w:val="6"/>
        </w:rPr>
        <w:t>；其中</w:t>
      </w:r>
      <w:r>
        <w:rPr>
          <w:spacing w:val="9"/>
        </w:rPr>
        <w:t>，</w:t>
      </w:r>
      <w:r>
        <w:rPr>
          <w:rFonts w:ascii="Times New Roman" w:hAnsi="Times New Roman" w:cs="Times New Roman" w:eastAsia="Times New Roman" w:hint="default"/>
          <w:w w:val="99"/>
        </w:rPr>
        <w:t>MA</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spacing w:val="-6"/>
          <w:w w:val="99"/>
        </w:rPr>
        <w:t>I</w:t>
      </w:r>
      <w:r>
        <w:rPr>
          <w:rFonts w:ascii="Times New Roman" w:hAnsi="Times New Roman" w:cs="Times New Roman" w:eastAsia="Times New Roman" w:hint="default"/>
          <w:w w:val="99"/>
        </w:rPr>
        <w:t>C </w:t>
      </w:r>
      <w:r>
        <w:rPr>
          <w:rFonts w:ascii="Times New Roman" w:hAnsi="Times New Roman" w:cs="Times New Roman" w:eastAsia="Times New Roman" w:hint="default"/>
          <w:spacing w:val="8"/>
          <w:w w:val="99"/>
        </w:rPr>
        <w:t> </w:t>
      </w:r>
      <w:r>
        <w:rPr>
          <w:spacing w:val="7"/>
          <w:w w:val="99"/>
        </w:rPr>
        <w:t>出</w:t>
      </w:r>
      <w:r>
        <w:rPr>
          <w:w w:val="99"/>
        </w:rPr>
        <w:t>资</w:t>
      </w:r>
      <w:r>
        <w:rPr>
          <w:spacing w:val="7"/>
          <w:w w:val="99"/>
        </w:rPr>
        <w:t> </w:t>
      </w:r>
      <w:r>
        <w:rPr>
          <w:rFonts w:ascii="Times New Roman" w:hAnsi="Times New Roman" w:cs="Times New Roman" w:eastAsia="Times New Roman" w:hint="default"/>
          <w:w w:val="99"/>
        </w:rPr>
        <w:t>6,273,2</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w w:val="99"/>
        </w:rPr>
        <w:t>5,000 </w:t>
      </w:r>
      <w:r>
        <w:rPr>
          <w:rFonts w:ascii="Times New Roman" w:hAnsi="Times New Roman" w:cs="Times New Roman" w:eastAsia="Times New Roman" w:hint="default"/>
          <w:spacing w:val="7"/>
          <w:w w:val="99"/>
        </w:rPr>
        <w:t> </w:t>
      </w:r>
      <w:r>
        <w:rPr>
          <w:spacing w:val="7"/>
          <w:w w:val="99"/>
        </w:rPr>
        <w:t>日元（</w:t>
      </w:r>
      <w:r>
        <w:rPr>
          <w:w w:val="99"/>
        </w:rPr>
        <w:t>约</w:t>
      </w:r>
      <w:r>
        <w:rPr>
          <w:spacing w:val="7"/>
          <w:w w:val="99"/>
        </w:rPr>
        <w:t> </w:t>
      </w:r>
      <w:r>
        <w:rPr>
          <w:rFonts w:ascii="Times New Roman" w:hAnsi="Times New Roman" w:cs="Times New Roman" w:eastAsia="Times New Roman" w:hint="default"/>
          <w:w w:val="99"/>
        </w:rPr>
        <w:t>5.03 </w:t>
      </w:r>
      <w:r>
        <w:rPr>
          <w:rFonts w:ascii="Times New Roman" w:hAnsi="Times New Roman" w:cs="Times New Roman" w:eastAsia="Times New Roman" w:hint="default"/>
          <w:spacing w:val="7"/>
          <w:w w:val="99"/>
        </w:rPr>
        <w:t> </w:t>
      </w:r>
      <w:r>
        <w:rPr>
          <w:spacing w:val="7"/>
          <w:w w:val="99"/>
        </w:rPr>
        <w:t>亿元人民币）认购</w:t>
      </w:r>
      <w:r>
        <w:rPr/>
      </w:r>
    </w:p>
    <w:p>
      <w:pPr>
        <w:pStyle w:val="BodyText"/>
        <w:spacing w:line="240" w:lineRule="auto"/>
        <w:ind w:right="0"/>
        <w:jc w:val="both"/>
      </w:pPr>
      <w:r>
        <w:rPr>
          <w:rFonts w:ascii="Times New Roman" w:hAnsi="Times New Roman" w:cs="Times New Roman" w:eastAsia="Times New Roman" w:hint="default"/>
        </w:rPr>
        <w:t>179,235,000  </w:t>
      </w:r>
      <w:r>
        <w:rPr/>
        <w:t>股股份，</w:t>
      </w:r>
      <w:r>
        <w:rPr>
          <w:rFonts w:ascii="Times New Roman" w:hAnsi="Times New Roman" w:cs="Times New Roman" w:eastAsia="Times New Roman" w:hint="default"/>
        </w:rPr>
        <w:t>GALAXY  </w:t>
      </w:r>
      <w:r>
        <w:rPr/>
        <w:t>出资 </w:t>
      </w:r>
      <w:r>
        <w:rPr>
          <w:rFonts w:ascii="Times New Roman" w:hAnsi="Times New Roman" w:cs="Times New Roman" w:eastAsia="Times New Roman" w:hint="default"/>
        </w:rPr>
        <w:t>2,726,780,000  </w:t>
      </w:r>
      <w:r>
        <w:rPr/>
        <w:t>日元（约 </w:t>
      </w:r>
      <w:r>
        <w:rPr>
          <w:rFonts w:ascii="Times New Roman" w:hAnsi="Times New Roman" w:cs="Times New Roman" w:eastAsia="Times New Roman" w:hint="default"/>
        </w:rPr>
        <w:t>2.19</w:t>
      </w:r>
      <w:r>
        <w:rPr>
          <w:rFonts w:ascii="Times New Roman" w:hAnsi="Times New Roman" w:cs="Times New Roman" w:eastAsia="Times New Roman" w:hint="default"/>
          <w:spacing w:val="34"/>
        </w:rPr>
        <w:t> </w:t>
      </w:r>
      <w:r>
        <w:rPr/>
        <w:t>亿元人民币）认购</w:t>
      </w:r>
    </w:p>
    <w:p>
      <w:pPr>
        <w:pStyle w:val="BodyText"/>
        <w:spacing w:line="340" w:lineRule="auto"/>
        <w:ind w:right="1433"/>
        <w:jc w:val="both"/>
      </w:pPr>
      <w:r>
        <w:rPr>
          <w:rFonts w:ascii="Times New Roman" w:hAnsi="Times New Roman" w:cs="Times New Roman" w:eastAsia="Times New Roman" w:hint="default"/>
        </w:rPr>
        <w:t>77,908,000 </w:t>
      </w:r>
      <w:r>
        <w:rPr>
          <w:spacing w:val="-19"/>
          <w:w w:val="99"/>
        </w:rPr>
        <w:t>股股份（以上简称“本次向发行”）。发行完成后，</w:t>
      </w:r>
      <w:r>
        <w:rPr>
          <w:rFonts w:ascii="Times New Roman" w:hAnsi="Times New Roman" w:cs="Times New Roman" w:eastAsia="Times New Roman" w:hint="default"/>
          <w:spacing w:val="-19"/>
          <w:w w:val="99"/>
        </w:rPr>
        <w:t>LAOX</w:t>
      </w:r>
      <w:r>
        <w:rPr>
          <w:rFonts w:ascii="Times New Roman" w:hAnsi="Times New Roman" w:cs="Times New Roman" w:eastAsia="Times New Roman" w:hint="default"/>
          <w:spacing w:val="5"/>
          <w:w w:val="99"/>
        </w:rPr>
        <w:t> </w:t>
      </w:r>
      <w:r>
        <w:rPr>
          <w:spacing w:val="-8"/>
        </w:rPr>
        <w:t>发行在外普通股（扣</w:t>
      </w:r>
      <w:r>
        <w:rPr/>
        <w:t> 除库存股，下同）总股本增加至</w:t>
      </w:r>
      <w:r>
        <w:rPr>
          <w:spacing w:val="-61"/>
        </w:rPr>
        <w:t> </w:t>
      </w:r>
      <w:r>
        <w:rPr>
          <w:rFonts w:ascii="Times New Roman" w:hAnsi="Times New Roman" w:cs="Times New Roman" w:eastAsia="Times New Roman" w:hint="default"/>
        </w:rPr>
        <w:t>544,813,774</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MAGIC</w:t>
      </w:r>
      <w:r>
        <w:rPr>
          <w:rFonts w:ascii="Times New Roman" w:hAnsi="Times New Roman" w:cs="Times New Roman" w:eastAsia="Times New Roman" w:hint="default"/>
          <w:spacing w:val="58"/>
        </w:rPr>
        <w:t> </w:t>
      </w:r>
      <w:r>
        <w:rPr/>
        <w:t>将持有</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发行在外普通 股</w:t>
      </w:r>
      <w:r>
        <w:rPr>
          <w:spacing w:val="-49"/>
        </w:rPr>
        <w:t> </w:t>
      </w:r>
      <w:r>
        <w:rPr>
          <w:rFonts w:ascii="Times New Roman" w:hAnsi="Times New Roman" w:cs="Times New Roman" w:eastAsia="Times New Roman" w:hint="default"/>
        </w:rPr>
        <w:t>51%</w:t>
      </w:r>
      <w:r>
        <w:rPr/>
        <w:t>的股权，仍为</w:t>
      </w:r>
      <w:r>
        <w:rPr>
          <w:spacing w:val="-46"/>
        </w:rPr>
        <w:t> </w:t>
      </w:r>
      <w:r>
        <w:rPr>
          <w:rFonts w:ascii="Times New Roman" w:hAnsi="Times New Roman" w:cs="Times New Roman" w:eastAsia="Times New Roman" w:hint="default"/>
        </w:rPr>
        <w:t>LAOX</w:t>
      </w:r>
      <w:r>
        <w:rPr>
          <w:rFonts w:ascii="Times New Roman" w:hAnsi="Times New Roman" w:cs="Times New Roman" w:eastAsia="Times New Roman" w:hint="default"/>
          <w:spacing w:val="57"/>
        </w:rPr>
        <w:t> </w:t>
      </w:r>
      <w:r>
        <w:rPr/>
        <w:t>的第一大股东；</w:t>
      </w:r>
      <w:r>
        <w:rPr>
          <w:rFonts w:ascii="Times New Roman" w:hAnsi="Times New Roman" w:cs="Times New Roman" w:eastAsia="Times New Roman" w:hint="default"/>
        </w:rPr>
        <w:t>GALAXY</w:t>
      </w:r>
      <w:r>
        <w:rPr>
          <w:rFonts w:ascii="Times New Roman" w:hAnsi="Times New Roman" w:cs="Times New Roman" w:eastAsia="Times New Roman" w:hint="default"/>
          <w:spacing w:val="10"/>
        </w:rPr>
        <w:t> </w:t>
      </w:r>
      <w:r>
        <w:rPr/>
        <w:t>将持有</w:t>
      </w:r>
      <w:r>
        <w:rPr>
          <w:spacing w:val="-47"/>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1"/>
        </w:rPr>
        <w:t> </w:t>
      </w:r>
      <w:r>
        <w:rPr/>
        <w:t>发行在外普通股 </w:t>
      </w:r>
      <w:r>
        <w:rPr>
          <w:rFonts w:ascii="Times New Roman" w:hAnsi="Times New Roman" w:cs="Times New Roman" w:eastAsia="Times New Roman" w:hint="default"/>
          <w:spacing w:val="-3"/>
        </w:rPr>
        <w:t>14.3%</w:t>
      </w:r>
      <w:r>
        <w:rPr>
          <w:spacing w:val="-3"/>
        </w:rPr>
        <w:t>的股权，为</w:t>
      </w:r>
      <w:r>
        <w:rPr>
          <w:spacing w:val="-73"/>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5"/>
        </w:rPr>
        <w:t> </w:t>
      </w:r>
      <w:r>
        <w:rPr/>
        <w:t>的第二大股东。本次关联交易获得公司第四届董事会第十四次 </w:t>
      </w:r>
      <w:r>
        <w:rPr>
          <w:spacing w:val="-3"/>
        </w:rPr>
        <w:t>会议非关联董事审议通过，公司独立董事也就本次交易进行了事前审核，并发表了独立</w:t>
      </w:r>
      <w:r>
        <w:rPr>
          <w:spacing w:val="-98"/>
        </w:rPr>
        <w:t> </w:t>
      </w:r>
      <w:r>
        <w:rPr>
          <w:spacing w:val="-98"/>
        </w:rPr>
      </w:r>
      <w:r>
        <w:rPr/>
        <w:t>意见。</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月，本次非公开发行事项获得</w:t>
      </w:r>
      <w:r>
        <w:rPr>
          <w:spacing w:val="-54"/>
        </w:rPr>
        <w:t> </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股东大会及中日两国相关政府部 门审批通过。</w:t>
      </w:r>
    </w:p>
    <w:p>
      <w:pPr>
        <w:pStyle w:val="BodyText"/>
        <w:spacing w:line="240" w:lineRule="auto" w:before="53"/>
        <w:ind w:left="680" w:right="1314"/>
        <w:jc w:val="left"/>
      </w:pPr>
      <w:r>
        <w:rPr>
          <w:rFonts w:ascii="Times New Roman" w:hAnsi="Times New Roman" w:cs="Times New Roman" w:eastAsia="Times New Roman" w:hint="default"/>
        </w:rPr>
        <w:t>3</w:t>
      </w:r>
      <w:r>
        <w:rPr/>
        <w:t>、租赁协议</w:t>
      </w:r>
    </w:p>
    <w:p>
      <w:pPr>
        <w:pStyle w:val="BodyText"/>
        <w:spacing w:line="240" w:lineRule="auto" w:before="104"/>
        <w:ind w:left="548" w:right="1314"/>
        <w:jc w:val="left"/>
      </w:pPr>
      <w:r>
        <w:rPr>
          <w:spacing w:val="-1"/>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日，公司签署《房屋租赁合同</w:t>
      </w:r>
      <w:r>
        <w:rPr>
          <w:spacing w:val="-120"/>
        </w:rPr>
        <w:t>》</w:t>
      </w:r>
      <w:r>
        <w:rPr/>
        <w:t>，承租苏宁电器集团有限公司</w:t>
      </w:r>
    </w:p>
    <w:p>
      <w:pPr>
        <w:pStyle w:val="BodyText"/>
        <w:spacing w:line="240" w:lineRule="auto" w:before="104"/>
        <w:ind w:right="0"/>
        <w:jc w:val="both"/>
      </w:pPr>
      <w:r>
        <w:rPr/>
        <w:t>位于南京市淮海路</w:t>
      </w:r>
      <w:r>
        <w:rPr>
          <w:spacing w:val="-58"/>
        </w:rPr>
        <w:t> </w:t>
      </w:r>
      <w:r>
        <w:rPr>
          <w:rFonts w:ascii="Times New Roman" w:hAnsi="Times New Roman" w:cs="Times New Roman" w:eastAsia="Times New Roman" w:hint="default"/>
        </w:rPr>
        <w:t>68</w:t>
      </w:r>
      <w:r>
        <w:rPr>
          <w:rFonts w:ascii="Times New Roman" w:hAnsi="Times New Roman" w:cs="Times New Roman" w:eastAsia="Times New Roman" w:hint="default"/>
          <w:spacing w:val="3"/>
        </w:rPr>
        <w:t> </w:t>
      </w:r>
      <w:r>
        <w:rPr>
          <w:spacing w:val="-3"/>
        </w:rPr>
        <w:t>号的苏宁电器大厦，租赁面积约为</w:t>
      </w:r>
      <w:r>
        <w:rPr>
          <w:spacing w:val="-57"/>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3"/>
        </w:rPr>
        <w:t> </w:t>
      </w:r>
      <w:r>
        <w:rPr/>
        <w:t>平方米作为商场和办公</w:t>
      </w:r>
    </w:p>
    <w:p>
      <w:pPr>
        <w:pStyle w:val="BodyText"/>
        <w:spacing w:line="240" w:lineRule="auto" w:before="104"/>
        <w:ind w:right="0"/>
        <w:jc w:val="both"/>
        <w:rPr>
          <w:rFonts w:ascii="Times New Roman" w:hAnsi="Times New Roman" w:cs="Times New Roman" w:eastAsia="Times New Roman" w:hint="default"/>
        </w:rPr>
      </w:pPr>
      <w:r>
        <w:rPr/>
        <w:t>用房</w:t>
      </w:r>
      <w:r>
        <w:rPr>
          <w:spacing w:val="-101"/>
        </w:rPr>
        <w:t>，</w:t>
      </w:r>
      <w:r>
        <w:rPr/>
        <w:t>租赁期自</w:t>
      </w:r>
      <w:r>
        <w:rPr>
          <w:spacing w:val="-61"/>
        </w:rPr>
        <w:t> </w:t>
      </w:r>
      <w:r>
        <w:rPr>
          <w:rFonts w:ascii="Times New Roman" w:hAnsi="Times New Roman" w:cs="Times New Roman" w:eastAsia="Times New Roman" w:hint="default"/>
        </w:rPr>
        <w:t>2002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r>
        <w:rPr>
          <w:spacing w:val="-101"/>
        </w:rPr>
        <w:t>，</w:t>
      </w:r>
      <w:r>
        <w:rPr/>
        <w:t>第一年租金为人民币</w:t>
      </w:r>
      <w:r>
        <w:rPr>
          <w:spacing w:val="-60"/>
        </w:rPr>
        <w:t> </w:t>
      </w:r>
      <w:r>
        <w:rPr>
          <w:rFonts w:ascii="Times New Roman" w:hAnsi="Times New Roman" w:cs="Times New Roman" w:eastAsia="Times New Roman" w:hint="default"/>
        </w:rPr>
        <w:t>1,200</w:t>
      </w:r>
    </w:p>
    <w:p>
      <w:pPr>
        <w:pStyle w:val="BodyText"/>
        <w:spacing w:line="240" w:lineRule="auto" w:before="105"/>
        <w:ind w:right="0"/>
        <w:jc w:val="both"/>
      </w:pPr>
      <w:r>
        <w:rPr/>
        <w:t>万元人民币，以后每年递增</w:t>
      </w:r>
      <w:r>
        <w:rPr>
          <w:spacing w:val="-61"/>
        </w:rPr>
        <w:t> </w:t>
      </w:r>
      <w:r>
        <w:rPr>
          <w:rFonts w:ascii="Times New Roman" w:hAnsi="Times New Roman" w:cs="Times New Roman" w:eastAsia="Times New Roman" w:hint="default"/>
        </w:rPr>
        <w:t>2%</w:t>
      </w:r>
      <w:r>
        <w:rPr/>
        <w:t>。</w:t>
      </w:r>
    </w:p>
    <w:p>
      <w:pPr>
        <w:pStyle w:val="BodyText"/>
        <w:spacing w:line="240" w:lineRule="auto" w:before="104"/>
        <w:ind w:left="548" w:right="0"/>
        <w:jc w:val="left"/>
      </w:pPr>
      <w:r>
        <w:rPr>
          <w:spacing w:val="-1"/>
        </w:rPr>
        <w:t>（</w:t>
      </w:r>
      <w:r>
        <w:rPr>
          <w:rFonts w:ascii="Times New Roman" w:hAnsi="Times New Roman" w:cs="Times New Roman" w:eastAsia="Times New Roman" w:hint="default"/>
        </w:rPr>
        <w:t>2</w:t>
      </w:r>
      <w:r>
        <w:rPr>
          <w:spacing w:val="-68"/>
        </w:rPr>
        <w:t>）</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 </w:t>
      </w:r>
      <w:r>
        <w:rPr/>
        <w:t>日</w:t>
      </w:r>
      <w:r>
        <w:rPr>
          <w:spacing w:val="-65"/>
        </w:rPr>
        <w:t>，</w:t>
      </w:r>
      <w:r>
        <w:rPr/>
        <w:t>公司与苏宁电器集团有限公司签订</w:t>
      </w:r>
      <w:r>
        <w:rPr>
          <w:spacing w:val="-68"/>
        </w:rPr>
        <w:t>了</w:t>
      </w:r>
      <w:r>
        <w:rPr/>
        <w:t>《房屋租赁补充协议</w:t>
      </w:r>
      <w:r>
        <w:rPr>
          <w:spacing w:val="-120"/>
        </w:rPr>
        <w:t>》</w:t>
      </w:r>
      <w:r>
        <w:rPr/>
        <w:t>，</w:t>
      </w:r>
    </w:p>
    <w:p>
      <w:pPr>
        <w:pStyle w:val="BodyText"/>
        <w:spacing w:line="240" w:lineRule="auto" w:before="104"/>
        <w:ind w:right="0"/>
        <w:jc w:val="both"/>
        <w:rPr>
          <w:rFonts w:ascii="Times New Roman" w:hAnsi="Times New Roman" w:cs="Times New Roman" w:eastAsia="Times New Roman" w:hint="default"/>
        </w:rPr>
      </w:pPr>
      <w:r>
        <w:rPr/>
        <w:t>增租苏宁电器大厦共计</w:t>
      </w:r>
      <w:r>
        <w:rPr>
          <w:spacing w:val="-55"/>
        </w:rPr>
        <w:t> </w:t>
      </w:r>
      <w:r>
        <w:rPr>
          <w:rFonts w:ascii="Times New Roman" w:hAnsi="Times New Roman" w:cs="Times New Roman" w:eastAsia="Times New Roman" w:hint="default"/>
        </w:rPr>
        <w:t>4,400</w:t>
      </w:r>
      <w:r>
        <w:rPr>
          <w:rFonts w:ascii="Times New Roman" w:hAnsi="Times New Roman" w:cs="Times New Roman" w:eastAsia="Times New Roman" w:hint="default"/>
          <w:spacing w:val="4"/>
        </w:rPr>
        <w:t> </w:t>
      </w:r>
      <w:r>
        <w:rPr/>
        <w:t>平方米的建筑面积，租赁期自</w:t>
      </w:r>
      <w:r>
        <w:rPr>
          <w:spacing w:val="-5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56"/>
        </w:rPr>
        <w:t> </w:t>
      </w:r>
      <w:r>
        <w:rPr>
          <w:rFonts w:ascii="Times New Roman" w:hAnsi="Times New Roman" w:cs="Times New Roman" w:eastAsia="Times New Roman" w:hint="default"/>
          <w:spacing w:val="-3"/>
        </w:rPr>
        <w:t>2011</w:t>
      </w:r>
    </w:p>
    <w:p>
      <w:pPr>
        <w:pStyle w:val="BodyText"/>
        <w:spacing w:line="240" w:lineRule="auto" w:before="104"/>
        <w:ind w:right="0"/>
        <w:jc w:val="both"/>
      </w:pP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日止，第一年租金总额为人民币</w:t>
      </w:r>
      <w:r>
        <w:rPr>
          <w:spacing w:val="-60"/>
        </w:rPr>
        <w:t> </w:t>
      </w:r>
      <w:r>
        <w:rPr>
          <w:rFonts w:ascii="Times New Roman" w:hAnsi="Times New Roman" w:cs="Times New Roman" w:eastAsia="Times New Roman" w:hint="default"/>
        </w:rPr>
        <w:t>320</w:t>
      </w:r>
      <w:r>
        <w:rPr>
          <w:rFonts w:ascii="Times New Roman" w:hAnsi="Times New Roman" w:cs="Times New Roman" w:eastAsia="Times New Roman" w:hint="default"/>
          <w:spacing w:val="-1"/>
        </w:rPr>
        <w:t> </w:t>
      </w:r>
      <w:r>
        <w:rPr/>
        <w:t>万元，以后每年递增</w:t>
      </w:r>
      <w:r>
        <w:rPr>
          <w:spacing w:val="-61"/>
        </w:rPr>
        <w:t> </w:t>
      </w:r>
      <w:r>
        <w:rPr>
          <w:rFonts w:ascii="Times New Roman" w:hAnsi="Times New Roman" w:cs="Times New Roman" w:eastAsia="Times New Roman" w:hint="default"/>
        </w:rPr>
        <w:t>2%</w:t>
      </w:r>
      <w:r>
        <w:rPr/>
        <w:t>。</w:t>
      </w:r>
    </w:p>
    <w:p>
      <w:pPr>
        <w:pStyle w:val="BodyText"/>
        <w:spacing w:line="240" w:lineRule="auto" w:before="104"/>
        <w:ind w:left="548" w:right="1314"/>
        <w:jc w:val="left"/>
      </w:pPr>
      <w:r>
        <w:rPr>
          <w:spacing w:val="-1"/>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日，公司与苏宁电器集团有限公司签订了《房屋租赁协议</w:t>
      </w:r>
      <w:r>
        <w:rPr>
          <w:spacing w:val="-120"/>
        </w:rPr>
        <w:t>》</w:t>
      </w:r>
      <w:r>
        <w:rPr/>
        <w:t>，</w:t>
      </w:r>
    </w:p>
    <w:p>
      <w:pPr>
        <w:pStyle w:val="BodyText"/>
        <w:spacing w:line="240" w:lineRule="auto" w:before="104"/>
        <w:ind w:right="0"/>
        <w:jc w:val="both"/>
      </w:pPr>
      <w:r>
        <w:rPr/>
        <w:t>租赁苏宁电器大厦建筑面积共计约</w:t>
      </w:r>
      <w:r>
        <w:rPr>
          <w:spacing w:val="-49"/>
        </w:rPr>
        <w:t> </w:t>
      </w:r>
      <w:r>
        <w:rPr>
          <w:rFonts w:ascii="Times New Roman" w:hAnsi="Times New Roman" w:cs="Times New Roman" w:eastAsia="Times New Roman" w:hint="default"/>
        </w:rPr>
        <w:t>1,300</w:t>
      </w:r>
      <w:r>
        <w:rPr>
          <w:rFonts w:ascii="Times New Roman" w:hAnsi="Times New Roman" w:cs="Times New Roman" w:eastAsia="Times New Roman" w:hint="default"/>
          <w:spacing w:val="11"/>
        </w:rPr>
        <w:t> </w:t>
      </w:r>
      <w:r>
        <w:rPr/>
        <w:t>平方米的房屋。租赁期自</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w:t>
      </w:r>
    </w:p>
    <w:p>
      <w:pPr>
        <w:pStyle w:val="BodyText"/>
        <w:spacing w:line="240" w:lineRule="auto" w:before="104"/>
        <w:ind w:right="0"/>
        <w:jc w:val="both"/>
      </w:pPr>
      <w:r>
        <w:rPr/>
        <w:t>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日止，第一年租金总额为</w:t>
      </w:r>
      <w:r>
        <w:rPr>
          <w:spacing w:val="-59"/>
        </w:rPr>
        <w:t> </w:t>
      </w:r>
      <w:r>
        <w:rPr>
          <w:rFonts w:ascii="Times New Roman" w:hAnsi="Times New Roman" w:cs="Times New Roman" w:eastAsia="Times New Roman" w:hint="default"/>
          <w:spacing w:val="-4"/>
        </w:rPr>
        <w:t>110</w:t>
      </w:r>
      <w:r>
        <w:rPr>
          <w:rFonts w:ascii="Times New Roman" w:hAnsi="Times New Roman" w:cs="Times New Roman" w:eastAsia="Times New Roman" w:hint="default"/>
        </w:rPr>
        <w:t> </w:t>
      </w:r>
      <w:r>
        <w:rPr/>
        <w:t>万元，以后每年递增</w:t>
      </w:r>
      <w:r>
        <w:rPr>
          <w:spacing w:val="-60"/>
        </w:rPr>
        <w:t> </w:t>
      </w:r>
      <w:r>
        <w:rPr>
          <w:rFonts w:ascii="Times New Roman" w:hAnsi="Times New Roman" w:cs="Times New Roman" w:eastAsia="Times New Roman" w:hint="default"/>
        </w:rPr>
        <w:t>2%</w:t>
      </w:r>
      <w:r>
        <w:rPr/>
        <w:t>。</w:t>
      </w:r>
    </w:p>
    <w:p>
      <w:pPr>
        <w:pStyle w:val="BodyText"/>
        <w:spacing w:line="240" w:lineRule="auto" w:before="105"/>
        <w:ind w:left="548" w:right="131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日，公司与苏宁电器集团有限公司签署退租协议，一致同意因</w:t>
      </w:r>
    </w:p>
    <w:p>
      <w:pPr>
        <w:pStyle w:val="BodyText"/>
        <w:spacing w:line="240" w:lineRule="auto" w:before="104"/>
        <w:ind w:right="0"/>
        <w:jc w:val="both"/>
      </w:pPr>
      <w:r>
        <w:rPr/>
        <w:t>办公地点变更提前解除</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日签署的《房屋租赁合同</w:t>
      </w:r>
      <w:r>
        <w:rPr>
          <w:spacing w:val="-120"/>
        </w:rPr>
        <w:t>》</w:t>
      </w:r>
      <w:r>
        <w:rPr/>
        <w:t>，终止租赁南京市淮</w:t>
      </w:r>
    </w:p>
    <w:p>
      <w:pPr>
        <w:pStyle w:val="BodyText"/>
        <w:spacing w:line="240" w:lineRule="auto" w:before="104"/>
        <w:ind w:right="0"/>
        <w:jc w:val="both"/>
      </w:pPr>
      <w:r>
        <w:rPr/>
        <w:t>海路</w:t>
      </w:r>
      <w:r>
        <w:rPr>
          <w:spacing w:val="-60"/>
        </w:rPr>
        <w:t> </w:t>
      </w:r>
      <w:r>
        <w:rPr>
          <w:rFonts w:ascii="Times New Roman" w:hAnsi="Times New Roman" w:cs="Times New Roman" w:eastAsia="Times New Roman" w:hint="default"/>
        </w:rPr>
        <w:t>68</w:t>
      </w:r>
      <w:r>
        <w:rPr>
          <w:rFonts w:ascii="Times New Roman" w:hAnsi="Times New Roman" w:cs="Times New Roman" w:eastAsia="Times New Roman" w:hint="default"/>
          <w:spacing w:val="-1"/>
        </w:rPr>
        <w:t> </w:t>
      </w:r>
      <w:r>
        <w:rPr/>
        <w:t>号共计</w:t>
      </w:r>
      <w:r>
        <w:rPr>
          <w:spacing w:val="-60"/>
        </w:rPr>
        <w:t> </w:t>
      </w:r>
      <w:r>
        <w:rPr>
          <w:rFonts w:ascii="Times New Roman" w:hAnsi="Times New Roman" w:cs="Times New Roman" w:eastAsia="Times New Roman" w:hint="default"/>
        </w:rPr>
        <w:t>3,894 </w:t>
      </w:r>
      <w:r>
        <w:rPr/>
        <w:t>平方米的办公用房，继续租赁共计</w:t>
      </w:r>
      <w:r>
        <w:rPr>
          <w:spacing w:val="-60"/>
        </w:rPr>
        <w:t> </w:t>
      </w:r>
      <w:r>
        <w:rPr>
          <w:rFonts w:ascii="Times New Roman" w:hAnsi="Times New Roman" w:cs="Times New Roman" w:eastAsia="Times New Roman" w:hint="default"/>
        </w:rPr>
        <w:t>8,125 </w:t>
      </w:r>
      <w:r>
        <w:rPr/>
        <w:t>平方米商业用房。</w:t>
      </w:r>
    </w:p>
    <w:p>
      <w:pPr>
        <w:pStyle w:val="BodyText"/>
        <w:spacing w:line="240" w:lineRule="auto" w:before="104"/>
        <w:ind w:left="548" w:right="1314"/>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日，公司与苏宁电器集团有限公司签署退租协议，一致同意因办公地</w:t>
      </w:r>
    </w:p>
    <w:p>
      <w:pPr>
        <w:pStyle w:val="BodyText"/>
        <w:spacing w:line="314" w:lineRule="auto" w:before="104"/>
        <w:ind w:right="1419"/>
        <w:jc w:val="left"/>
      </w:pPr>
      <w:r>
        <w:rPr/>
        <w:t>点变更提前解除</w:t>
      </w:r>
      <w:r>
        <w:rPr>
          <w:spacing w:val="-61"/>
        </w:rPr>
        <w:t> </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 </w:t>
      </w:r>
      <w:r>
        <w:rPr/>
        <w:t>日签署</w:t>
      </w:r>
      <w:r>
        <w:rPr>
          <w:spacing w:val="-15"/>
        </w:rPr>
        <w:t>的</w:t>
      </w:r>
      <w:r>
        <w:rPr/>
        <w:t>《房屋租赁补充协议</w:t>
      </w:r>
      <w:r>
        <w:rPr>
          <w:spacing w:val="-120"/>
        </w:rPr>
        <w:t>》</w:t>
      </w:r>
      <w:r>
        <w:rPr>
          <w:spacing w:val="-15"/>
        </w:rPr>
        <w:t>，</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19 </w:t>
      </w:r>
      <w:r>
        <w:rPr/>
        <w:t>日签署 的《房屋租赁协议</w:t>
      </w:r>
      <w:r>
        <w:rPr>
          <w:spacing w:val="-120"/>
        </w:rPr>
        <w:t>》</w:t>
      </w:r>
      <w:r>
        <w:rPr/>
        <w:t>。</w:t>
      </w:r>
    </w:p>
    <w:p>
      <w:pPr>
        <w:pStyle w:val="BodyText"/>
        <w:spacing w:line="345" w:lineRule="auto" w:before="48"/>
        <w:ind w:right="1437" w:firstLine="408"/>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日，公司、苏宁电器集团有限公司、公司全资子公司南京白下苏宁电</w:t>
      </w:r>
      <w:r>
        <w:rPr/>
        <w:t> </w:t>
      </w:r>
      <w:r>
        <w:rPr>
          <w:spacing w:val="-9"/>
        </w:rPr>
        <w:t>器有限公司（以下简称“白下苏宁”）签署《合同主体变更三方协议》，同意由白下苏宁</w:t>
      </w:r>
      <w:r>
        <w:rPr>
          <w:spacing w:val="-107"/>
        </w:rPr>
        <w:t> </w:t>
      </w:r>
      <w:r>
        <w:rPr>
          <w:spacing w:val="-107"/>
        </w:rPr>
      </w:r>
      <w:r>
        <w:rPr/>
        <w:t>自</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日起承接《房屋租赁合同》中公司有关的各项权利义务，合同条款内 容不变。</w:t>
      </w:r>
    </w:p>
    <w:p>
      <w:pPr>
        <w:pStyle w:val="BodyText"/>
        <w:spacing w:line="240" w:lineRule="auto" w:before="48"/>
        <w:ind w:left="548" w:right="1314"/>
        <w:jc w:val="left"/>
      </w:pPr>
      <w:r>
        <w:rPr>
          <w:spacing w:val="-12"/>
        </w:rPr>
        <w:t>（</w:t>
      </w:r>
      <w:r>
        <w:rPr>
          <w:rFonts w:ascii="Times New Roman" w:hAnsi="Times New Roman" w:cs="Times New Roman" w:eastAsia="Times New Roman" w:hint="default"/>
          <w:spacing w:val="-12"/>
        </w:rPr>
        <w:t>5</w:t>
      </w:r>
      <w:r>
        <w:rPr>
          <w:spacing w:val="-12"/>
        </w:rPr>
        <w:t>）</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9"/>
        </w:rPr>
        <w:t>日，公司与江苏苏宁银河国际购物广场有限公司（以下简称“苏</w:t>
      </w:r>
    </w:p>
    <w:p>
      <w:pPr>
        <w:spacing w:after="0" w:line="240" w:lineRule="auto"/>
        <w:jc w:val="left"/>
        <w:sectPr>
          <w:footerReference w:type="default" r:id="rId59"/>
          <w:pgSz w:w="11910" w:h="16840"/>
          <w:pgMar w:footer="907" w:header="748" w:top="980" w:bottom="1100" w:left="1300" w:right="0"/>
          <w:pgNumType w:start="84"/>
        </w:sectPr>
      </w:pPr>
    </w:p>
    <w:p>
      <w:pPr>
        <w:spacing w:line="240" w:lineRule="auto" w:before="6"/>
        <w:rPr>
          <w:rFonts w:ascii="宋体" w:hAnsi="宋体" w:cs="宋体" w:eastAsia="宋体" w:hint="default"/>
          <w:sz w:val="29"/>
          <w:szCs w:val="29"/>
        </w:rPr>
      </w:pPr>
    </w:p>
    <w:p>
      <w:pPr>
        <w:pStyle w:val="BodyText"/>
        <w:spacing w:line="240" w:lineRule="auto" w:before="26"/>
        <w:ind w:right="1314"/>
        <w:jc w:val="left"/>
      </w:pPr>
      <w:r>
        <w:rPr/>
        <w:t>宁银河国际</w:t>
      </w:r>
      <w:r>
        <w:rPr>
          <w:spacing w:val="-120"/>
        </w:rPr>
        <w:t>”</w:t>
      </w:r>
      <w:r>
        <w:rPr>
          <w:spacing w:val="-32"/>
        </w:rPr>
        <w:t>）</w:t>
      </w:r>
      <w:r>
        <w:rPr/>
        <w:t>签</w:t>
      </w:r>
      <w:r>
        <w:rPr>
          <w:spacing w:val="-32"/>
        </w:rPr>
        <w:t>订</w:t>
      </w:r>
      <w:r>
        <w:rPr>
          <w:spacing w:val="2"/>
        </w:rPr>
        <w:t>《</w:t>
      </w:r>
      <w:r>
        <w:rPr/>
        <w:t>备忘录</w:t>
      </w:r>
      <w:r>
        <w:rPr>
          <w:spacing w:val="-120"/>
        </w:rPr>
        <w:t>》</w:t>
      </w:r>
      <w:r>
        <w:rPr>
          <w:spacing w:val="-32"/>
        </w:rPr>
        <w:t>，</w:t>
      </w:r>
      <w:r>
        <w:rPr/>
        <w:t>一致同意因经营需要提前解除</w:t>
      </w:r>
      <w:r>
        <w:rPr>
          <w:spacing w:val="-59"/>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t>日签订的</w:t>
      </w:r>
    </w:p>
    <w:p>
      <w:pPr>
        <w:pStyle w:val="BodyText"/>
        <w:spacing w:line="333" w:lineRule="auto" w:before="104"/>
        <w:ind w:right="1422"/>
        <w:jc w:val="left"/>
        <w:rPr>
          <w:rFonts w:ascii="Times New Roman" w:hAnsi="Times New Roman" w:cs="Times New Roman" w:eastAsia="Times New Roman" w:hint="default"/>
        </w:rPr>
      </w:pPr>
      <w:r>
        <w:rPr>
          <w:spacing w:val="-9"/>
        </w:rPr>
        <w:t>《房屋租赁合同》，双方另行签订了新的《房屋租赁合同》，承租银河国际位于南京市中</w:t>
      </w:r>
      <w:r>
        <w:rPr>
          <w:spacing w:val="-105"/>
        </w:rPr>
        <w:t> </w:t>
      </w:r>
      <w:r>
        <w:rPr>
          <w:spacing w:val="-105"/>
        </w:rPr>
      </w:r>
      <w:r>
        <w:rPr/>
        <w:t>山南路 </w:t>
      </w:r>
      <w:r>
        <w:rPr>
          <w:rFonts w:ascii="Times New Roman" w:hAnsi="Times New Roman" w:cs="Times New Roman" w:eastAsia="Times New Roman" w:hint="default"/>
        </w:rPr>
        <w:t>49 </w:t>
      </w:r>
      <w:r>
        <w:rPr/>
        <w:t>号商茂世纪大厦一层至五层，共约 </w:t>
      </w:r>
      <w:r>
        <w:rPr>
          <w:rFonts w:ascii="Times New Roman" w:hAnsi="Times New Roman" w:cs="Times New Roman" w:eastAsia="Times New Roman" w:hint="default"/>
        </w:rPr>
        <w:t>17,600 </w:t>
      </w:r>
      <w:r>
        <w:rPr/>
        <w:t>平方米的面积，租赁期限自</w:t>
      </w:r>
      <w:r>
        <w:rPr>
          <w:spacing w:val="-34"/>
        </w:rPr>
        <w:t> </w:t>
      </w:r>
      <w:r>
        <w:rPr>
          <w:rFonts w:ascii="Times New Roman" w:hAnsi="Times New Roman" w:cs="Times New Roman" w:eastAsia="Times New Roman" w:hint="default"/>
        </w:rPr>
        <w:t>2007</w:t>
      </w:r>
    </w:p>
    <w:p>
      <w:pPr>
        <w:pStyle w:val="BodyText"/>
        <w:spacing w:line="240" w:lineRule="auto" w:before="1"/>
        <w:ind w:right="1314"/>
        <w:jc w:val="left"/>
        <w:rPr>
          <w:rFonts w:ascii="Times New Roman" w:hAnsi="Times New Roman" w:cs="Times New Roman" w:eastAsia="Times New Roman" w:hint="default"/>
        </w:rPr>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t>日起至</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日止，租赁费用为首年单价人民币</w:t>
      </w:r>
      <w:r>
        <w:rPr>
          <w:spacing w:val="-52"/>
        </w:rPr>
        <w:t> </w:t>
      </w:r>
      <w:r>
        <w:rPr>
          <w:rFonts w:ascii="Times New Roman" w:hAnsi="Times New Roman" w:cs="Times New Roman" w:eastAsia="Times New Roman" w:hint="default"/>
          <w:spacing w:val="-3"/>
        </w:rPr>
        <w:t>3.11</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p>
    <w:p>
      <w:pPr>
        <w:pStyle w:val="BodyText"/>
        <w:spacing w:line="240" w:lineRule="auto" w:before="104"/>
        <w:ind w:right="1314"/>
        <w:jc w:val="left"/>
      </w:pPr>
      <w:r>
        <w:rPr/>
        <w:t>天，自第</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年起每</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年在上一年基础上递增</w:t>
      </w:r>
      <w:r>
        <w:rPr>
          <w:spacing w:val="-61"/>
        </w:rPr>
        <w:t> </w:t>
      </w:r>
      <w:r>
        <w:rPr>
          <w:rFonts w:ascii="Times New Roman" w:hAnsi="Times New Roman" w:cs="Times New Roman" w:eastAsia="Times New Roman" w:hint="default"/>
        </w:rPr>
        <w:t>5%</w:t>
      </w:r>
      <w:r>
        <w:rPr/>
        <w:t>。</w:t>
      </w:r>
    </w:p>
    <w:p>
      <w:pPr>
        <w:pStyle w:val="BodyText"/>
        <w:spacing w:line="240" w:lineRule="auto" w:before="104"/>
        <w:ind w:left="548" w:right="131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月，公司</w:t>
      </w:r>
      <w:r>
        <w:rPr>
          <w:spacing w:val="-3"/>
        </w:rPr>
        <w:t>、</w:t>
      </w:r>
      <w:r>
        <w:rPr/>
        <w:t>苏宁银河国际、白下苏宁签署《合同主体变更三方协议</w:t>
      </w:r>
      <w:r>
        <w:rPr>
          <w:spacing w:val="-120"/>
        </w:rPr>
        <w:t>》</w:t>
      </w:r>
      <w:r>
        <w:rPr/>
        <w:t>，同</w:t>
      </w:r>
    </w:p>
    <w:p>
      <w:pPr>
        <w:pStyle w:val="BodyText"/>
        <w:spacing w:line="316" w:lineRule="auto" w:before="104"/>
        <w:ind w:right="1423"/>
        <w:jc w:val="left"/>
      </w:pPr>
      <w:r>
        <w:rPr/>
        <w:t>意由白下苏宁自</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日起承接新《房屋租赁合同》中公司有关的各项权利义 务，合同条款内容不变。</w:t>
      </w:r>
    </w:p>
    <w:p>
      <w:pPr>
        <w:pStyle w:val="BodyText"/>
        <w:spacing w:line="324" w:lineRule="auto" w:before="46"/>
        <w:ind w:right="1436" w:firstLine="408"/>
        <w:jc w:val="both"/>
      </w:pPr>
      <w:r>
        <w:rPr>
          <w:spacing w:val="-1"/>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日，公司子公司四川苏宁电器有限公司签署《租赁合同</w:t>
      </w:r>
      <w:r>
        <w:rPr>
          <w:spacing w:val="-120"/>
        </w:rPr>
        <w:t>》</w:t>
      </w:r>
      <w:r>
        <w:rPr/>
        <w:t>，承</w:t>
      </w:r>
      <w:r>
        <w:rPr/>
        <w:t> 租成都</w:t>
      </w:r>
      <w:r>
        <w:rPr>
          <w:spacing w:val="2"/>
        </w:rPr>
        <w:t>鸿</w:t>
      </w:r>
      <w:r>
        <w:rPr/>
        <w:t>业置</w:t>
      </w:r>
      <w:r>
        <w:rPr>
          <w:spacing w:val="2"/>
        </w:rPr>
        <w:t>业</w:t>
      </w:r>
      <w:r>
        <w:rPr/>
        <w:t>有限</w:t>
      </w:r>
      <w:r>
        <w:rPr>
          <w:spacing w:val="2"/>
        </w:rPr>
        <w:t>公</w:t>
      </w:r>
      <w:r>
        <w:rPr>
          <w:spacing w:val="1"/>
        </w:rPr>
        <w:t>司</w:t>
      </w:r>
      <w:r>
        <w:rPr/>
        <w:t>（以</w:t>
      </w:r>
      <w:r>
        <w:rPr>
          <w:spacing w:val="2"/>
        </w:rPr>
        <w:t>下</w:t>
      </w:r>
      <w:r>
        <w:rPr/>
        <w:t>简称</w:t>
      </w:r>
      <w:r>
        <w:rPr>
          <w:spacing w:val="2"/>
        </w:rPr>
        <w:t>“</w:t>
      </w:r>
      <w:r>
        <w:rPr/>
        <w:t>成都</w:t>
      </w:r>
      <w:r>
        <w:rPr>
          <w:spacing w:val="2"/>
        </w:rPr>
        <w:t>鸿</w:t>
      </w:r>
      <w:r>
        <w:rPr/>
        <w:t>业置业</w:t>
      </w:r>
      <w:r>
        <w:rPr>
          <w:spacing w:val="-118"/>
        </w:rPr>
        <w:t>”</w:t>
      </w:r>
      <w:r>
        <w:rPr>
          <w:spacing w:val="1"/>
        </w:rPr>
        <w:t>）</w:t>
      </w:r>
      <w:r>
        <w:rPr/>
        <w:t>位</w:t>
      </w:r>
      <w:r>
        <w:rPr>
          <w:spacing w:val="2"/>
        </w:rPr>
        <w:t>于</w:t>
      </w:r>
      <w:r>
        <w:rPr/>
        <w:t>成都</w:t>
      </w:r>
      <w:r>
        <w:rPr>
          <w:spacing w:val="2"/>
        </w:rPr>
        <w:t>市</w:t>
      </w:r>
      <w:r>
        <w:rPr/>
        <w:t>高新区</w:t>
      </w:r>
      <w:r>
        <w:rPr>
          <w:spacing w:val="2"/>
        </w:rPr>
        <w:t>南</w:t>
      </w:r>
      <w:r>
        <w:rPr/>
        <w:t>部园区天</w:t>
      </w:r>
      <w:r>
        <w:rPr/>
        <w:t> 府大道北段</w:t>
      </w:r>
      <w:r>
        <w:rPr>
          <w:spacing w:val="-61"/>
        </w:rPr>
        <w:t> </w:t>
      </w:r>
      <w:r>
        <w:rPr>
          <w:rFonts w:ascii="Times New Roman" w:hAnsi="Times New Roman" w:cs="Times New Roman" w:eastAsia="Times New Roman" w:hint="default"/>
        </w:rPr>
        <w:t>8 </w:t>
      </w:r>
      <w:r>
        <w:rPr/>
        <w:t>号物业一到四层用于开设旗舰</w:t>
      </w:r>
      <w:r>
        <w:rPr>
          <w:spacing w:val="-31"/>
        </w:rPr>
        <w:t>店</w:t>
      </w:r>
      <w:r>
        <w:rPr/>
        <w:t>（以下简</w:t>
      </w:r>
      <w:r>
        <w:rPr>
          <w:spacing w:val="-32"/>
        </w:rPr>
        <w:t>称</w:t>
      </w:r>
      <w:r>
        <w:rPr/>
        <w:t>“成都天</w:t>
      </w:r>
      <w:r>
        <w:rPr>
          <w:spacing w:val="2"/>
        </w:rPr>
        <w:t>府</w:t>
      </w:r>
      <w:r>
        <w:rPr/>
        <w:t>立交店</w:t>
      </w:r>
      <w:r>
        <w:rPr>
          <w:spacing w:val="-120"/>
        </w:rPr>
        <w:t>”）</w:t>
      </w:r>
      <w:r>
        <w:rPr>
          <w:spacing w:val="-32"/>
        </w:rPr>
        <w:t>，</w:t>
      </w:r>
      <w:r>
        <w:rPr/>
        <w:t>租赁面</w:t>
      </w:r>
    </w:p>
    <w:p>
      <w:pPr>
        <w:pStyle w:val="BodyText"/>
        <w:spacing w:line="314" w:lineRule="auto" w:before="11"/>
        <w:ind w:right="1433"/>
        <w:jc w:val="both"/>
      </w:pPr>
      <w:r>
        <w:rPr/>
        <w:t>积共约</w:t>
      </w:r>
      <w:r>
        <w:rPr>
          <w:spacing w:val="-53"/>
        </w:rPr>
        <w:t> </w:t>
      </w:r>
      <w:r>
        <w:rPr>
          <w:rFonts w:ascii="Times New Roman" w:hAnsi="Times New Roman" w:cs="Times New Roman" w:eastAsia="Times New Roman" w:hint="default"/>
        </w:rPr>
        <w:t>10,973</w:t>
      </w:r>
      <w:r>
        <w:rPr>
          <w:rFonts w:ascii="Times New Roman" w:hAnsi="Times New Roman" w:cs="Times New Roman" w:eastAsia="Times New Roman" w:hint="default"/>
          <w:spacing w:val="7"/>
        </w:rPr>
        <w:t> </w:t>
      </w:r>
      <w:r>
        <w:rPr/>
        <w:t>平方米，租赁期自</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日起至</w:t>
      </w:r>
      <w:r>
        <w:rPr>
          <w:spacing w:val="-53"/>
        </w:rPr>
        <w:t> </w:t>
      </w:r>
      <w:r>
        <w:rPr>
          <w:rFonts w:ascii="Times New Roman" w:hAnsi="Times New Roman" w:cs="Times New Roman" w:eastAsia="Times New Roman" w:hint="default"/>
        </w:rPr>
        <w:t>2031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日止，租赁费 采用“保底加提成”方式，每年度按含税销售总额的</w:t>
      </w:r>
      <w:r>
        <w:rPr>
          <w:spacing w:val="5"/>
        </w:rPr>
        <w:t> </w:t>
      </w:r>
      <w:r>
        <w:rPr>
          <w:rFonts w:ascii="Times New Roman" w:hAnsi="Times New Roman" w:cs="Times New Roman" w:eastAsia="Times New Roman" w:hint="default"/>
        </w:rPr>
        <w:t>3.2%</w:t>
      </w:r>
      <w:r>
        <w:rPr/>
        <w:t>支付租赁费，但租金单价不 低于</w:t>
      </w:r>
      <w:r>
        <w:rPr>
          <w:spacing w:val="-55"/>
        </w:rPr>
        <w:t> </w:t>
      </w:r>
      <w:r>
        <w:rPr>
          <w:rFonts w:ascii="Times New Roman" w:hAnsi="Times New Roman" w:cs="Times New Roman" w:eastAsia="Times New Roman" w:hint="default"/>
        </w:rPr>
        <w:t>70</w:t>
      </w:r>
      <w:r>
        <w:rPr>
          <w:rFonts w:ascii="Times New Roman" w:hAnsi="Times New Roman" w:cs="Times New Roman" w:eastAsia="Times New Roman" w:hint="default"/>
          <w:spacing w:val="4"/>
        </w:rPr>
        <w:t> </w:t>
      </w:r>
      <w:r>
        <w:rPr>
          <w:spacing w:val="-5"/>
        </w:rPr>
        <w:t>元</w:t>
      </w:r>
      <w:r>
        <w:rPr>
          <w:rFonts w:ascii="Times New Roman" w:hAnsi="Times New Roman" w:cs="Times New Roman" w:eastAsia="Times New Roman" w:hint="default"/>
          <w:spacing w:val="-5"/>
        </w:rPr>
        <w:t>/</w:t>
      </w:r>
      <w:r>
        <w:rPr>
          <w:spacing w:val="-5"/>
        </w:rPr>
        <w:t>月，即年保底租赁费</w:t>
      </w:r>
      <w:r>
        <w:rPr>
          <w:spacing w:val="-55"/>
        </w:rPr>
        <w:t> </w:t>
      </w:r>
      <w:r>
        <w:rPr>
          <w:rFonts w:ascii="Times New Roman" w:hAnsi="Times New Roman" w:cs="Times New Roman" w:eastAsia="Times New Roman" w:hint="default"/>
        </w:rPr>
        <w:t>921.73</w:t>
      </w:r>
      <w:r>
        <w:rPr>
          <w:rFonts w:ascii="Times New Roman" w:hAnsi="Times New Roman" w:cs="Times New Roman" w:eastAsia="Times New Roman" w:hint="default"/>
          <w:spacing w:val="5"/>
        </w:rPr>
        <w:t> </w:t>
      </w:r>
      <w:r>
        <w:rPr>
          <w:spacing w:val="-3"/>
        </w:rPr>
        <w:t>万元。另公司代收代付成都鸿业置业有限公司日</w:t>
      </w:r>
      <w:r>
        <w:rPr/>
        <w:t> 常所需水电能源费。</w:t>
      </w:r>
    </w:p>
    <w:p>
      <w:pPr>
        <w:pStyle w:val="BodyText"/>
        <w:spacing w:line="240" w:lineRule="auto" w:before="48"/>
        <w:ind w:left="548" w:right="1314"/>
        <w:jc w:val="left"/>
      </w:pPr>
      <w:r>
        <w:rPr>
          <w:spacing w:val="-1"/>
        </w:rPr>
        <w:t>（</w:t>
      </w:r>
      <w:r>
        <w:rPr>
          <w:rFonts w:ascii="Times New Roman" w:hAnsi="Times New Roman" w:cs="Times New Roman" w:eastAsia="Times New Roman" w:hint="default"/>
        </w:rPr>
        <w:t>7</w:t>
      </w:r>
      <w:r>
        <w:rPr>
          <w:spacing w:val="-17"/>
        </w:rPr>
        <w:t>）</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 </w:t>
      </w:r>
      <w:r>
        <w:rPr/>
        <w:t>日</w:t>
      </w:r>
      <w:r>
        <w:rPr>
          <w:spacing w:val="-17"/>
        </w:rPr>
        <w:t>，</w:t>
      </w:r>
      <w:r>
        <w:rPr/>
        <w:t>公司与玄武苏宁置业签</w:t>
      </w:r>
      <w:r>
        <w:rPr>
          <w:spacing w:val="-17"/>
        </w:rPr>
        <w:t>订</w:t>
      </w:r>
      <w:r>
        <w:rPr/>
        <w:t>《房屋租赁合同</w:t>
      </w:r>
      <w:r>
        <w:rPr>
          <w:spacing w:val="-120"/>
        </w:rPr>
        <w:t>》</w:t>
      </w:r>
      <w:r>
        <w:rPr>
          <w:spacing w:val="-17"/>
        </w:rPr>
        <w:t>，</w:t>
      </w:r>
      <w:r>
        <w:rPr/>
        <w:t>公司向玄武苏</w:t>
      </w:r>
    </w:p>
    <w:p>
      <w:pPr>
        <w:pStyle w:val="BodyText"/>
        <w:spacing w:line="240" w:lineRule="auto" w:before="104"/>
        <w:ind w:right="1314"/>
        <w:jc w:val="left"/>
      </w:pPr>
      <w:r>
        <w:rPr/>
        <w:t>宁置业出租位于南京市徐庄软件园内苏宁电器总部</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号楼</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层、地下夹层及负</w:t>
      </w:r>
    </w:p>
    <w:p>
      <w:pPr>
        <w:pStyle w:val="BodyText"/>
        <w:spacing w:line="240" w:lineRule="auto" w:before="104"/>
        <w:ind w:right="1314"/>
        <w:jc w:val="left"/>
      </w:pPr>
      <w:r>
        <w:rPr>
          <w:spacing w:val="-3"/>
        </w:rPr>
        <w:t>一层部分物业，同时免费提供建筑面积约为 </w:t>
      </w:r>
      <w:r>
        <w:rPr>
          <w:rFonts w:ascii="Times New Roman" w:hAnsi="Times New Roman" w:cs="Times New Roman" w:eastAsia="Times New Roman" w:hint="default"/>
        </w:rPr>
        <w:t>1,963</w:t>
      </w:r>
      <w:r>
        <w:rPr>
          <w:rFonts w:ascii="Times New Roman" w:hAnsi="Times New Roman" w:cs="Times New Roman" w:eastAsia="Times New Roman" w:hint="default"/>
          <w:spacing w:val="16"/>
        </w:rPr>
        <w:t> </w:t>
      </w:r>
      <w:r>
        <w:rPr>
          <w:spacing w:val="-3"/>
        </w:rPr>
        <w:t>平米的地下停车场作为配套物业（以</w:t>
      </w:r>
    </w:p>
    <w:p>
      <w:pPr>
        <w:pStyle w:val="BodyText"/>
        <w:spacing w:line="240" w:lineRule="auto" w:before="104"/>
        <w:ind w:right="1314"/>
        <w:jc w:val="left"/>
      </w:pPr>
      <w:r>
        <w:rPr/>
        <w:t>下简称“配套物业</w:t>
      </w:r>
      <w:r>
        <w:rPr>
          <w:spacing w:val="-120"/>
        </w:rPr>
        <w:t>”）</w:t>
      </w:r>
      <w:r>
        <w:rPr/>
        <w:t>，用于其开展酒店经营业务。出租物业面积约为</w:t>
      </w:r>
      <w:r>
        <w:rPr>
          <w:spacing w:val="-13"/>
        </w:rPr>
        <w:t> </w:t>
      </w:r>
      <w:r>
        <w:rPr>
          <w:rFonts w:ascii="Times New Roman" w:hAnsi="Times New Roman" w:cs="Times New Roman" w:eastAsia="Times New Roman" w:hint="default"/>
        </w:rPr>
        <w:t>45,000 </w:t>
      </w:r>
      <w:r>
        <w:rPr>
          <w:rFonts w:ascii="Times New Roman" w:hAnsi="Times New Roman" w:cs="Times New Roman" w:eastAsia="Times New Roman" w:hint="default"/>
          <w:spacing w:val="-15"/>
        </w:rPr>
        <w:t> </w:t>
      </w:r>
      <w:r>
        <w:rPr/>
        <w:t>平米，另</w:t>
      </w:r>
    </w:p>
    <w:p>
      <w:pPr>
        <w:pStyle w:val="BodyText"/>
        <w:spacing w:line="240" w:lineRule="auto" w:before="104"/>
        <w:ind w:right="1314"/>
        <w:jc w:val="left"/>
      </w:pPr>
      <w:r>
        <w:rPr/>
        <w:t>配套物业面积约为</w:t>
      </w:r>
      <w:r>
        <w:rPr>
          <w:spacing w:val="-76"/>
        </w:rPr>
        <w:t> </w:t>
      </w:r>
      <w:r>
        <w:rPr>
          <w:rFonts w:ascii="Times New Roman" w:hAnsi="Times New Roman" w:cs="Times New Roman" w:eastAsia="Times New Roman" w:hint="default"/>
        </w:rPr>
        <w:t>1,963</w:t>
      </w:r>
      <w:r>
        <w:rPr>
          <w:rFonts w:ascii="Times New Roman" w:hAnsi="Times New Roman" w:cs="Times New Roman" w:eastAsia="Times New Roman" w:hint="default"/>
          <w:spacing w:val="-16"/>
        </w:rPr>
        <w:t> </w:t>
      </w:r>
      <w:r>
        <w:rPr/>
        <w:t>平米，最终面积以竣工后测绘部门实测面积为准。租赁期限为</w:t>
      </w:r>
    </w:p>
    <w:p>
      <w:pPr>
        <w:pStyle w:val="BodyText"/>
        <w:spacing w:line="316" w:lineRule="auto" w:before="104"/>
        <w:ind w:right="1296"/>
        <w:jc w:val="left"/>
      </w:pPr>
      <w:r>
        <w:rPr/>
        <w:t>十五年，自物业竣工验收之日起交付，租金费用按照第一年至第五年</w:t>
      </w:r>
      <w:r>
        <w:rPr>
          <w:spacing w:val="-80"/>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日， 自第六年起每两年在上一年的基础上递增</w:t>
      </w:r>
      <w:r>
        <w:rPr>
          <w:spacing w:val="-58"/>
        </w:rPr>
        <w:t> </w:t>
      </w:r>
      <w:r>
        <w:rPr>
          <w:rFonts w:ascii="Times New Roman" w:hAnsi="Times New Roman" w:cs="Times New Roman" w:eastAsia="Times New Roman" w:hint="default"/>
          <w:spacing w:val="-4"/>
        </w:rPr>
        <w:t>5%</w:t>
      </w:r>
      <w:r>
        <w:rPr>
          <w:spacing w:val="-4"/>
        </w:rPr>
        <w:t>。出租物业暂按</w:t>
      </w:r>
      <w:r>
        <w:rPr>
          <w:spacing w:val="-58"/>
        </w:rPr>
        <w:t> </w:t>
      </w:r>
      <w:r>
        <w:rPr>
          <w:rFonts w:ascii="Times New Roman" w:hAnsi="Times New Roman" w:cs="Times New Roman" w:eastAsia="Times New Roman" w:hint="default"/>
        </w:rPr>
        <w:t>45,000</w:t>
      </w:r>
      <w:r>
        <w:rPr>
          <w:rFonts w:ascii="Times New Roman" w:hAnsi="Times New Roman" w:cs="Times New Roman" w:eastAsia="Times New Roman" w:hint="default"/>
          <w:spacing w:val="2"/>
        </w:rPr>
        <w:t> </w:t>
      </w:r>
      <w:r>
        <w:rPr>
          <w:spacing w:val="-4"/>
        </w:rPr>
        <w:t>平米计算，即第一</w:t>
      </w:r>
      <w:r>
        <w:rPr>
          <w:spacing w:val="-115"/>
        </w:rPr>
        <w:t> </w:t>
      </w:r>
      <w:r>
        <w:rPr>
          <w:spacing w:val="-115"/>
        </w:rPr>
      </w:r>
      <w:r>
        <w:rPr/>
        <w:t>年至第五年租金为</w:t>
      </w:r>
      <w:r>
        <w:rPr>
          <w:spacing w:val="-41"/>
        </w:rPr>
        <w:t> </w:t>
      </w:r>
      <w:r>
        <w:rPr>
          <w:rFonts w:ascii="Times New Roman" w:hAnsi="Times New Roman" w:cs="Times New Roman" w:eastAsia="Times New Roman" w:hint="default"/>
        </w:rPr>
        <w:t>1,971</w:t>
      </w:r>
      <w:r>
        <w:rPr>
          <w:rFonts w:ascii="Times New Roman" w:hAnsi="Times New Roman" w:cs="Times New Roman" w:eastAsia="Times New Roman" w:hint="default"/>
          <w:spacing w:val="19"/>
        </w:rPr>
        <w:t> </w:t>
      </w:r>
      <w:r>
        <w:rPr/>
        <w:t>万元</w:t>
      </w:r>
      <w:r>
        <w:rPr>
          <w:rFonts w:ascii="Times New Roman" w:hAnsi="Times New Roman" w:cs="Times New Roman" w:eastAsia="Times New Roman" w:hint="default"/>
        </w:rPr>
        <w:t>/</w:t>
      </w:r>
      <w:r>
        <w:rPr/>
        <w:t>年，第六年至第七年为</w:t>
      </w:r>
      <w:r>
        <w:rPr>
          <w:spacing w:val="-41"/>
        </w:rPr>
        <w:t> </w:t>
      </w:r>
      <w:r>
        <w:rPr>
          <w:rFonts w:ascii="Times New Roman" w:hAnsi="Times New Roman" w:cs="Times New Roman" w:eastAsia="Times New Roman" w:hint="default"/>
        </w:rPr>
        <w:t>2,069.55</w:t>
      </w:r>
      <w:r>
        <w:rPr>
          <w:rFonts w:ascii="Times New Roman" w:hAnsi="Times New Roman" w:cs="Times New Roman" w:eastAsia="Times New Roman" w:hint="default"/>
          <w:spacing w:val="19"/>
        </w:rPr>
        <w:t> </w:t>
      </w:r>
      <w:r>
        <w:rPr/>
        <w:t>万元</w:t>
      </w:r>
      <w:r>
        <w:rPr>
          <w:rFonts w:ascii="Times New Roman" w:hAnsi="Times New Roman" w:cs="Times New Roman" w:eastAsia="Times New Roman" w:hint="default"/>
        </w:rPr>
        <w:t>/</w:t>
      </w:r>
      <w:r>
        <w:rPr/>
        <w:t>年，第八年至第九</w:t>
      </w:r>
    </w:p>
    <w:p>
      <w:pPr>
        <w:pStyle w:val="BodyText"/>
        <w:spacing w:line="240" w:lineRule="auto" w:before="19"/>
        <w:ind w:right="1314"/>
        <w:jc w:val="left"/>
      </w:pPr>
      <w:r>
        <w:rPr/>
        <w:t>年为</w:t>
      </w:r>
      <w:r>
        <w:rPr>
          <w:spacing w:val="-58"/>
        </w:rPr>
        <w:t> </w:t>
      </w:r>
      <w:r>
        <w:rPr>
          <w:rFonts w:ascii="Times New Roman" w:hAnsi="Times New Roman" w:cs="Times New Roman" w:eastAsia="Times New Roman" w:hint="default"/>
        </w:rPr>
        <w:t>2,173.03</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年，第十年至第十一年为</w:t>
      </w:r>
      <w:r>
        <w:rPr>
          <w:spacing w:val="-57"/>
        </w:rPr>
        <w:t> </w:t>
      </w:r>
      <w:r>
        <w:rPr>
          <w:rFonts w:ascii="Times New Roman" w:hAnsi="Times New Roman" w:cs="Times New Roman" w:eastAsia="Times New Roman" w:hint="default"/>
        </w:rPr>
        <w:t>2,281.68</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年，第十二年至第十三年为</w:t>
      </w:r>
    </w:p>
    <w:p>
      <w:pPr>
        <w:pStyle w:val="BodyText"/>
        <w:spacing w:line="240" w:lineRule="auto" w:before="104"/>
        <w:ind w:right="1314"/>
        <w:jc w:val="left"/>
      </w:pPr>
      <w:r>
        <w:rPr>
          <w:rFonts w:ascii="Times New Roman" w:hAnsi="Times New Roman" w:cs="Times New Roman" w:eastAsia="Times New Roman" w:hint="default"/>
        </w:rPr>
        <w:t>2,395.76 </w:t>
      </w:r>
      <w:r>
        <w:rPr/>
        <w:t>万元</w:t>
      </w:r>
      <w:r>
        <w:rPr>
          <w:rFonts w:ascii="Times New Roman" w:hAnsi="Times New Roman" w:cs="Times New Roman" w:eastAsia="Times New Roman" w:hint="default"/>
        </w:rPr>
        <w:t>/</w:t>
      </w:r>
      <w:r>
        <w:rPr/>
        <w:t>年，第十四年至第十五年为 </w:t>
      </w:r>
      <w:r>
        <w:rPr>
          <w:rFonts w:ascii="Times New Roman" w:hAnsi="Times New Roman" w:cs="Times New Roman" w:eastAsia="Times New Roman" w:hint="default"/>
        </w:rPr>
        <w:t>2,515.55</w:t>
      </w:r>
      <w:r>
        <w:rPr>
          <w:rFonts w:ascii="Times New Roman" w:hAnsi="Times New Roman" w:cs="Times New Roman" w:eastAsia="Times New Roman" w:hint="default"/>
          <w:spacing w:val="12"/>
        </w:rPr>
        <w:t> </w:t>
      </w:r>
      <w:r>
        <w:rPr/>
        <w:t>万元</w:t>
      </w:r>
      <w:r>
        <w:rPr>
          <w:rFonts w:ascii="Times New Roman" w:hAnsi="Times New Roman" w:cs="Times New Roman" w:eastAsia="Times New Roman" w:hint="default"/>
        </w:rPr>
        <w:t>/</w:t>
      </w:r>
      <w:r>
        <w:rPr/>
        <w:t>年，鉴于物业从交付至装修开</w:t>
      </w:r>
    </w:p>
    <w:p>
      <w:pPr>
        <w:pStyle w:val="BodyText"/>
        <w:spacing w:line="240" w:lineRule="auto" w:before="104"/>
        <w:ind w:right="1314"/>
        <w:jc w:val="left"/>
      </w:pPr>
      <w:r>
        <w:rPr/>
        <w:t>业需要一定时间，公司同意在上述租金的标准上给予玄武苏宁置业首年 </w:t>
      </w:r>
      <w:r>
        <w:rPr>
          <w:rFonts w:ascii="Times New Roman" w:hAnsi="Times New Roman" w:cs="Times New Roman" w:eastAsia="Times New Roman" w:hint="default"/>
        </w:rPr>
        <w:t>90</w:t>
      </w:r>
      <w:r>
        <w:rPr>
          <w:rFonts w:ascii="Times New Roman" w:hAnsi="Times New Roman" w:cs="Times New Roman" w:eastAsia="Times New Roman" w:hint="default"/>
          <w:spacing w:val="-31"/>
        </w:rPr>
        <w:t> </w:t>
      </w:r>
      <w:r>
        <w:rPr/>
        <w:t>天的租金优</w:t>
      </w:r>
    </w:p>
    <w:p>
      <w:pPr>
        <w:pStyle w:val="BodyText"/>
        <w:spacing w:line="240" w:lineRule="auto" w:before="104"/>
        <w:ind w:right="1314"/>
        <w:jc w:val="left"/>
        <w:rPr>
          <w:rFonts w:ascii="Times New Roman" w:hAnsi="Times New Roman" w:cs="Times New Roman" w:eastAsia="Times New Roman" w:hint="default"/>
        </w:rPr>
      </w:pPr>
      <w:r>
        <w:rPr>
          <w:spacing w:val="-11"/>
        </w:rPr>
        <w:t>惠，即第一年租金为</w:t>
      </w:r>
      <w:r>
        <w:rPr>
          <w:spacing w:val="-57"/>
        </w:rPr>
        <w:t> </w:t>
      </w:r>
      <w:r>
        <w:rPr>
          <w:rFonts w:ascii="Times New Roman" w:hAnsi="Times New Roman" w:cs="Times New Roman" w:eastAsia="Times New Roman" w:hint="default"/>
        </w:rPr>
        <w:t>1,485</w:t>
      </w:r>
      <w:r>
        <w:rPr>
          <w:rFonts w:ascii="Times New Roman" w:hAnsi="Times New Roman" w:cs="Times New Roman" w:eastAsia="Times New Roman" w:hint="default"/>
          <w:spacing w:val="4"/>
        </w:rPr>
        <w:t> </w:t>
      </w:r>
      <w:r>
        <w:rPr>
          <w:spacing w:val="-9"/>
        </w:rPr>
        <w:t>万元，租赁期间总租金为</w:t>
      </w:r>
      <w:r>
        <w:rPr>
          <w:spacing w:val="-56"/>
        </w:rPr>
        <w:t> </w:t>
      </w:r>
      <w:r>
        <w:rPr>
          <w:rFonts w:ascii="Times New Roman" w:hAnsi="Times New Roman" w:cs="Times New Roman" w:eastAsia="Times New Roman" w:hint="default"/>
        </w:rPr>
        <w:t>32,240.14</w:t>
      </w:r>
      <w:r>
        <w:rPr>
          <w:rFonts w:ascii="Times New Roman" w:hAnsi="Times New Roman" w:cs="Times New Roman" w:eastAsia="Times New Roman" w:hint="default"/>
          <w:spacing w:val="4"/>
        </w:rPr>
        <w:t> </w:t>
      </w:r>
      <w:r>
        <w:rPr>
          <w:spacing w:val="-11"/>
        </w:rPr>
        <w:t>万元。另地下二层约</w:t>
      </w:r>
      <w:r>
        <w:rPr>
          <w:spacing w:val="-56"/>
        </w:rPr>
        <w:t> </w:t>
      </w:r>
      <w:r>
        <w:rPr>
          <w:rFonts w:ascii="Times New Roman" w:hAnsi="Times New Roman" w:cs="Times New Roman" w:eastAsia="Times New Roman" w:hint="default"/>
        </w:rPr>
        <w:t>1,963</w:t>
      </w:r>
    </w:p>
    <w:p>
      <w:pPr>
        <w:pStyle w:val="BodyText"/>
        <w:spacing w:line="240" w:lineRule="auto" w:before="104"/>
        <w:ind w:right="1314"/>
        <w:jc w:val="left"/>
      </w:pPr>
      <w:r>
        <w:rPr/>
        <w:t>平米的车库作为配套场所，公司免费提供玄武苏宁置业使用。</w:t>
      </w:r>
    </w:p>
    <w:p>
      <w:pPr>
        <w:pStyle w:val="BodyText"/>
        <w:spacing w:line="338" w:lineRule="auto" w:before="122"/>
        <w:ind w:right="1437" w:firstLine="408"/>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月，公司子公司青岛鲁宁苏宁电器有限公司与青岛苏宁置业有限公 </w:t>
      </w:r>
      <w:r>
        <w:rPr>
          <w:spacing w:val="-4"/>
        </w:rPr>
        <w:t>司签署《房屋租赁合同》，公司向其租赁其开发的位于青岛市李沧区京口路</w:t>
      </w:r>
      <w:r>
        <w:rPr/>
        <w:t> </w:t>
      </w:r>
      <w:r>
        <w:rPr>
          <w:rFonts w:ascii="Times New Roman" w:hAnsi="Times New Roman" w:cs="Times New Roman" w:eastAsia="Times New Roman" w:hint="default"/>
          <w:spacing w:val="-1"/>
        </w:rPr>
        <w:t>22-42</w:t>
      </w:r>
      <w:r>
        <w:rPr>
          <w:rFonts w:ascii="Times New Roman" w:hAnsi="Times New Roman" w:cs="Times New Roman" w:eastAsia="Times New Roman" w:hint="default"/>
          <w:spacing w:val="23"/>
        </w:rPr>
        <w:t> </w:t>
      </w:r>
      <w:r>
        <w:rPr/>
        <w:t>号、 古镇路</w:t>
      </w:r>
      <w:r>
        <w:rPr>
          <w:spacing w:val="-63"/>
        </w:rPr>
        <w:t> </w:t>
      </w:r>
      <w:r>
        <w:rPr>
          <w:rFonts w:ascii="Times New Roman" w:hAnsi="Times New Roman" w:cs="Times New Roman" w:eastAsia="Times New Roman" w:hint="default"/>
        </w:rPr>
        <w:t>1-29</w:t>
      </w:r>
      <w:r>
        <w:rPr>
          <w:rFonts w:ascii="Times New Roman" w:hAnsi="Times New Roman" w:cs="Times New Roman" w:eastAsia="Times New Roman" w:hint="default"/>
          <w:spacing w:val="-2"/>
        </w:rPr>
        <w:t> </w:t>
      </w:r>
      <w:r>
        <w:rPr>
          <w:spacing w:val="-3"/>
        </w:rPr>
        <w:t>号、书院路</w:t>
      </w:r>
      <w:r>
        <w:rPr>
          <w:spacing w:val="-62"/>
        </w:rPr>
        <w:t> </w:t>
      </w:r>
      <w:r>
        <w:rPr>
          <w:rFonts w:ascii="Times New Roman" w:hAnsi="Times New Roman" w:cs="Times New Roman" w:eastAsia="Times New Roman" w:hint="default"/>
          <w:spacing w:val="-3"/>
        </w:rPr>
        <w:t>1-11</w:t>
      </w:r>
      <w:r>
        <w:rPr>
          <w:rFonts w:ascii="Times New Roman" w:hAnsi="Times New Roman" w:cs="Times New Roman" w:eastAsia="Times New Roman" w:hint="default"/>
          <w:spacing w:val="-2"/>
        </w:rPr>
        <w:t> </w:t>
      </w:r>
      <w:r>
        <w:rPr/>
        <w:t>号的物业一至三层用于开设</w:t>
      </w:r>
      <w:r>
        <w:rPr>
          <w:spacing w:val="-62"/>
        </w:rPr>
        <w:t> </w:t>
      </w:r>
      <w:r>
        <w:rPr>
          <w:rFonts w:ascii="Times New Roman" w:hAnsi="Times New Roman" w:cs="Times New Roman" w:eastAsia="Times New Roman" w:hint="default"/>
        </w:rPr>
        <w:t>EXPO</w:t>
      </w:r>
      <w:r>
        <w:rPr>
          <w:rFonts w:ascii="Times New Roman" w:hAnsi="Times New Roman" w:cs="Times New Roman" w:eastAsia="Times New Roman" w:hint="default"/>
          <w:spacing w:val="-3"/>
        </w:rPr>
        <w:t> </w:t>
      </w:r>
      <w:r>
        <w:rPr/>
        <w:t>超级旗舰店（以下简称 </w:t>
      </w:r>
      <w:r>
        <w:rPr>
          <w:spacing w:val="-12"/>
        </w:rPr>
        <w:t>“青岛李村广场店”）。租赁物业建筑面积合计约</w:t>
      </w:r>
      <w:r>
        <w:rPr>
          <w:spacing w:val="-57"/>
        </w:rPr>
        <w:t> </w:t>
      </w:r>
      <w:r>
        <w:rPr>
          <w:rFonts w:ascii="Times New Roman" w:hAnsi="Times New Roman" w:cs="Times New Roman" w:eastAsia="Times New Roman" w:hint="default"/>
        </w:rPr>
        <w:t>14,120</w:t>
      </w:r>
      <w:r>
        <w:rPr>
          <w:rFonts w:ascii="Times New Roman" w:hAnsi="Times New Roman" w:cs="Times New Roman" w:eastAsia="Times New Roman" w:hint="default"/>
          <w:spacing w:val="3"/>
        </w:rPr>
        <w:t> </w:t>
      </w:r>
      <w:r>
        <w:rPr>
          <w:spacing w:val="-2"/>
        </w:rPr>
        <w:t>平米，租赁期为自</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p>
    <w:p>
      <w:pPr>
        <w:pStyle w:val="BodyText"/>
        <w:spacing w:line="240" w:lineRule="auto" w:before="27"/>
        <w:ind w:right="1314"/>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日到</w:t>
      </w:r>
      <w:r>
        <w:rPr>
          <w:spacing w:val="-6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日，期限为</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年。租赁费用采用“保底加提成”方式计算，按</w:t>
      </w:r>
    </w:p>
    <w:p>
      <w:pPr>
        <w:spacing w:after="0" w:line="240" w:lineRule="auto"/>
        <w:jc w:val="left"/>
        <w:sectPr>
          <w:footerReference w:type="default" r:id="rId60"/>
          <w:pgSz w:w="11910" w:h="16840"/>
          <w:pgMar w:footer="782" w:header="748" w:top="980" w:bottom="980" w:left="1300" w:right="0"/>
          <w:pgNumType w:start="85"/>
        </w:sectPr>
      </w:pPr>
    </w:p>
    <w:p>
      <w:pPr>
        <w:spacing w:line="240" w:lineRule="auto" w:before="6"/>
        <w:rPr>
          <w:rFonts w:ascii="宋体" w:hAnsi="宋体" w:cs="宋体" w:eastAsia="宋体" w:hint="default"/>
          <w:sz w:val="29"/>
          <w:szCs w:val="29"/>
        </w:rPr>
      </w:pPr>
    </w:p>
    <w:p>
      <w:pPr>
        <w:pStyle w:val="BodyText"/>
        <w:spacing w:line="338" w:lineRule="auto" w:before="26"/>
        <w:ind w:right="1436"/>
        <w:jc w:val="both"/>
      </w:pPr>
      <w:r>
        <w:rPr/>
        <w:t>含税销售总额的</w:t>
      </w:r>
      <w:r>
        <w:rPr>
          <w:spacing w:val="-61"/>
        </w:rPr>
        <w:t> </w:t>
      </w:r>
      <w:r>
        <w:rPr>
          <w:rFonts w:ascii="Times New Roman" w:hAnsi="Times New Roman" w:cs="Times New Roman" w:eastAsia="Times New Roman" w:hint="default"/>
        </w:rPr>
        <w:t>3%</w:t>
      </w:r>
      <w:r>
        <w:rPr/>
        <w:t>计算的金额作为租赁费用，但每平米单价不低于</w:t>
      </w:r>
      <w:r>
        <w:rPr>
          <w:spacing w:val="-60"/>
        </w:rPr>
        <w:t> </w:t>
      </w:r>
      <w:r>
        <w:rPr>
          <w:rFonts w:ascii="Times New Roman" w:hAnsi="Times New Roman" w:cs="Times New Roman" w:eastAsia="Times New Roman" w:hint="default"/>
        </w:rPr>
        <w:t>2.5 </w:t>
      </w:r>
      <w:r>
        <w:rPr/>
        <w:t>元</w:t>
      </w:r>
      <w:r>
        <w:rPr>
          <w:rFonts w:ascii="Times New Roman" w:hAnsi="Times New Roman" w:cs="Times New Roman" w:eastAsia="Times New Roman" w:hint="default"/>
        </w:rPr>
        <w:t>/</w:t>
      </w:r>
      <w:r>
        <w:rPr/>
        <w:t>天，年保底 租赁费用为</w:t>
      </w:r>
      <w:r>
        <w:rPr>
          <w:spacing w:val="-61"/>
        </w:rPr>
        <w:t> </w:t>
      </w:r>
      <w:r>
        <w:rPr>
          <w:rFonts w:ascii="Times New Roman" w:hAnsi="Times New Roman" w:cs="Times New Roman" w:eastAsia="Times New Roman" w:hint="default"/>
        </w:rPr>
        <w:t>1288.45 </w:t>
      </w:r>
      <w:r>
        <w:rPr/>
        <w:t>万元。</w:t>
      </w:r>
    </w:p>
    <w:p>
      <w:pPr>
        <w:pStyle w:val="BodyText"/>
        <w:spacing w:line="240" w:lineRule="auto" w:before="27"/>
        <w:ind w:left="548" w:right="1314"/>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月，公司子公司青岛鲁宁苏宁电器有限公司与青岛苏宁置业有限公司签</w:t>
      </w:r>
    </w:p>
    <w:p>
      <w:pPr>
        <w:pStyle w:val="BodyText"/>
        <w:spacing w:line="348" w:lineRule="auto"/>
        <w:ind w:right="1437"/>
        <w:jc w:val="both"/>
      </w:pPr>
      <w:r>
        <w:rPr>
          <w:spacing w:val="-9"/>
        </w:rPr>
        <w:t>署《补充协议》，因公司门店在</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5"/>
        </w:rPr>
        <w:t> </w:t>
      </w:r>
      <w:r>
        <w:rPr/>
        <w:t>日期间停业装修， </w:t>
      </w:r>
      <w:r>
        <w:rPr>
          <w:spacing w:val="3"/>
        </w:rPr>
        <w:t>经双方友好协商，青岛苏宁置业同意免收公司装修期间的租金。鉴于青岛苏宁已支付</w:t>
      </w:r>
      <w:r>
        <w:rPr>
          <w:spacing w:val="-108"/>
        </w:rPr>
        <w:t> </w:t>
      </w:r>
      <w:r>
        <w:rPr>
          <w:spacing w:val="-108"/>
        </w:rPr>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1"/>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19 </w:t>
      </w:r>
      <w:r>
        <w:rPr/>
        <w:t>日至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18 </w:t>
      </w:r>
      <w:r>
        <w:rPr/>
        <w:t>日租金</w:t>
      </w:r>
      <w:r>
        <w:rPr>
          <w:spacing w:val="-60"/>
        </w:rPr>
        <w:t> </w:t>
      </w:r>
      <w:r>
        <w:rPr>
          <w:rFonts w:ascii="Times New Roman" w:hAnsi="Times New Roman" w:cs="Times New Roman" w:eastAsia="Times New Roman" w:hint="default"/>
        </w:rPr>
        <w:t>3,221,125 </w:t>
      </w:r>
      <w:r>
        <w:rPr>
          <w:spacing w:val="-4"/>
        </w:rPr>
        <w:t>元，则在</w:t>
      </w:r>
      <w:r>
        <w:rPr>
          <w:spacing w:val="-60"/>
        </w:rPr>
        <w:t> </w:t>
      </w:r>
      <w:r>
        <w:rPr>
          <w:rFonts w:ascii="Times New Roman" w:hAnsi="Times New Roman" w:cs="Times New Roman" w:eastAsia="Times New Roman" w:hint="default"/>
        </w:rPr>
        <w:t>8 </w:t>
      </w:r>
      <w:r>
        <w:rPr/>
        <w:t>月</w:t>
      </w:r>
      <w:r>
        <w:rPr>
          <w:spacing w:val="-57"/>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18 </w:t>
      </w:r>
      <w:r>
        <w:rPr/>
        <w:t>日</w:t>
      </w:r>
    </w:p>
    <w:p>
      <w:pPr>
        <w:pStyle w:val="BodyText"/>
        <w:spacing w:line="338" w:lineRule="auto" w:before="16"/>
        <w:ind w:right="1440"/>
        <w:jc w:val="both"/>
      </w:pPr>
      <w:r>
        <w:rPr/>
        <w:t>期间租金费用抵减</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年一季度部分租金，</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 期间租金的予以减免。</w:t>
      </w:r>
    </w:p>
    <w:p>
      <w:pPr>
        <w:pStyle w:val="BodyText"/>
        <w:spacing w:line="348" w:lineRule="auto" w:before="55"/>
        <w:ind w:right="1437" w:firstLine="408"/>
        <w:jc w:val="both"/>
      </w:pPr>
      <w:r>
        <w:rPr>
          <w:spacing w:val="-4"/>
        </w:rPr>
        <w:t>（</w:t>
      </w: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月，公司控股子公司乐购仕（南京）商贸有限公司（以下简称“乐 </w:t>
      </w:r>
      <w:r>
        <w:rPr>
          <w:spacing w:val="-9"/>
        </w:rPr>
        <w:t>购仕商贸”）与苏宁电器集团有限公司签署《租赁合同》，乐购仕商贸向其租赁位于南京</w:t>
      </w:r>
      <w:r>
        <w:rPr>
          <w:spacing w:val="-105"/>
        </w:rPr>
        <w:t> </w:t>
      </w:r>
      <w:r>
        <w:rPr>
          <w:spacing w:val="-105"/>
        </w:rPr>
      </w:r>
      <w:r>
        <w:rPr/>
        <w:t>市山西路一号银河大厦裙楼部分</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3"/>
        </w:rPr>
        <w:t>层用于乐购仕生活广场的经营业务。租赁物业面积</w:t>
      </w:r>
    </w:p>
    <w:p>
      <w:pPr>
        <w:pStyle w:val="BodyText"/>
        <w:spacing w:line="240" w:lineRule="auto" w:before="16"/>
        <w:ind w:right="0"/>
        <w:jc w:val="both"/>
      </w:pPr>
      <w:r>
        <w:rPr/>
        <w:t>共计</w:t>
      </w:r>
      <w:r>
        <w:rPr>
          <w:spacing w:val="-61"/>
        </w:rPr>
        <w:t> </w:t>
      </w:r>
      <w:r>
        <w:rPr>
          <w:rFonts w:ascii="Times New Roman" w:hAnsi="Times New Roman" w:cs="Times New Roman" w:eastAsia="Times New Roman" w:hint="default"/>
        </w:rPr>
        <w:t>19,291</w:t>
      </w:r>
      <w:r>
        <w:rPr>
          <w:rFonts w:ascii="Times New Roman" w:hAnsi="Times New Roman" w:cs="Times New Roman" w:eastAsia="Times New Roman" w:hint="default"/>
          <w:spacing w:val="-2"/>
        </w:rPr>
        <w:t> </w:t>
      </w:r>
      <w:r>
        <w:rPr/>
        <w:t>平米，租赁期自</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61"/>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日止，租金费用按</w:t>
      </w:r>
    </w:p>
    <w:p>
      <w:pPr>
        <w:pStyle w:val="BodyText"/>
        <w:spacing w:line="338" w:lineRule="auto"/>
        <w:ind w:right="1430"/>
        <w:jc w:val="both"/>
        <w:rPr>
          <w:rFonts w:ascii="Times New Roman" w:hAnsi="Times New Roman" w:cs="Times New Roman" w:eastAsia="Times New Roman" w:hint="default"/>
        </w:rPr>
      </w:pPr>
      <w:r>
        <w:rPr/>
        <w:t>照首个租赁年度</w:t>
      </w:r>
      <w:r>
        <w:rPr>
          <w:spacing w:val="-50"/>
        </w:rPr>
        <w:t> </w:t>
      </w:r>
      <w:r>
        <w:rPr>
          <w:rFonts w:ascii="Times New Roman" w:hAnsi="Times New Roman" w:cs="Times New Roman" w:eastAsia="Times New Roman" w:hint="default"/>
        </w:rPr>
        <w:t>3.5</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日，自第三年起每两个租赁年度在上一年的基础上递增 </w:t>
      </w:r>
      <w:r>
        <w:rPr>
          <w:rFonts w:ascii="Times New Roman" w:hAnsi="Times New Roman" w:cs="Times New Roman" w:eastAsia="Times New Roman" w:hint="default"/>
        </w:rPr>
        <w:t>3%</w:t>
      </w:r>
      <w:r>
        <w:rPr/>
        <w:t>。鉴于物业从交付至装修开业需要一定时间，双方约定首个租赁年度和第二年租金</w:t>
      </w:r>
      <w:r>
        <w:rPr>
          <w:spacing w:val="-58"/>
        </w:rPr>
        <w:t> </w:t>
      </w:r>
      <w:r>
        <w:rPr>
          <w:spacing w:val="-58"/>
        </w:rPr>
      </w:r>
      <w:r>
        <w:rPr/>
        <w:t>均为</w:t>
      </w:r>
      <w:r>
        <w:rPr>
          <w:spacing w:val="-39"/>
        </w:rPr>
        <w:t> </w:t>
      </w:r>
      <w:r>
        <w:rPr>
          <w:rFonts w:ascii="Times New Roman" w:hAnsi="Times New Roman" w:cs="Times New Roman" w:eastAsia="Times New Roman" w:hint="default"/>
        </w:rPr>
        <w:t>2,464</w:t>
      </w:r>
      <w:r>
        <w:rPr>
          <w:rFonts w:ascii="Times New Roman" w:hAnsi="Times New Roman" w:cs="Times New Roman" w:eastAsia="Times New Roman" w:hint="default"/>
          <w:spacing w:val="21"/>
        </w:rPr>
        <w:t> </w:t>
      </w:r>
      <w:r>
        <w:rPr/>
        <w:t>万元</w:t>
      </w:r>
      <w:r>
        <w:rPr>
          <w:rFonts w:ascii="Times New Roman" w:hAnsi="Times New Roman" w:cs="Times New Roman" w:eastAsia="Times New Roman" w:hint="default"/>
        </w:rPr>
        <w:t>/</w:t>
      </w:r>
      <w:r>
        <w:rPr/>
        <w:t>年，第三年至第四年为</w:t>
      </w:r>
      <w:r>
        <w:rPr>
          <w:spacing w:val="-38"/>
        </w:rPr>
        <w:t> </w:t>
      </w:r>
      <w:r>
        <w:rPr>
          <w:rFonts w:ascii="Times New Roman" w:hAnsi="Times New Roman" w:cs="Times New Roman" w:eastAsia="Times New Roman" w:hint="default"/>
        </w:rPr>
        <w:t>2,538</w:t>
      </w:r>
      <w:r>
        <w:rPr>
          <w:rFonts w:ascii="Times New Roman" w:hAnsi="Times New Roman" w:cs="Times New Roman" w:eastAsia="Times New Roman" w:hint="default"/>
          <w:spacing w:val="22"/>
        </w:rPr>
        <w:t> </w:t>
      </w:r>
      <w:r>
        <w:rPr/>
        <w:t>万元</w:t>
      </w:r>
      <w:r>
        <w:rPr>
          <w:rFonts w:ascii="Times New Roman" w:hAnsi="Times New Roman" w:cs="Times New Roman" w:eastAsia="Times New Roman" w:hint="default"/>
        </w:rPr>
        <w:t>/</w:t>
      </w:r>
      <w:r>
        <w:rPr/>
        <w:t>年，第五年至第六年为</w:t>
      </w:r>
      <w:r>
        <w:rPr>
          <w:spacing w:val="-38"/>
        </w:rPr>
        <w:t> </w:t>
      </w:r>
      <w:r>
        <w:rPr>
          <w:rFonts w:ascii="Times New Roman" w:hAnsi="Times New Roman" w:cs="Times New Roman" w:eastAsia="Times New Roman" w:hint="default"/>
        </w:rPr>
        <w:t>2,614</w:t>
      </w:r>
      <w:r>
        <w:rPr>
          <w:rFonts w:ascii="Times New Roman" w:hAnsi="Times New Roman" w:cs="Times New Roman" w:eastAsia="Times New Roman" w:hint="default"/>
          <w:spacing w:val="21"/>
        </w:rPr>
        <w:t> </w:t>
      </w:r>
      <w:r>
        <w:rPr/>
        <w:t>万元</w:t>
      </w:r>
      <w:r>
        <w:rPr>
          <w:rFonts w:ascii="Times New Roman" w:hAnsi="Times New Roman" w:cs="Times New Roman" w:eastAsia="Times New Roman" w:hint="default"/>
        </w:rPr>
        <w:t>/</w:t>
      </w:r>
    </w:p>
    <w:p>
      <w:pPr>
        <w:pStyle w:val="BodyText"/>
        <w:spacing w:line="240" w:lineRule="auto" w:before="27"/>
        <w:ind w:right="0"/>
        <w:jc w:val="both"/>
      </w:pPr>
      <w:r>
        <w:rPr>
          <w:spacing w:val="-4"/>
        </w:rPr>
        <w:t>年，第七年至第八年为</w:t>
      </w:r>
      <w:r>
        <w:rPr>
          <w:spacing w:val="-55"/>
        </w:rPr>
        <w:t> </w:t>
      </w:r>
      <w:r>
        <w:rPr>
          <w:rFonts w:ascii="Times New Roman" w:hAnsi="Times New Roman" w:cs="Times New Roman" w:eastAsia="Times New Roman" w:hint="default"/>
        </w:rPr>
        <w:t>2,692</w:t>
      </w:r>
      <w:r>
        <w:rPr>
          <w:rFonts w:ascii="Times New Roman" w:hAnsi="Times New Roman" w:cs="Times New Roman" w:eastAsia="Times New Roman" w:hint="default"/>
          <w:spacing w:val="3"/>
        </w:rPr>
        <w:t> </w:t>
      </w:r>
      <w:r>
        <w:rPr>
          <w:spacing w:val="-3"/>
        </w:rPr>
        <w:t>万元</w:t>
      </w:r>
      <w:r>
        <w:rPr>
          <w:rFonts w:ascii="Times New Roman" w:hAnsi="Times New Roman" w:cs="Times New Roman" w:eastAsia="Times New Roman" w:hint="default"/>
          <w:spacing w:val="-3"/>
        </w:rPr>
        <w:t>/</w:t>
      </w:r>
      <w:r>
        <w:rPr>
          <w:spacing w:val="-3"/>
        </w:rPr>
        <w:t>年，第九年至第十年为</w:t>
      </w:r>
      <w:r>
        <w:rPr>
          <w:spacing w:val="-57"/>
        </w:rPr>
        <w:t> </w:t>
      </w:r>
      <w:r>
        <w:rPr>
          <w:rFonts w:ascii="Times New Roman" w:hAnsi="Times New Roman" w:cs="Times New Roman" w:eastAsia="Times New Roman" w:hint="default"/>
        </w:rPr>
        <w:t>2,773</w:t>
      </w:r>
      <w:r>
        <w:rPr>
          <w:rFonts w:ascii="Times New Roman" w:hAnsi="Times New Roman" w:cs="Times New Roman" w:eastAsia="Times New Roman" w:hint="default"/>
          <w:spacing w:val="3"/>
        </w:rPr>
        <w:t> </w:t>
      </w:r>
      <w:r>
        <w:rPr>
          <w:spacing w:val="-4"/>
        </w:rPr>
        <w:t>万元</w:t>
      </w:r>
      <w:r>
        <w:rPr>
          <w:rFonts w:ascii="Times New Roman" w:hAnsi="Times New Roman" w:cs="Times New Roman" w:eastAsia="Times New Roman" w:hint="default"/>
          <w:spacing w:val="-4"/>
        </w:rPr>
        <w:t>/</w:t>
      </w:r>
      <w:r>
        <w:rPr>
          <w:spacing w:val="-4"/>
        </w:rPr>
        <w:t>年，租赁期间租金</w:t>
      </w:r>
    </w:p>
    <w:p>
      <w:pPr>
        <w:pStyle w:val="BodyText"/>
        <w:spacing w:line="396" w:lineRule="auto"/>
        <w:ind w:left="620" w:right="1314" w:hanging="480"/>
        <w:jc w:val="left"/>
      </w:pPr>
      <w:r>
        <w:rPr/>
        <w:t>总额为</w:t>
      </w:r>
      <w:r>
        <w:rPr>
          <w:spacing w:val="-61"/>
        </w:rPr>
        <w:t> </w:t>
      </w:r>
      <w:r>
        <w:rPr>
          <w:rFonts w:ascii="Times New Roman" w:hAnsi="Times New Roman" w:cs="Times New Roman" w:eastAsia="Times New Roman" w:hint="default"/>
        </w:rPr>
        <w:t>26,162 </w:t>
      </w:r>
      <w:r>
        <w:rPr/>
        <w:t>万元。 </w:t>
      </w:r>
      <w:r>
        <w:rPr>
          <w:spacing w:val="-3"/>
        </w:rPr>
        <w:t>根据上述租赁协议，公司向关联方支付的租赁费以及向关联方收取的租赁收入情况</w:t>
      </w:r>
    </w:p>
    <w:p>
      <w:pPr>
        <w:pStyle w:val="BodyText"/>
        <w:spacing w:line="245" w:lineRule="exact" w:before="0"/>
        <w:ind w:right="0"/>
        <w:jc w:val="both"/>
      </w:pPr>
      <w:r>
        <w:rPr/>
        <w:t>如下：</w:t>
      </w:r>
    </w:p>
    <w:p>
      <w:pPr>
        <w:spacing w:line="240" w:lineRule="auto" w:before="1"/>
        <w:rPr>
          <w:rFonts w:ascii="宋体" w:hAnsi="宋体" w:cs="宋体" w:eastAsia="宋体" w:hint="default"/>
          <w:sz w:val="16"/>
          <w:szCs w:val="16"/>
        </w:rPr>
      </w:pPr>
    </w:p>
    <w:tbl>
      <w:tblPr>
        <w:tblW w:w="0" w:type="auto"/>
        <w:jc w:val="left"/>
        <w:tblInd w:w="914" w:type="dxa"/>
        <w:tblLayout w:type="fixed"/>
        <w:tblCellMar>
          <w:top w:w="0" w:type="dxa"/>
          <w:left w:w="0" w:type="dxa"/>
          <w:bottom w:w="0" w:type="dxa"/>
          <w:right w:w="0" w:type="dxa"/>
        </w:tblCellMar>
        <w:tblLook w:val="01E0"/>
      </w:tblPr>
      <w:tblGrid>
        <w:gridCol w:w="3006"/>
        <w:gridCol w:w="2723"/>
        <w:gridCol w:w="1658"/>
      </w:tblGrid>
      <w:tr>
        <w:trPr>
          <w:trHeight w:val="295" w:hRule="exact"/>
        </w:trPr>
        <w:tc>
          <w:tcPr>
            <w:tcW w:w="3006" w:type="dxa"/>
            <w:tcBorders>
              <w:top w:val="nil" w:sz="6" w:space="0" w:color="auto"/>
              <w:left w:val="nil" w:sz="6" w:space="0" w:color="auto"/>
              <w:bottom w:val="nil" w:sz="6" w:space="0" w:color="auto"/>
              <w:right w:val="nil" w:sz="6" w:space="0" w:color="auto"/>
            </w:tcBorders>
          </w:tcPr>
          <w:p>
            <w:pPr/>
          </w:p>
        </w:tc>
        <w:tc>
          <w:tcPr>
            <w:tcW w:w="272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194" w:lineRule="exact"/>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tc>
      </w:tr>
      <w:tr>
        <w:trPr>
          <w:trHeight w:val="401" w:hRule="exact"/>
        </w:trPr>
        <w:tc>
          <w:tcPr>
            <w:tcW w:w="3006" w:type="dxa"/>
            <w:tcBorders>
              <w:top w:val="nil" w:sz="6" w:space="0" w:color="auto"/>
              <w:left w:val="nil" w:sz="6" w:space="0" w:color="auto"/>
              <w:bottom w:val="nil" w:sz="6" w:space="0" w:color="auto"/>
              <w:right w:val="nil" w:sz="6" w:space="0" w:color="auto"/>
            </w:tcBorders>
          </w:tcPr>
          <w:p>
            <w:pPr/>
          </w:p>
        </w:tc>
        <w:tc>
          <w:tcPr>
            <w:tcW w:w="272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人民币千元</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r>
      <w:tr>
        <w:trPr>
          <w:trHeight w:val="395" w:hRule="exact"/>
        </w:trPr>
        <w:tc>
          <w:tcPr>
            <w:tcW w:w="3006" w:type="dxa"/>
            <w:tcBorders>
              <w:top w:val="nil" w:sz="6" w:space="0" w:color="auto"/>
              <w:left w:val="nil" w:sz="6" w:space="0" w:color="auto"/>
              <w:bottom w:val="nil" w:sz="6" w:space="0" w:color="auto"/>
              <w:right w:val="nil" w:sz="6" w:space="0" w:color="auto"/>
            </w:tcBorders>
          </w:tcPr>
          <w:p>
            <w:pP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1"/>
              <w:jc w:val="right"/>
              <w:rPr>
                <w:rFonts w:ascii="宋体" w:hAnsi="宋体" w:cs="宋体" w:eastAsia="宋体" w:hint="default"/>
                <w:sz w:val="18"/>
                <w:szCs w:val="18"/>
              </w:rPr>
            </w:pPr>
            <w:r>
              <w:rPr>
                <w:rFonts w:ascii="宋体" w:hAnsi="宋体" w:cs="宋体" w:eastAsia="宋体" w:hint="default"/>
                <w:sz w:val="18"/>
                <w:szCs w:val="18"/>
              </w:rPr>
              <w:t>租赁收入</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hAnsi="宋体" w:cs="宋体" w:eastAsia="宋体" w:hint="default"/>
                <w:sz w:val="18"/>
                <w:szCs w:val="18"/>
              </w:rPr>
              <w:t>租赁费用</w:t>
            </w:r>
          </w:p>
        </w:tc>
      </w:tr>
      <w:tr>
        <w:trPr>
          <w:trHeight w:val="405"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272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19,072.00</w:t>
            </w:r>
          </w:p>
        </w:tc>
      </w:tr>
      <w:tr>
        <w:trPr>
          <w:trHeight w:val="401"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苏宁银河国际购物广场有限公司</w:t>
            </w:r>
          </w:p>
        </w:tc>
        <w:tc>
          <w:tcPr>
            <w:tcW w:w="272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21,262.50</w:t>
            </w:r>
          </w:p>
        </w:tc>
      </w:tr>
      <w:tr>
        <w:trPr>
          <w:trHeight w:val="40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成都鸿业置业有限公司（注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72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6,912.99</w:t>
            </w:r>
          </w:p>
        </w:tc>
      </w:tr>
      <w:tr>
        <w:trPr>
          <w:trHeight w:val="400"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南京玄武苏宁置业有限公司</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30"/>
              <w:jc w:val="right"/>
              <w:rPr>
                <w:rFonts w:ascii="Times New Roman" w:hAnsi="Times New Roman" w:cs="Times New Roman" w:eastAsia="Times New Roman" w:hint="default"/>
                <w:sz w:val="18"/>
                <w:szCs w:val="18"/>
              </w:rPr>
            </w:pPr>
            <w:r>
              <w:rPr>
                <w:rFonts w:ascii="Times New Roman"/>
                <w:w w:val="95"/>
                <w:sz w:val="18"/>
              </w:rPr>
              <w:t>9,855.00</w:t>
            </w:r>
          </w:p>
        </w:tc>
        <w:tc>
          <w:tcPr>
            <w:tcW w:w="1658" w:type="dxa"/>
            <w:tcBorders>
              <w:top w:val="nil" w:sz="6" w:space="0" w:color="auto"/>
              <w:left w:val="nil" w:sz="6" w:space="0" w:color="auto"/>
              <w:bottom w:val="nil" w:sz="6" w:space="0" w:color="auto"/>
              <w:right w:val="nil" w:sz="6" w:space="0" w:color="auto"/>
            </w:tcBorders>
          </w:tcPr>
          <w:p>
            <w:pPr/>
          </w:p>
        </w:tc>
      </w:tr>
      <w:tr>
        <w:trPr>
          <w:trHeight w:val="347" w:hRule="exact"/>
        </w:trPr>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青岛苏宁置业有限公司（注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723" w:type="dxa"/>
            <w:tcBorders>
              <w:top w:val="nil" w:sz="6" w:space="0" w:color="auto"/>
              <w:left w:val="nil" w:sz="6" w:space="0" w:color="auto"/>
              <w:bottom w:val="single" w:sz="4" w:space="0" w:color="000000"/>
              <w:right w:val="nil" w:sz="6" w:space="0" w:color="auto"/>
            </w:tcBorders>
          </w:tcPr>
          <w:p>
            <w:pP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3,221.13</w:t>
            </w:r>
          </w:p>
        </w:tc>
      </w:tr>
      <w:tr>
        <w:trPr>
          <w:trHeight w:val="420" w:hRule="exact"/>
        </w:trPr>
        <w:tc>
          <w:tcPr>
            <w:tcW w:w="3006" w:type="dxa"/>
            <w:tcBorders>
              <w:top w:val="nil" w:sz="6" w:space="0" w:color="auto"/>
              <w:left w:val="nil" w:sz="6" w:space="0" w:color="auto"/>
              <w:bottom w:val="nil" w:sz="6" w:space="0" w:color="auto"/>
              <w:right w:val="nil" w:sz="6" w:space="0" w:color="auto"/>
            </w:tcBorders>
          </w:tcPr>
          <w:p>
            <w:pPr/>
          </w:p>
        </w:tc>
        <w:tc>
          <w:tcPr>
            <w:tcW w:w="27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830"/>
              <w:jc w:val="right"/>
              <w:rPr>
                <w:rFonts w:ascii="Times New Roman" w:hAnsi="Times New Roman" w:cs="Times New Roman" w:eastAsia="Times New Roman" w:hint="default"/>
                <w:sz w:val="18"/>
                <w:szCs w:val="18"/>
              </w:rPr>
            </w:pPr>
            <w:r>
              <w:rPr>
                <w:rFonts w:ascii="Times New Roman"/>
                <w:w w:val="95"/>
                <w:sz w:val="18"/>
              </w:rPr>
              <w:t>9,855.00</w:t>
            </w: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spacing w:val="-1"/>
                <w:sz w:val="18"/>
              </w:rPr>
              <w:t>50,468.62</w:t>
            </w:r>
          </w:p>
        </w:tc>
      </w:tr>
    </w:tbl>
    <w:p>
      <w:pPr>
        <w:spacing w:line="257" w:lineRule="exact" w:before="0"/>
        <w:ind w:left="140" w:right="1314" w:firstLine="360"/>
        <w:jc w:val="left"/>
        <w:rPr>
          <w:rFonts w:ascii="宋体" w:hAnsi="宋体" w:cs="宋体" w:eastAsia="宋体" w:hint="default"/>
          <w:sz w:val="21"/>
          <w:szCs w:val="21"/>
        </w:rPr>
      </w:pPr>
      <w:r>
        <w:rPr>
          <w:rFonts w:ascii="宋体" w:hAnsi="宋体" w:cs="宋体" w:eastAsia="宋体" w:hint="default"/>
          <w:sz w:val="21"/>
          <w:szCs w:val="21"/>
        </w:rPr>
        <w:t>注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：成都天府立交店的租金采用“保底加提成”的方式计算，公司先按照年保底租金按季度支</w:t>
      </w:r>
    </w:p>
    <w:p>
      <w:pPr>
        <w:spacing w:line="338" w:lineRule="auto" w:before="120"/>
        <w:ind w:left="140" w:right="1431" w:firstLine="0"/>
        <w:jc w:val="both"/>
        <w:rPr>
          <w:rFonts w:ascii="宋体" w:hAnsi="宋体" w:cs="宋体" w:eastAsia="宋体" w:hint="default"/>
          <w:sz w:val="21"/>
          <w:szCs w:val="21"/>
        </w:rPr>
      </w:pPr>
      <w:r>
        <w:rPr>
          <w:rFonts w:ascii="宋体" w:hAnsi="宋体" w:cs="宋体" w:eastAsia="宋体" w:hint="default"/>
          <w:spacing w:val="-4"/>
          <w:sz w:val="21"/>
          <w:szCs w:val="21"/>
        </w:rPr>
        <w:t>付，年度结束后，按该店当年实现销售收入（含税）的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3.2%</w:t>
      </w:r>
      <w:r>
        <w:rPr>
          <w:rFonts w:ascii="宋体" w:hAnsi="宋体" w:cs="宋体" w:eastAsia="宋体" w:hint="default"/>
          <w:sz w:val="21"/>
          <w:szCs w:val="21"/>
        </w:rPr>
        <w:t>计算提成租金，若计算得出的租金额超</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过保底租金，则应向成都鸿业置业支付差额部分租金。</w:t>
      </w:r>
      <w:r>
        <w:rPr>
          <w:rFonts w:ascii="Times New Roman" w:hAnsi="Times New Roman" w:cs="Times New Roman" w:eastAsia="Times New Roman" w:hint="default"/>
          <w:spacing w:val="-3"/>
          <w:sz w:val="21"/>
          <w:szCs w:val="21"/>
        </w:rPr>
        <w:t>2011 </w:t>
      </w:r>
      <w:r>
        <w:rPr>
          <w:rFonts w:ascii="宋体" w:hAnsi="宋体" w:cs="宋体" w:eastAsia="宋体" w:hint="default"/>
          <w:spacing w:val="-3"/>
          <w:sz w:val="21"/>
          <w:szCs w:val="21"/>
        </w:rPr>
        <w:t>年，成都苏宁电器应向成都鸿业置业支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付的前述租金差额为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月份支付完毕。</w:t>
      </w:r>
    </w:p>
    <w:p>
      <w:pPr>
        <w:spacing w:before="22"/>
        <w:ind w:left="500" w:right="1314" w:firstLine="0"/>
        <w:jc w:val="left"/>
        <w:rPr>
          <w:rFonts w:ascii="宋体" w:hAnsi="宋体" w:cs="宋体" w:eastAsia="宋体" w:hint="default"/>
          <w:sz w:val="21"/>
          <w:szCs w:val="21"/>
        </w:rPr>
      </w:pPr>
      <w:r>
        <w:rPr>
          <w:rFonts w:ascii="宋体" w:hAnsi="宋体" w:cs="宋体" w:eastAsia="宋体" w:hint="default"/>
          <w:sz w:val="21"/>
          <w:szCs w:val="21"/>
        </w:rPr>
        <w:t>另公司在报告期内代收代缴成都鸿业置业水电费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144.37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748" w:footer="782" w:top="980" w:bottom="980" w:left="1300" w:right="0"/>
        </w:sectPr>
      </w:pPr>
    </w:p>
    <w:p>
      <w:pPr>
        <w:spacing w:line="240" w:lineRule="auto" w:before="2"/>
        <w:rPr>
          <w:rFonts w:ascii="宋体" w:hAnsi="宋体" w:cs="宋体" w:eastAsia="宋体" w:hint="default"/>
          <w:sz w:val="29"/>
          <w:szCs w:val="29"/>
        </w:rPr>
      </w:pPr>
    </w:p>
    <w:p>
      <w:pPr>
        <w:spacing w:before="36"/>
        <w:ind w:left="500" w:right="1314"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：报告期内，青岛李村广场店停业装修，故未计提销售提成费用。</w:t>
      </w:r>
    </w:p>
    <w:p>
      <w:pPr>
        <w:pStyle w:val="BodyText"/>
        <w:spacing w:line="240" w:lineRule="auto" w:before="113"/>
        <w:ind w:left="740" w:right="1314"/>
        <w:jc w:val="left"/>
      </w:pPr>
      <w:r>
        <w:rPr/>
        <w:t>六、公司重大合同及履行情况</w:t>
      </w:r>
    </w:p>
    <w:p>
      <w:pPr>
        <w:pStyle w:val="BodyText"/>
        <w:spacing w:line="357" w:lineRule="auto" w:before="154"/>
        <w:ind w:right="1435" w:firstLine="480"/>
        <w:jc w:val="both"/>
      </w:pPr>
      <w:r>
        <w:rPr>
          <w:spacing w:val="-3"/>
        </w:rPr>
        <w:t>（一）报告期内，公司除正常租赁房屋进行开设连锁店外，未发生也未有以前期间</w:t>
      </w:r>
      <w:r>
        <w:rPr/>
        <w:t> </w:t>
      </w:r>
      <w:r>
        <w:rPr>
          <w:spacing w:val="-3"/>
        </w:rPr>
        <w:t>发生但延续到报告期的重大托管、承包、租赁其他公司资产或其他公司托管、承包、租</w:t>
      </w:r>
      <w:r>
        <w:rPr>
          <w:spacing w:val="-97"/>
        </w:rPr>
        <w:t> </w:t>
      </w:r>
      <w:r>
        <w:rPr>
          <w:spacing w:val="-97"/>
        </w:rPr>
      </w:r>
      <w:r>
        <w:rPr/>
        <w:t>赁上市公司资产事项。有关连锁店租赁房屋的合同已正常履行。</w:t>
      </w:r>
    </w:p>
    <w:p>
      <w:pPr>
        <w:pStyle w:val="BodyText"/>
        <w:spacing w:line="338" w:lineRule="auto" w:before="36"/>
        <w:ind w:right="1314" w:firstLine="480"/>
        <w:jc w:val="left"/>
      </w:pPr>
      <w:r>
        <w:rPr>
          <w:spacing w:val="-1"/>
        </w:rPr>
        <w:t>报告期内，公司也未签署超过</w:t>
      </w:r>
      <w:r>
        <w:rPr>
          <w:rFonts w:ascii="Times New Roman" w:hAnsi="Times New Roman" w:cs="Times New Roman" w:eastAsia="Times New Roman" w:hint="default"/>
          <w:spacing w:val="-1"/>
        </w:rPr>
        <w:t>2011</w:t>
      </w:r>
      <w:r>
        <w:rPr>
          <w:spacing w:val="-1"/>
        </w:rPr>
        <w:t>年主营业务收入</w:t>
      </w:r>
      <w:r>
        <w:rPr>
          <w:rFonts w:ascii="Times New Roman" w:hAnsi="Times New Roman" w:cs="Times New Roman" w:eastAsia="Times New Roman" w:hint="default"/>
          <w:spacing w:val="-1"/>
        </w:rPr>
        <w:t>30%</w:t>
      </w:r>
      <w:r>
        <w:rPr>
          <w:spacing w:val="-1"/>
        </w:rPr>
        <w:t>以上的日常经营重大合同，</w:t>
      </w:r>
      <w:r>
        <w:rPr/>
        <w:t> 有关连锁店租赁房屋的合同已正常履行。</w:t>
      </w:r>
    </w:p>
    <w:p>
      <w:pPr>
        <w:pStyle w:val="BodyText"/>
        <w:spacing w:line="357" w:lineRule="auto" w:before="56"/>
        <w:ind w:right="1427" w:firstLine="480"/>
        <w:jc w:val="left"/>
      </w:pPr>
      <w:r>
        <w:rPr/>
        <w:t>（二）</w:t>
      </w:r>
      <w:r>
        <w:rPr>
          <w:spacing w:val="21"/>
        </w:rPr>
        <w:t> </w:t>
      </w:r>
      <w:r>
        <w:rPr/>
        <w:t>报告期内，公司未发生委托现金资产管理事项，也无以前委托现金资产管</w:t>
      </w:r>
      <w:r>
        <w:rPr/>
        <w:t> 理事项。</w:t>
      </w:r>
    </w:p>
    <w:p>
      <w:pPr>
        <w:pStyle w:val="BodyText"/>
        <w:spacing w:line="357" w:lineRule="auto" w:before="36"/>
        <w:ind w:right="1427" w:firstLine="480"/>
        <w:jc w:val="left"/>
      </w:pPr>
      <w:r>
        <w:rPr/>
        <w:t>（三）</w:t>
      </w:r>
      <w:r>
        <w:rPr>
          <w:spacing w:val="21"/>
        </w:rPr>
        <w:t> </w:t>
      </w:r>
      <w:r>
        <w:rPr/>
        <w:t>报告期内，公司除对控股子公司进行担保外，不存在其他对外担保事项，</w:t>
      </w:r>
      <w:r>
        <w:rPr/>
        <w:t> 也不存在以前发生并延续到报告期的其他对外担保事项，具体情况如下：</w:t>
      </w:r>
    </w:p>
    <w:p>
      <w:pPr>
        <w:pStyle w:val="BodyText"/>
        <w:spacing w:line="240" w:lineRule="auto" w:before="36"/>
        <w:ind w:left="620" w:right="1314"/>
        <w:jc w:val="left"/>
      </w:pPr>
      <w:r>
        <w:rPr>
          <w:rFonts w:ascii="Times New Roman" w:hAnsi="Times New Roman" w:cs="Times New Roman" w:eastAsia="Times New Roman" w:hint="default"/>
        </w:rPr>
        <w:t>1</w:t>
      </w:r>
      <w:r>
        <w:rPr/>
        <w:t>、报告期内，公司审议对外担保情况</w:t>
      </w:r>
    </w:p>
    <w:p>
      <w:pPr>
        <w:pStyle w:val="BodyText"/>
        <w:spacing w:line="240" w:lineRule="auto"/>
        <w:ind w:left="620" w:right="1314"/>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日，经公司第四届董事会第七次会议审议通过，同意公司为全资子</w:t>
      </w:r>
    </w:p>
    <w:p>
      <w:pPr>
        <w:pStyle w:val="BodyText"/>
        <w:spacing w:line="240" w:lineRule="auto"/>
        <w:ind w:right="1314"/>
        <w:jc w:val="left"/>
      </w:pPr>
      <w:r>
        <w:rPr/>
        <w:t>公司—香港苏宁电器有限公司向银行融资提供最高额度为</w:t>
      </w:r>
      <w:r>
        <w:rPr>
          <w:spacing w:val="-60"/>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万元的担保。</w:t>
      </w:r>
    </w:p>
    <w:p>
      <w:pPr>
        <w:pStyle w:val="BodyText"/>
        <w:spacing w:line="240" w:lineRule="auto" w:before="136"/>
        <w:ind w:left="620" w:right="1314"/>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日，经公司第四届董事会第十次会议审议通过，同意公司为全资子</w:t>
      </w:r>
    </w:p>
    <w:p>
      <w:pPr>
        <w:pStyle w:val="BodyText"/>
        <w:spacing w:line="240" w:lineRule="auto"/>
        <w:ind w:right="1314"/>
        <w:jc w:val="left"/>
      </w:pPr>
      <w:r>
        <w:rPr/>
        <w:t>公司—香港苏宁电器有限公司向银行融资再提供最高额度为 </w:t>
      </w:r>
      <w:r>
        <w:rPr>
          <w:rFonts w:ascii="Times New Roman" w:hAnsi="Times New Roman" w:cs="Times New Roman" w:eastAsia="Times New Roman" w:hint="default"/>
        </w:rPr>
        <w:t>57,000  </w:t>
      </w:r>
      <w:r>
        <w:rPr/>
        <w:t>万元的担保。</w:t>
      </w:r>
    </w:p>
    <w:p>
      <w:pPr>
        <w:pStyle w:val="BodyText"/>
        <w:spacing w:line="240" w:lineRule="auto"/>
        <w:ind w:left="620" w:right="1314"/>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日，经公司第四届董事会第十五次会议审议通过，同意公司为全资</w:t>
      </w:r>
    </w:p>
    <w:p>
      <w:pPr>
        <w:pStyle w:val="BodyText"/>
        <w:spacing w:line="240" w:lineRule="auto"/>
        <w:ind w:right="1314"/>
        <w:jc w:val="left"/>
      </w:pPr>
      <w:r>
        <w:rPr/>
        <w:t>子公司—香港苏宁电器有限公司向银行融资再提供最高额度为</w:t>
      </w:r>
      <w:r>
        <w:rPr>
          <w:spacing w:val="-60"/>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1"/>
        </w:rPr>
        <w:t> </w:t>
      </w:r>
      <w:r>
        <w:rPr/>
        <w:t>万元的担保。</w:t>
      </w:r>
    </w:p>
    <w:p>
      <w:pPr>
        <w:pStyle w:val="BodyText"/>
        <w:spacing w:line="240" w:lineRule="auto"/>
        <w:ind w:left="620" w:right="1314"/>
        <w:jc w:val="left"/>
      </w:pPr>
      <w:r>
        <w:rPr>
          <w:rFonts w:ascii="Times New Roman" w:hAnsi="Times New Roman" w:cs="Times New Roman" w:eastAsia="Times New Roman" w:hint="default"/>
        </w:rPr>
        <w:t>2</w:t>
      </w:r>
      <w:r>
        <w:rPr/>
        <w:t>、报告期内公司实际对外担保情况</w:t>
      </w:r>
    </w:p>
    <w:p>
      <w:pPr>
        <w:pStyle w:val="BodyText"/>
        <w:spacing w:line="240" w:lineRule="auto"/>
        <w:ind w:left="620" w:right="131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日，公司与交通银行股份有限公司安徽省分行签订了最高额</w:t>
      </w:r>
    </w:p>
    <w:p>
      <w:pPr>
        <w:pStyle w:val="BodyText"/>
        <w:spacing w:line="240" w:lineRule="auto"/>
        <w:ind w:right="1314"/>
        <w:jc w:val="left"/>
      </w:pPr>
      <w:r>
        <w:rPr>
          <w:spacing w:val="-5"/>
        </w:rPr>
        <w:t>保证合同，为安徽苏宁电器有限公司自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15 </w:t>
      </w:r>
      <w:r>
        <w:rPr/>
        <w:t>日起至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15 </w:t>
      </w:r>
      <w:r>
        <w:rPr/>
        <w:t>日期间的</w:t>
      </w:r>
    </w:p>
    <w:p>
      <w:pPr>
        <w:pStyle w:val="BodyText"/>
        <w:spacing w:line="240" w:lineRule="auto" w:before="136"/>
        <w:ind w:right="1314"/>
        <w:jc w:val="left"/>
      </w:pPr>
      <w:r>
        <w:rPr/>
        <w:t>银行承兑汇票提供连带责任保证，最高额度为 </w:t>
      </w:r>
      <w:r>
        <w:rPr>
          <w:rFonts w:ascii="Times New Roman" w:hAnsi="Times New Roman" w:cs="Times New Roman" w:eastAsia="Times New Roman" w:hint="default"/>
        </w:rPr>
        <w:t>10,500</w:t>
      </w:r>
      <w:r>
        <w:rPr>
          <w:rFonts w:ascii="Times New Roman" w:hAnsi="Times New Roman" w:cs="Times New Roman" w:eastAsia="Times New Roman" w:hint="default"/>
          <w:spacing w:val="28"/>
        </w:rPr>
        <w:t> </w:t>
      </w:r>
      <w:r>
        <w:rPr/>
        <w:t>万元。安徽苏宁电器有限公司根</w:t>
      </w:r>
    </w:p>
    <w:p>
      <w:pPr>
        <w:pStyle w:val="BodyText"/>
        <w:spacing w:line="338" w:lineRule="auto"/>
        <w:ind w:right="1424"/>
        <w:jc w:val="left"/>
      </w:pPr>
      <w:r>
        <w:rPr/>
        <w:t>据上述最高额保证合同及相关合同开具的银行承兑汇票于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19 </w:t>
      </w:r>
      <w:r>
        <w:rPr>
          <w:spacing w:val="-14"/>
        </w:rPr>
        <w:t>日到期，已全</w:t>
      </w:r>
      <w:r>
        <w:rPr/>
        <w:t> 部归还。公司此项担保解除。</w:t>
      </w:r>
    </w:p>
    <w:p>
      <w:pPr>
        <w:pStyle w:val="BodyText"/>
        <w:spacing w:line="240" w:lineRule="auto" w:before="55"/>
        <w:ind w:left="620" w:right="131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8"/>
        </w:rPr>
        <w:t> </w:t>
      </w:r>
      <w:r>
        <w:rPr/>
        <w:t>日，公司与中国银行股份有限公司武汉江汉支行签订了最高</w:t>
      </w:r>
    </w:p>
    <w:p>
      <w:pPr>
        <w:pStyle w:val="BodyText"/>
        <w:spacing w:line="240" w:lineRule="auto"/>
        <w:ind w:right="1314"/>
        <w:jc w:val="left"/>
      </w:pPr>
      <w:r>
        <w:rPr>
          <w:spacing w:val="-5"/>
        </w:rPr>
        <w:t>额保证合同，为武汉苏宁电器有限公司自</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日起至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14 </w:t>
      </w:r>
      <w:r>
        <w:rPr/>
        <w:t>日期间</w:t>
      </w:r>
    </w:p>
    <w:p>
      <w:pPr>
        <w:pStyle w:val="BodyText"/>
        <w:spacing w:line="240" w:lineRule="auto"/>
        <w:ind w:right="1314"/>
        <w:jc w:val="left"/>
      </w:pPr>
      <w:r>
        <w:rPr/>
        <w:t>开具的银行承兑汇票提供连带责任保证，最高额度为 </w:t>
      </w:r>
      <w:r>
        <w:rPr>
          <w:rFonts w:ascii="Times New Roman" w:hAnsi="Times New Roman" w:cs="Times New Roman" w:eastAsia="Times New Roman" w:hint="default"/>
        </w:rPr>
        <w:t>15,000</w:t>
      </w:r>
      <w:r>
        <w:rPr>
          <w:rFonts w:ascii="Times New Roman" w:hAnsi="Times New Roman" w:cs="Times New Roman" w:eastAsia="Times New Roman" w:hint="default"/>
          <w:spacing w:val="27"/>
        </w:rPr>
        <w:t> </w:t>
      </w:r>
      <w:r>
        <w:rPr/>
        <w:t>万元。武汉苏宁电器有限</w:t>
      </w:r>
    </w:p>
    <w:p>
      <w:pPr>
        <w:pStyle w:val="BodyText"/>
        <w:spacing w:line="338" w:lineRule="auto" w:before="136"/>
        <w:ind w:right="1420"/>
        <w:jc w:val="left"/>
      </w:pPr>
      <w:r>
        <w:rPr/>
        <w:t>公司根据上述最高额保证合同及相关合同开具的银行承兑汇票于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t>日到 期，已全部归还。公司此项担保解除。</w:t>
      </w:r>
    </w:p>
    <w:p>
      <w:pPr>
        <w:pStyle w:val="BodyText"/>
        <w:spacing w:line="240" w:lineRule="auto" w:before="55"/>
        <w:ind w:left="620" w:right="131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8"/>
        </w:rPr>
        <w:t> </w:t>
      </w:r>
      <w:r>
        <w:rPr/>
        <w:t>日，公司与交通银行股份有限公司湖南省分行府中支行签订</w:t>
      </w:r>
    </w:p>
    <w:p>
      <w:pPr>
        <w:pStyle w:val="BodyText"/>
        <w:spacing w:line="240" w:lineRule="auto"/>
        <w:ind w:right="1314"/>
        <w:jc w:val="left"/>
        <w:rPr>
          <w:rFonts w:ascii="Times New Roman" w:hAnsi="Times New Roman" w:cs="Times New Roman" w:eastAsia="Times New Roman" w:hint="default"/>
        </w:rPr>
      </w:pPr>
      <w:r>
        <w:rPr/>
        <w:t>最高额保证合同，为湖南苏宁电器有限公司自</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5"/>
        </w:rPr>
        <w:t> </w:t>
      </w:r>
      <w:r>
        <w:rPr/>
        <w:t>日起至</w:t>
      </w:r>
      <w:r>
        <w:rPr>
          <w:spacing w:val="-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45"/>
        </w:rPr>
        <w:t> </w:t>
      </w:r>
      <w:r>
        <w:rPr>
          <w:rFonts w:ascii="Times New Roman" w:hAnsi="Times New Roman" w:cs="Times New Roman" w:eastAsia="Times New Roman" w:hint="default"/>
        </w:rPr>
        <w:t>16</w:t>
      </w:r>
    </w:p>
    <w:p>
      <w:pPr>
        <w:spacing w:after="0" w:line="240" w:lineRule="auto"/>
        <w:jc w:val="left"/>
        <w:rPr>
          <w:rFonts w:ascii="Times New Roman" w:hAnsi="Times New Roman" w:cs="Times New Roman" w:eastAsia="Times New Roman" w:hint="default"/>
        </w:rPr>
        <w:sectPr>
          <w:footerReference w:type="default" r:id="rId61"/>
          <w:pgSz w:w="11910" w:h="16840"/>
          <w:pgMar w:footer="886" w:header="748" w:top="980" w:bottom="1080" w:left="130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right="0"/>
        <w:jc w:val="both"/>
      </w:pPr>
      <w:r>
        <w:rPr/>
        <w:t>日期间开具的银行承兑汇票提供连带责任担保，最高额度为 </w:t>
      </w:r>
      <w:r>
        <w:rPr>
          <w:rFonts w:ascii="Times New Roman" w:hAnsi="Times New Roman" w:cs="Times New Roman" w:eastAsia="Times New Roman" w:hint="default"/>
        </w:rPr>
        <w:t>14,000</w:t>
      </w:r>
      <w:r>
        <w:rPr>
          <w:rFonts w:ascii="Times New Roman" w:hAnsi="Times New Roman" w:cs="Times New Roman" w:eastAsia="Times New Roman" w:hint="default"/>
          <w:spacing w:val="29"/>
        </w:rPr>
        <w:t> </w:t>
      </w:r>
      <w:r>
        <w:rPr/>
        <w:t>万元。湖南苏宁电</w:t>
      </w:r>
    </w:p>
    <w:p>
      <w:pPr>
        <w:pStyle w:val="BodyText"/>
        <w:spacing w:line="240" w:lineRule="auto"/>
        <w:ind w:right="0"/>
        <w:jc w:val="both"/>
        <w:rPr>
          <w:rFonts w:ascii="Times New Roman" w:hAnsi="Times New Roman" w:cs="Times New Roman" w:eastAsia="Times New Roman" w:hint="default"/>
        </w:rPr>
      </w:pPr>
      <w:r>
        <w:rPr/>
        <w:t>器有限公司根据上述最高额保证合同及相关合同开具的银行承兑汇票于</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23</w:t>
      </w:r>
    </w:p>
    <w:p>
      <w:pPr>
        <w:pStyle w:val="BodyText"/>
        <w:spacing w:line="240" w:lineRule="auto"/>
        <w:ind w:right="0"/>
        <w:jc w:val="both"/>
      </w:pPr>
      <w:r>
        <w:rPr/>
        <w:t>日到期，已全部归还。公司此项担保解除。</w:t>
      </w:r>
    </w:p>
    <w:p>
      <w:pPr>
        <w:pStyle w:val="BodyText"/>
        <w:spacing w:line="240" w:lineRule="auto" w:before="154"/>
        <w:ind w:left="620" w:right="1314"/>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18"/>
        </w:rPr>
        <w:t> </w:t>
      </w:r>
      <w:r>
        <w:rPr/>
        <w:t>日，公司与中国银行股份有限公司南京鼓楼支行签订了保证</w:t>
      </w:r>
    </w:p>
    <w:p>
      <w:pPr>
        <w:pStyle w:val="BodyText"/>
        <w:spacing w:line="240" w:lineRule="auto"/>
        <w:ind w:right="0"/>
        <w:jc w:val="both"/>
        <w:rPr>
          <w:rFonts w:ascii="Times New Roman" w:hAnsi="Times New Roman" w:cs="Times New Roman" w:eastAsia="Times New Roman" w:hint="default"/>
        </w:rPr>
      </w:pPr>
      <w:r>
        <w:rPr/>
        <w:t>金质押合同，为银行向香港苏宁电器有限公司自</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t>日起至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5</w:t>
      </w:r>
    </w:p>
    <w:p>
      <w:pPr>
        <w:pStyle w:val="BodyText"/>
        <w:spacing w:line="240" w:lineRule="auto"/>
        <w:ind w:right="0"/>
        <w:jc w:val="both"/>
      </w:pPr>
      <w:r>
        <w:rPr>
          <w:spacing w:val="-3"/>
        </w:rPr>
        <w:t>日期间开具的保函提供连带责任保证，保证金额为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4"/>
        </w:rPr>
        <w:t>亿元。香港苏宁电器有限公司根据</w:t>
      </w:r>
    </w:p>
    <w:p>
      <w:pPr>
        <w:pStyle w:val="BodyText"/>
        <w:spacing w:line="338" w:lineRule="auto"/>
        <w:ind w:right="1436"/>
        <w:jc w:val="both"/>
      </w:pPr>
      <w:r>
        <w:rPr/>
        <w:t>上述保证金质押合同及相关合同开具的保函于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日到期，已全部归还。公 司此项担保解除。</w:t>
      </w:r>
    </w:p>
    <w:p>
      <w:pPr>
        <w:pStyle w:val="BodyText"/>
        <w:spacing w:line="240" w:lineRule="auto" w:before="55"/>
        <w:ind w:left="620" w:right="1314"/>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8"/>
        </w:rPr>
        <w:t> </w:t>
      </w:r>
      <w:r>
        <w:rPr/>
        <w:t>日，公司与花旗银行（中国）有限公司上海分行签署账户质</w:t>
      </w:r>
    </w:p>
    <w:p>
      <w:pPr>
        <w:pStyle w:val="BodyText"/>
        <w:spacing w:line="240" w:lineRule="auto"/>
        <w:ind w:right="0"/>
        <w:jc w:val="both"/>
      </w:pPr>
      <w:r>
        <w:rPr/>
        <w:t>押协议，为银行对香港苏宁电器有限公司自</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日起至</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日止</w:t>
      </w:r>
    </w:p>
    <w:p>
      <w:pPr>
        <w:pStyle w:val="BodyText"/>
        <w:spacing w:line="240" w:lineRule="auto"/>
        <w:ind w:right="0"/>
        <w:jc w:val="both"/>
      </w:pPr>
      <w:r>
        <w:rPr>
          <w:spacing w:val="-3"/>
        </w:rPr>
        <w:t>期间开具的保函提供连带责任保证，保证金额为</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3"/>
        </w:rPr>
        <w:t>亿元。经公司第四届董事会第七次会</w:t>
      </w:r>
    </w:p>
    <w:p>
      <w:pPr>
        <w:pStyle w:val="BodyText"/>
        <w:spacing w:line="240" w:lineRule="auto"/>
        <w:ind w:right="0"/>
        <w:jc w:val="both"/>
      </w:pPr>
      <w:r>
        <w:rPr>
          <w:spacing w:val="-3"/>
        </w:rPr>
        <w:t>议审议通过，此担保展期至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21 </w:t>
      </w:r>
      <w:r>
        <w:rPr>
          <w:spacing w:val="-8"/>
        </w:rPr>
        <w:t>日。</w:t>
      </w:r>
      <w:r>
        <w:rPr>
          <w:rFonts w:ascii="Times New Roman" w:hAnsi="Times New Roman" w:cs="Times New Roman" w:eastAsia="Times New Roman" w:hint="default"/>
          <w:spacing w:val="-8"/>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spacing w:val="-6"/>
        </w:rPr>
        <w:t>日，公司向花旗银行（中</w:t>
      </w:r>
    </w:p>
    <w:p>
      <w:pPr>
        <w:pStyle w:val="BodyText"/>
        <w:spacing w:line="240" w:lineRule="auto"/>
        <w:ind w:right="0"/>
        <w:jc w:val="both"/>
      </w:pPr>
      <w:r>
        <w:rPr>
          <w:spacing w:val="-4"/>
        </w:rPr>
        <w:t>国）有限公司上海分行申请追加</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3"/>
        </w:rPr>
        <w:t>亿授信额度，并与其重新签订保证金额为</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亿元的账</w:t>
      </w:r>
    </w:p>
    <w:p>
      <w:pPr>
        <w:pStyle w:val="BodyText"/>
        <w:spacing w:line="240" w:lineRule="auto"/>
        <w:ind w:right="0"/>
        <w:jc w:val="both"/>
        <w:rPr>
          <w:rFonts w:ascii="Times New Roman" w:hAnsi="Times New Roman" w:cs="Times New Roman" w:eastAsia="Times New Roman" w:hint="default"/>
        </w:rPr>
      </w:pPr>
      <w:r>
        <w:rPr/>
        <w:t>户质押协议，为银行对香港苏宁电器有限公司自</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日起至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p>
    <w:p>
      <w:pPr>
        <w:pStyle w:val="BodyText"/>
        <w:spacing w:line="338" w:lineRule="auto" w:before="136"/>
        <w:ind w:right="1436"/>
        <w:jc w:val="both"/>
      </w:pPr>
      <w:r>
        <w:rPr/>
        <w:t>日止期间开具的保函提供连带责任保证。截至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日，香港苏宁电器有限 公司根据上述账户质押协议开具的保函尚未到期，公司继续为其提供连带责任保证。</w:t>
      </w:r>
    </w:p>
    <w:p>
      <w:pPr>
        <w:pStyle w:val="BodyText"/>
        <w:spacing w:line="240" w:lineRule="auto" w:before="55"/>
        <w:ind w:left="620" w:right="1314"/>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8"/>
        </w:rPr>
        <w:t> </w:t>
      </w:r>
      <w:r>
        <w:rPr/>
        <w:t>日，公司与中国银行股份有限公司南京鼓楼支行签订了保证</w:t>
      </w:r>
    </w:p>
    <w:p>
      <w:pPr>
        <w:pStyle w:val="BodyText"/>
        <w:spacing w:line="240" w:lineRule="auto"/>
        <w:ind w:right="0"/>
        <w:jc w:val="both"/>
        <w:rPr>
          <w:rFonts w:ascii="Times New Roman" w:hAnsi="Times New Roman" w:cs="Times New Roman" w:eastAsia="Times New Roman" w:hint="default"/>
        </w:rPr>
      </w:pPr>
      <w:r>
        <w:rPr/>
        <w:t>金质押合同，为银行向香港苏宁电器有限公司自</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日起至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rPr>
      </w:r>
    </w:p>
    <w:p>
      <w:pPr>
        <w:pStyle w:val="BodyText"/>
        <w:spacing w:line="240" w:lineRule="auto"/>
        <w:ind w:right="0"/>
        <w:jc w:val="both"/>
      </w:pPr>
      <w:r>
        <w:rPr>
          <w:spacing w:val="-3"/>
        </w:rPr>
        <w:t>日期间开具的保函提供连带责任保证，保证金额为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4"/>
        </w:rPr>
        <w:t>亿元。香港苏宁电器有限公司根据</w:t>
      </w:r>
    </w:p>
    <w:p>
      <w:pPr>
        <w:pStyle w:val="BodyText"/>
        <w:spacing w:line="338" w:lineRule="auto"/>
        <w:ind w:right="1434"/>
        <w:jc w:val="both"/>
      </w:pPr>
      <w:r>
        <w:rPr/>
        <w:t>上述保证金质押合同及相关合同开具的保函于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spacing w:val="-7"/>
        </w:rPr>
        <w:t>日到期，已全部归还。公</w:t>
      </w:r>
      <w:r>
        <w:rPr/>
        <w:t> 司此项担保解除。</w:t>
      </w:r>
    </w:p>
    <w:p>
      <w:pPr>
        <w:pStyle w:val="BodyText"/>
        <w:spacing w:line="240" w:lineRule="auto" w:before="55"/>
        <w:ind w:left="620" w:right="1314"/>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18"/>
        </w:rPr>
        <w:t> </w:t>
      </w:r>
      <w:r>
        <w:rPr/>
        <w:t>日，公司与中国银行股份有限公司南京鼓楼支行签订了保证</w:t>
      </w:r>
    </w:p>
    <w:p>
      <w:pPr>
        <w:pStyle w:val="BodyText"/>
        <w:spacing w:line="240" w:lineRule="auto"/>
        <w:ind w:right="0"/>
        <w:jc w:val="both"/>
        <w:rPr>
          <w:rFonts w:ascii="Times New Roman" w:hAnsi="Times New Roman" w:cs="Times New Roman" w:eastAsia="Times New Roman" w:hint="default"/>
        </w:rPr>
      </w:pPr>
      <w:r>
        <w:rPr/>
        <w:t>金质押合同，为银行向香港苏宁电器有限公司自</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日起至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10</w:t>
      </w:r>
    </w:p>
    <w:p>
      <w:pPr>
        <w:pStyle w:val="BodyText"/>
        <w:spacing w:line="348" w:lineRule="auto"/>
        <w:ind w:right="1436"/>
        <w:jc w:val="both"/>
      </w:pPr>
      <w:r>
        <w:rPr/>
        <w:t>日期间开具的保函提供连带责任保证，保证金额为</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 </w:t>
      </w:r>
      <w:r>
        <w:rPr>
          <w:spacing w:val="-3"/>
        </w:rPr>
        <w:t>香港苏宁电器有限公司根据上述保证金质押合同及相关合同开具的保函尚未到期，公司</w:t>
      </w:r>
      <w:r>
        <w:rPr>
          <w:spacing w:val="-98"/>
        </w:rPr>
        <w:t> </w:t>
      </w:r>
      <w:r>
        <w:rPr>
          <w:spacing w:val="-98"/>
        </w:rPr>
      </w:r>
      <w:r>
        <w:rPr/>
        <w:t>继续为其提供连带责任保证。</w:t>
      </w:r>
    </w:p>
    <w:p>
      <w:pPr>
        <w:pStyle w:val="BodyText"/>
        <w:spacing w:line="240" w:lineRule="auto" w:before="46"/>
        <w:ind w:left="620" w:right="1314"/>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日，公司与恒生银行（中国）有限公司南京分行签订了账户</w:t>
      </w:r>
    </w:p>
    <w:p>
      <w:pPr>
        <w:pStyle w:val="BodyText"/>
        <w:spacing w:line="240" w:lineRule="auto" w:before="136"/>
        <w:ind w:right="0"/>
        <w:jc w:val="both"/>
      </w:pPr>
      <w:r>
        <w:rPr>
          <w:spacing w:val="-5"/>
        </w:rPr>
        <w:t>质押合同，为银行对香港苏宁电器有限公司自</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日起至</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468" w:lineRule="exact" w:before="41"/>
        <w:ind w:right="1436"/>
        <w:jc w:val="both"/>
      </w:pPr>
      <w:r>
        <w:rPr/>
        <w:t>期间开具的保函提供连带责任保证，保证金额为</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日，香 </w:t>
      </w:r>
      <w:r>
        <w:rPr>
          <w:spacing w:val="-3"/>
        </w:rPr>
        <w:t>港苏宁电器有限公司根据上述账户质押协议开具的保函尚未到期，公司继续为其提供连</w:t>
      </w:r>
      <w:r>
        <w:rPr>
          <w:spacing w:val="-98"/>
        </w:rPr>
        <w:t> </w:t>
      </w:r>
      <w:r>
        <w:rPr>
          <w:spacing w:val="-98"/>
        </w:rPr>
      </w:r>
      <w:r>
        <w:rPr/>
        <w:t>带责任保证。</w:t>
      </w:r>
    </w:p>
    <w:p>
      <w:pPr>
        <w:spacing w:after="0" w:line="468" w:lineRule="exact"/>
        <w:jc w:val="both"/>
        <w:sectPr>
          <w:footerReference w:type="default" r:id="rId62"/>
          <w:pgSz w:w="11910" w:h="16840"/>
          <w:pgMar w:footer="844" w:header="748" w:top="980" w:bottom="1040" w:left="1300" w:right="0"/>
          <w:pgNumType w:start="88"/>
        </w:sectPr>
      </w:pPr>
    </w:p>
    <w:p>
      <w:pPr>
        <w:spacing w:line="240" w:lineRule="auto" w:before="6"/>
        <w:rPr>
          <w:rFonts w:ascii="宋体" w:hAnsi="宋体" w:cs="宋体" w:eastAsia="宋体" w:hint="default"/>
          <w:sz w:val="29"/>
          <w:szCs w:val="29"/>
        </w:rPr>
      </w:pPr>
    </w:p>
    <w:p>
      <w:pPr>
        <w:pStyle w:val="BodyText"/>
        <w:spacing w:line="240" w:lineRule="auto" w:before="26"/>
        <w:ind w:left="620" w:right="1314"/>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18"/>
        </w:rPr>
        <w:t> </w:t>
      </w:r>
      <w:r>
        <w:rPr/>
        <w:t>日，公司与中国银行股份有限公司南京鼓楼支行签订了保证</w:t>
      </w:r>
    </w:p>
    <w:p>
      <w:pPr>
        <w:pStyle w:val="BodyText"/>
        <w:spacing w:line="240" w:lineRule="auto"/>
        <w:ind w:right="0"/>
        <w:jc w:val="both"/>
        <w:rPr>
          <w:rFonts w:ascii="Times New Roman" w:hAnsi="Times New Roman" w:cs="Times New Roman" w:eastAsia="Times New Roman" w:hint="default"/>
        </w:rPr>
      </w:pPr>
      <w:r>
        <w:rPr/>
        <w:t>金质押合同，为银行向香港苏宁电器有限公司自</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日起至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w:t>
      </w:r>
    </w:p>
    <w:p>
      <w:pPr>
        <w:pStyle w:val="BodyText"/>
        <w:spacing w:line="348" w:lineRule="auto"/>
        <w:ind w:right="1436"/>
        <w:jc w:val="both"/>
      </w:pPr>
      <w:r>
        <w:rPr/>
        <w:t>日期间开具的保函提供连带责任保证，保证金额为</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亿元。截至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 </w:t>
      </w:r>
      <w:r>
        <w:rPr>
          <w:spacing w:val="-3"/>
        </w:rPr>
        <w:t>香港苏宁电器有限公司根据上述保证金质押合同及相关合同开具的保函尚未到期，公司</w:t>
      </w:r>
      <w:r>
        <w:rPr>
          <w:spacing w:val="-98"/>
        </w:rPr>
        <w:t> </w:t>
      </w:r>
      <w:r>
        <w:rPr>
          <w:spacing w:val="-98"/>
        </w:rPr>
      </w:r>
      <w:r>
        <w:rPr/>
        <w:t>继续为其提供连带责任保证。</w:t>
      </w:r>
    </w:p>
    <w:p>
      <w:pPr>
        <w:pStyle w:val="BodyText"/>
        <w:spacing w:line="240" w:lineRule="auto" w:before="46"/>
        <w:ind w:left="620" w:right="1314"/>
        <w:jc w:val="left"/>
      </w:pPr>
      <w:r>
        <w:rPr>
          <w:spacing w:val="-3"/>
        </w:rPr>
        <w:t>（</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2011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日，公司与中国银行股份有限公司南京鼓楼支行签订了保证</w:t>
      </w:r>
    </w:p>
    <w:p>
      <w:pPr>
        <w:pStyle w:val="BodyText"/>
        <w:spacing w:line="240" w:lineRule="auto"/>
        <w:ind w:right="0"/>
        <w:jc w:val="both"/>
        <w:rPr>
          <w:rFonts w:ascii="Times New Roman" w:hAnsi="Times New Roman" w:cs="Times New Roman" w:eastAsia="Times New Roman" w:hint="default"/>
        </w:rPr>
      </w:pPr>
      <w:r>
        <w:rPr/>
        <w:t>金质押合同，为银行向香港苏宁电器有限公司自</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日起至</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rPr>
      </w:r>
    </w:p>
    <w:p>
      <w:pPr>
        <w:pStyle w:val="BodyText"/>
        <w:spacing w:line="348" w:lineRule="auto" w:before="136"/>
        <w:ind w:right="1436"/>
        <w:jc w:val="both"/>
      </w:pPr>
      <w:r>
        <w:rPr/>
        <w:t>日期间开具的保函提供连带责任保证，保证金额为</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亿元。截至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 </w:t>
      </w:r>
      <w:r>
        <w:rPr>
          <w:spacing w:val="-3"/>
        </w:rPr>
        <w:t>香港苏宁电器有限公司根据上述保证金质押合同及相关合同开具的保函尚未到期，公司</w:t>
      </w:r>
      <w:r>
        <w:rPr>
          <w:spacing w:val="-98"/>
        </w:rPr>
        <w:t> </w:t>
      </w:r>
      <w:r>
        <w:rPr>
          <w:spacing w:val="-98"/>
        </w:rPr>
      </w:r>
      <w:r>
        <w:rPr/>
        <w:t>继续为其提供连带责任保证。</w:t>
      </w:r>
    </w:p>
    <w:p>
      <w:pPr>
        <w:pStyle w:val="BodyText"/>
        <w:spacing w:line="240" w:lineRule="auto" w:before="46"/>
        <w:ind w:left="620" w:right="131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、截至</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日，董事会审议批准公司可对外担保累计金额为</w:t>
      </w:r>
      <w:r>
        <w:rPr>
          <w:spacing w:val="-55"/>
        </w:rPr>
        <w:t> </w:t>
      </w:r>
      <w:r>
        <w:rPr>
          <w:rFonts w:ascii="Times New Roman" w:hAnsi="Times New Roman" w:cs="Times New Roman" w:eastAsia="Times New Roman" w:hint="default"/>
        </w:rPr>
        <w:t>167,000</w:t>
      </w:r>
    </w:p>
    <w:p>
      <w:pPr>
        <w:pStyle w:val="BodyText"/>
        <w:spacing w:line="240" w:lineRule="auto"/>
        <w:ind w:right="0"/>
        <w:jc w:val="both"/>
      </w:pPr>
      <w:r>
        <w:rPr>
          <w:spacing w:val="-3"/>
        </w:rPr>
        <w:t>万元，全部为对全资子公司的担保，占公司</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日经审计净资产的</w:t>
      </w:r>
      <w:r>
        <w:rPr>
          <w:spacing w:val="-58"/>
        </w:rPr>
        <w:t> </w:t>
      </w:r>
      <w:r>
        <w:rPr>
          <w:rFonts w:ascii="Times New Roman" w:hAnsi="Times New Roman" w:cs="Times New Roman" w:eastAsia="Times New Roman" w:hint="default"/>
        </w:rPr>
        <w:t>7.48%</w:t>
      </w:r>
      <w:r>
        <w:rPr/>
        <w:t>；</w:t>
      </w:r>
    </w:p>
    <w:p>
      <w:pPr>
        <w:pStyle w:val="BodyText"/>
        <w:spacing w:line="240" w:lineRule="auto"/>
        <w:ind w:right="0"/>
        <w:jc w:val="both"/>
        <w:rPr>
          <w:rFonts w:ascii="Times New Roman" w:hAnsi="Times New Roman" w:cs="Times New Roman" w:eastAsia="Times New Roman" w:hint="default"/>
        </w:rPr>
      </w:pPr>
      <w:r>
        <w:rPr/>
        <w:t>公司实际为全资子公司提供的尚未履行完毕的担保总额为 </w:t>
      </w:r>
      <w:r>
        <w:rPr>
          <w:rFonts w:ascii="Times New Roman" w:hAnsi="Times New Roman" w:cs="Times New Roman" w:eastAsia="Times New Roman" w:hint="default"/>
        </w:rPr>
        <w:t>110,000  </w:t>
      </w:r>
      <w:r>
        <w:rPr/>
        <w:t>万元，占公司</w:t>
      </w:r>
      <w:r>
        <w:rPr>
          <w:spacing w:val="-20"/>
        </w:rPr>
        <w:t> </w:t>
      </w:r>
      <w:r>
        <w:rPr>
          <w:rFonts w:ascii="Times New Roman" w:hAnsi="Times New Roman" w:cs="Times New Roman" w:eastAsia="Times New Roman" w:hint="default"/>
          <w:spacing w:val="-3"/>
        </w:rPr>
        <w:t>2011</w:t>
      </w:r>
    </w:p>
    <w:p>
      <w:pPr>
        <w:pStyle w:val="BodyText"/>
        <w:spacing w:line="338" w:lineRule="auto"/>
        <w:ind w:left="620" w:right="1436" w:hanging="480"/>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 </w:t>
      </w:r>
      <w:r>
        <w:rPr/>
        <w:t>日经审计净资产的</w:t>
      </w:r>
      <w:r>
        <w:rPr>
          <w:spacing w:val="-60"/>
        </w:rPr>
        <w:t> </w:t>
      </w:r>
      <w:r>
        <w:rPr>
          <w:rFonts w:ascii="Times New Roman" w:hAnsi="Times New Roman" w:cs="Times New Roman" w:eastAsia="Times New Roman" w:hint="default"/>
        </w:rPr>
        <w:t>4.93%</w:t>
      </w:r>
      <w:r>
        <w:rPr/>
        <w:t>。 </w:t>
      </w:r>
      <w:r>
        <w:rPr>
          <w:spacing w:val="-3"/>
        </w:rPr>
        <w:t>报告期内，公司控股子公司未发生对外担保的情况，本公司及控股子公司亦未发生</w:t>
      </w:r>
    </w:p>
    <w:p>
      <w:pPr>
        <w:pStyle w:val="BodyText"/>
        <w:spacing w:line="240" w:lineRule="auto" w:before="55"/>
        <w:ind w:right="0"/>
        <w:jc w:val="both"/>
      </w:pPr>
      <w:r>
        <w:rPr/>
        <w:t>逾期对外担保的情况。</w:t>
      </w:r>
    </w:p>
    <w:p>
      <w:pPr>
        <w:pStyle w:val="BodyText"/>
        <w:spacing w:line="338" w:lineRule="auto" w:before="154"/>
        <w:ind w:left="620" w:right="1314"/>
        <w:jc w:val="left"/>
      </w:pPr>
      <w:r>
        <w:rPr/>
        <w:t>七、公司或持股</w:t>
      </w:r>
      <w:r>
        <w:rPr>
          <w:spacing w:val="-1"/>
        </w:rPr>
        <w:t> </w:t>
      </w:r>
      <w:r>
        <w:rPr>
          <w:rFonts w:ascii="Times New Roman" w:hAnsi="Times New Roman" w:cs="Times New Roman" w:eastAsia="Times New Roman" w:hint="default"/>
        </w:rPr>
        <w:t>5%</w:t>
      </w:r>
      <w:r>
        <w:rPr/>
        <w:t>以上股东的承诺事项 </w:t>
      </w:r>
      <w:r>
        <w:rPr>
          <w:rFonts w:ascii="Times New Roman" w:hAnsi="Times New Roman" w:cs="Times New Roman" w:eastAsia="Times New Roman" w:hint="default"/>
        </w:rPr>
        <w:t>1</w:t>
      </w:r>
      <w:r>
        <w:rPr/>
        <w:t>、为避免同业竞争损害本公司及其他股东的利益，公司股东张近东先生、苏宁电</w:t>
      </w:r>
    </w:p>
    <w:p>
      <w:pPr>
        <w:pStyle w:val="BodyText"/>
        <w:spacing w:line="338" w:lineRule="auto" w:before="27"/>
        <w:ind w:right="1436"/>
        <w:jc w:val="both"/>
      </w:pPr>
      <w:r>
        <w:rPr/>
        <w:t>器集团有限公司、陈金凤、赵蓓已于</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日分别向公司出具《不竞争承诺 </w:t>
      </w:r>
      <w:r>
        <w:rPr>
          <w:spacing w:val="-4"/>
        </w:rPr>
        <w:t>函》。报告期内，上述股东信守承诺，没有发生与公司同业竞争的行为。</w:t>
      </w:r>
    </w:p>
    <w:p>
      <w:pPr>
        <w:pStyle w:val="BodyText"/>
        <w:spacing w:line="338" w:lineRule="auto" w:before="56"/>
        <w:ind w:right="1423" w:firstLine="480"/>
        <w:jc w:val="left"/>
      </w:pPr>
      <w:r>
        <w:rPr/>
        <w:t>苏宁电器集团有限公司</w:t>
      </w:r>
      <w:r>
        <w:rPr>
          <w:spacing w:val="-55"/>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日出具承诺函，保证今后避免发生除正常业 务外的一切资金往来。报告期内，苏宁电器集团有限公司执行了承诺。</w:t>
      </w:r>
    </w:p>
    <w:p>
      <w:pPr>
        <w:pStyle w:val="BodyText"/>
        <w:spacing w:line="348" w:lineRule="auto" w:before="55"/>
        <w:ind w:right="1438" w:firstLine="480"/>
        <w:jc w:val="both"/>
      </w:pPr>
      <w:r>
        <w:rPr>
          <w:rFonts w:ascii="Times New Roman" w:hAnsi="Times New Roman" w:cs="Times New Roman" w:eastAsia="Times New Roman" w:hint="default"/>
        </w:rPr>
        <w:t>2</w:t>
      </w:r>
      <w:r>
        <w:rPr/>
        <w:t>、股权分置改革中公司原非流通股股东持续到报告期内的承诺为：通过证券交易 </w:t>
      </w:r>
      <w:r>
        <w:rPr>
          <w:spacing w:val="-3"/>
        </w:rPr>
        <w:t>所挂牌交易出售的股份数量，达到公司股份总数百分之一的，自该事实发生之日起两个</w:t>
      </w:r>
      <w:r>
        <w:rPr>
          <w:spacing w:val="-98"/>
        </w:rPr>
        <w:t> </w:t>
      </w:r>
      <w:r>
        <w:rPr>
          <w:spacing w:val="-98"/>
        </w:rPr>
      </w:r>
      <w:r>
        <w:rPr/>
        <w:t>工作日内做出公告。报告期内，公司承诺股东均履行了所做的承诺。</w:t>
      </w:r>
    </w:p>
    <w:p>
      <w:pPr>
        <w:pStyle w:val="BodyText"/>
        <w:spacing w:line="240" w:lineRule="auto" w:before="46"/>
        <w:ind w:left="620" w:right="1314"/>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、张近东先生认购的公司</w:t>
      </w:r>
      <w:r>
        <w:rPr>
          <w:spacing w:val="-60"/>
        </w:rPr>
        <w:t> </w:t>
      </w:r>
      <w:r>
        <w:rPr>
          <w:rFonts w:ascii="Times New Roman" w:hAnsi="Times New Roman" w:cs="Times New Roman" w:eastAsia="Times New Roman" w:hint="default"/>
        </w:rPr>
        <w:t>2009 </w:t>
      </w:r>
      <w:r>
        <w:rPr/>
        <w:t>年非公开发行股票自</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日起至</w:t>
      </w:r>
      <w:r>
        <w:rPr>
          <w:spacing w:val="-60"/>
        </w:rPr>
        <w:t> </w:t>
      </w:r>
      <w:r>
        <w:rPr>
          <w:rFonts w:ascii="Times New Roman" w:hAnsi="Times New Roman" w:cs="Times New Roman" w:eastAsia="Times New Roman" w:hint="default"/>
        </w:rPr>
        <w:t>2012</w:t>
      </w:r>
    </w:p>
    <w:p>
      <w:pPr>
        <w:pStyle w:val="BodyText"/>
        <w:spacing w:line="338" w:lineRule="auto"/>
        <w:ind w:left="620" w:right="1436" w:hanging="480"/>
        <w:jc w:val="left"/>
      </w:pP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30 </w:t>
      </w:r>
      <w:r>
        <w:rPr/>
        <w:t>日止限售</w:t>
      </w:r>
      <w:r>
        <w:rPr>
          <w:spacing w:val="-60"/>
        </w:rPr>
        <w:t> </w:t>
      </w:r>
      <w:r>
        <w:rPr>
          <w:rFonts w:ascii="Times New Roman" w:hAnsi="Times New Roman" w:cs="Times New Roman" w:eastAsia="Times New Roman" w:hint="default"/>
        </w:rPr>
        <w:t>36 </w:t>
      </w:r>
      <w:r>
        <w:rPr/>
        <w:t>个月。报告期内，张近东先生履行承诺。 </w:t>
      </w:r>
      <w:r>
        <w:rPr>
          <w:spacing w:val="-3"/>
        </w:rPr>
        <w:t>八、报告期内，公司续聘普华永道中天会计师事务所为公司财务审计机构，该所已</w:t>
      </w:r>
    </w:p>
    <w:p>
      <w:pPr>
        <w:pStyle w:val="BodyText"/>
        <w:spacing w:line="240" w:lineRule="auto" w:before="55"/>
        <w:ind w:right="0"/>
        <w:jc w:val="both"/>
      </w:pPr>
      <w:r>
        <w:rPr/>
        <w:t>连续</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年为公司提供审计服务，现为公司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年年度财务报告提供审计服务的签字会</w:t>
      </w:r>
    </w:p>
    <w:p>
      <w:pPr>
        <w:pStyle w:val="BodyText"/>
        <w:spacing w:line="240" w:lineRule="auto"/>
        <w:ind w:right="0"/>
        <w:jc w:val="both"/>
      </w:pPr>
      <w:r>
        <w:rPr/>
        <w:t>计师为柯镇洪先生、曹婕女士，此次审计费用为</w:t>
      </w:r>
      <w:r>
        <w:rPr>
          <w:spacing w:val="-60"/>
        </w:rPr>
        <w:t> </w:t>
      </w:r>
      <w:r>
        <w:rPr>
          <w:rFonts w:ascii="Times New Roman" w:hAnsi="Times New Roman" w:cs="Times New Roman" w:eastAsia="Times New Roman" w:hint="default"/>
        </w:rPr>
        <w:t>700 </w:t>
      </w:r>
      <w:r>
        <w:rPr/>
        <w:t>万元。</w:t>
      </w:r>
    </w:p>
    <w:p>
      <w:pPr>
        <w:pStyle w:val="BodyText"/>
        <w:spacing w:line="240" w:lineRule="auto"/>
        <w:ind w:left="620" w:right="1314"/>
        <w:jc w:val="left"/>
        <w:rPr>
          <w:rFonts w:ascii="Times New Roman" w:hAnsi="Times New Roman" w:cs="Times New Roman" w:eastAsia="Times New Roman" w:hint="default"/>
        </w:rPr>
      </w:pPr>
      <w:r>
        <w:rPr/>
        <w:t>报告期内，公司聘请普华永道中天会计师事务所为公司内控审计机构，提供</w:t>
      </w:r>
      <w:r>
        <w:rPr>
          <w:spacing w:val="25"/>
        </w:rPr>
        <w:t> </w:t>
      </w:r>
      <w:r>
        <w:rPr>
          <w:rFonts w:ascii="Times New Roman" w:hAnsi="Times New Roman" w:cs="Times New Roman" w:eastAsia="Times New Roman" w:hint="default"/>
        </w:rPr>
        <w:t>2011</w:t>
      </w:r>
    </w:p>
    <w:p>
      <w:pPr>
        <w:spacing w:after="0" w:line="240" w:lineRule="auto"/>
        <w:jc w:val="left"/>
        <w:rPr>
          <w:rFonts w:ascii="Times New Roman" w:hAnsi="Times New Roman" w:cs="Times New Roman" w:eastAsia="Times New Roman" w:hint="default"/>
        </w:rPr>
        <w:sectPr>
          <w:pgSz w:w="11910" w:h="16840"/>
          <w:pgMar w:header="748" w:footer="844" w:top="980" w:bottom="104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60216" type="#_x0000_t75" stroked="false">
            <v:imagedata r:id="rId21" o:title=""/>
          </v:shape>
        </w:pict>
      </w:r>
    </w:p>
    <w:p>
      <w:pPr>
        <w:pStyle w:val="BodyText"/>
        <w:spacing w:line="338" w:lineRule="auto" w:before="181"/>
        <w:ind w:left="660" w:right="1436" w:hanging="480"/>
        <w:jc w:val="left"/>
      </w:pPr>
      <w:r>
        <w:rPr/>
        <w:t>年度公司内控审计工作，此次审计费用</w:t>
      </w:r>
      <w:r>
        <w:rPr>
          <w:spacing w:val="-60"/>
        </w:rPr>
        <w:t> </w:t>
      </w:r>
      <w:r>
        <w:rPr>
          <w:rFonts w:ascii="Times New Roman" w:hAnsi="Times New Roman" w:cs="Times New Roman" w:eastAsia="Times New Roman" w:hint="default"/>
        </w:rPr>
        <w:t>150 </w:t>
      </w:r>
      <w:r>
        <w:rPr/>
        <w:t>万元。 </w:t>
      </w:r>
      <w:r>
        <w:rPr>
          <w:spacing w:val="-3"/>
        </w:rPr>
        <w:t>此外，普华永道全球网络成员所——罗兵咸永道会计师事务所为公司香港地区注册</w:t>
      </w:r>
    </w:p>
    <w:p>
      <w:pPr>
        <w:pStyle w:val="BodyText"/>
        <w:spacing w:line="338" w:lineRule="auto" w:before="55"/>
        <w:ind w:left="660" w:right="1427" w:hanging="480"/>
        <w:jc w:val="left"/>
      </w:pPr>
      <w:r>
        <w:rPr/>
        <w:t>的</w:t>
      </w:r>
      <w:r>
        <w:rPr>
          <w:spacing w:val="-60"/>
        </w:rPr>
        <w:t> </w:t>
      </w:r>
      <w:r>
        <w:rPr>
          <w:rFonts w:ascii="Times New Roman" w:hAnsi="Times New Roman" w:cs="Times New Roman" w:eastAsia="Times New Roman" w:hint="default"/>
        </w:rPr>
        <w:t>5 </w:t>
      </w:r>
      <w:r>
        <w:rPr/>
        <w:t>家控股子公司提供</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年度审计服务，审计费用为</w:t>
      </w:r>
      <w:r>
        <w:rPr>
          <w:spacing w:val="-60"/>
        </w:rPr>
        <w:t> </w:t>
      </w:r>
      <w:r>
        <w:rPr>
          <w:rFonts w:ascii="Times New Roman" w:hAnsi="Times New Roman" w:cs="Times New Roman" w:eastAsia="Times New Roman" w:hint="default"/>
        </w:rPr>
        <w:t>72 </w:t>
      </w:r>
      <w:r>
        <w:rPr/>
        <w:t>万港元。 公司聘请普华永道全球网络成员所——</w:t>
      </w:r>
      <w:r>
        <w:rPr>
          <w:rFonts w:ascii="Times New Roman" w:hAnsi="Times New Roman" w:cs="Times New Roman" w:eastAsia="Times New Roman" w:hint="default"/>
        </w:rPr>
        <w:t>PricewaterhouseCoopers  Aarata</w:t>
      </w:r>
      <w:r>
        <w:rPr>
          <w:rFonts w:ascii="Times New Roman" w:hAnsi="Times New Roman" w:cs="Times New Roman" w:eastAsia="Times New Roman" w:hint="default"/>
          <w:spacing w:val="56"/>
        </w:rPr>
        <w:t> </w:t>
      </w:r>
      <w:r>
        <w:rPr/>
        <w:t>为日本控股</w:t>
      </w:r>
    </w:p>
    <w:p>
      <w:pPr>
        <w:pStyle w:val="BodyText"/>
        <w:spacing w:line="338" w:lineRule="auto" w:before="27"/>
        <w:ind w:left="660" w:right="1436" w:hanging="480"/>
        <w:jc w:val="left"/>
      </w:pPr>
      <w:r>
        <w:rPr/>
        <w:t>子公司</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株式会社的审计机构，年度审计费用为</w:t>
      </w:r>
      <w:r>
        <w:rPr>
          <w:spacing w:val="-61"/>
        </w:rPr>
        <w:t> </w:t>
      </w:r>
      <w:r>
        <w:rPr>
          <w:rFonts w:ascii="Times New Roman" w:hAnsi="Times New Roman" w:cs="Times New Roman" w:eastAsia="Times New Roman" w:hint="default"/>
        </w:rPr>
        <w:t>2600</w:t>
      </w:r>
      <w:r>
        <w:rPr>
          <w:rFonts w:ascii="Times New Roman" w:hAnsi="Times New Roman" w:cs="Times New Roman" w:eastAsia="Times New Roman" w:hint="default"/>
          <w:spacing w:val="-1"/>
        </w:rPr>
        <w:t> </w:t>
      </w:r>
      <w:r>
        <w:rPr/>
        <w:t>万日元。 </w:t>
      </w:r>
      <w:r>
        <w:rPr>
          <w:spacing w:val="-3"/>
        </w:rPr>
        <w:t>九、报告期间，公司董事会及董事没有受到中国证监会的稽查、中国证监会的行政</w:t>
      </w:r>
    </w:p>
    <w:p>
      <w:pPr>
        <w:pStyle w:val="BodyText"/>
        <w:spacing w:line="357" w:lineRule="auto" w:before="55"/>
        <w:ind w:left="180" w:right="1436"/>
        <w:jc w:val="left"/>
      </w:pPr>
      <w:r>
        <w:rPr>
          <w:spacing w:val="-3"/>
        </w:rPr>
        <w:t>处罚、通报批评，也没有被其他行政管理部门处罚及证券交易所公开谴责的情况，公司</w:t>
      </w:r>
      <w:r>
        <w:rPr>
          <w:spacing w:val="-99"/>
        </w:rPr>
        <w:t> </w:t>
      </w:r>
      <w:r>
        <w:rPr>
          <w:spacing w:val="-99"/>
        </w:rPr>
      </w:r>
      <w:r>
        <w:rPr/>
        <w:t>董事、管理层有关人员没有被采取司法强制措施的情况。</w:t>
      </w:r>
    </w:p>
    <w:p>
      <w:pPr>
        <w:pStyle w:val="BodyText"/>
        <w:spacing w:line="240" w:lineRule="auto" w:before="36"/>
        <w:ind w:left="660" w:right="1436"/>
        <w:jc w:val="left"/>
      </w:pPr>
      <w:r>
        <w:rPr/>
        <w:t>十、报告期内已披露的重要信息索引</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53"/>
        <w:gridCol w:w="890"/>
        <w:gridCol w:w="5125"/>
        <w:gridCol w:w="1261"/>
        <w:gridCol w:w="1536"/>
      </w:tblGrid>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序</w:t>
            </w: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号</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刊登情况</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第四届董事会第七次会议决议公告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关于继续为子公司提供担保的公告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关于物业租赁的关联交易公告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独立董事关于公司向关联方租赁物业的事前意见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独立董事关于公司向关联方租赁物业的关联交易的独立意见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80"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4" w:right="0"/>
              <w:jc w:val="left"/>
              <w:rPr>
                <w:rFonts w:ascii="Times New Roman" w:hAnsi="Times New Roman" w:cs="Times New Roman" w:eastAsia="Times New Roman" w:hint="default"/>
                <w:sz w:val="18"/>
                <w:szCs w:val="18"/>
              </w:rPr>
            </w:pPr>
            <w:r>
              <w:rPr>
                <w:rFonts w:ascii="Times New Roman"/>
                <w:sz w:val="18"/>
              </w:rPr>
              <w:t>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13"/>
              <w:jc w:val="right"/>
              <w:rPr>
                <w:rFonts w:ascii="Times New Roman" w:hAnsi="Times New Roman" w:cs="Times New Roman" w:eastAsia="Times New Roman" w:hint="default"/>
                <w:sz w:val="18"/>
                <w:szCs w:val="18"/>
              </w:rPr>
            </w:pPr>
            <w:r>
              <w:rPr>
                <w:rFonts w:ascii="Times New Roman"/>
                <w:spacing w:val="-1"/>
                <w:w w:val="95"/>
                <w:sz w:val="18"/>
              </w:rPr>
              <w:t>2011-2-1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中信证券股份有限公司关于公司部分募集资金项目地点变更的保</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荐意见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3"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4" w:right="0"/>
              <w:jc w:val="left"/>
              <w:rPr>
                <w:rFonts w:ascii="Times New Roman" w:hAnsi="Times New Roman" w:cs="Times New Roman" w:eastAsia="Times New Roman" w:hint="default"/>
                <w:sz w:val="18"/>
                <w:szCs w:val="18"/>
              </w:rPr>
            </w:pPr>
            <w:r>
              <w:rPr>
                <w:rFonts w:ascii="Times New Roman"/>
                <w:sz w:val="18"/>
              </w:rPr>
              <w:t>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spacing w:val="-1"/>
                <w:w w:val="95"/>
                <w:sz w:val="18"/>
              </w:rPr>
              <w:t>2011-2-1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第四届董事会第八次会议决议公告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2011-004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2011-2-28</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年年度业绩快报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第四届董事会第九次会议决议公告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第四届监事会第六次会议决议公告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2011-007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12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年度募集资金年度使用情况的专项报告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关于向关联方出租物业的关联交易公告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2011-010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14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独立董事对相关事项发表的独立意见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7" w:right="0"/>
              <w:jc w:val="left"/>
              <w:rPr>
                <w:rFonts w:ascii="Times New Roman" w:hAnsi="Times New Roman" w:cs="Times New Roman" w:eastAsia="Times New Roman" w:hint="default"/>
                <w:sz w:val="18"/>
                <w:szCs w:val="18"/>
              </w:rPr>
            </w:pPr>
            <w:r>
              <w:rPr>
                <w:rFonts w:ascii="Times New Roman"/>
                <w:sz w:val="18"/>
              </w:rPr>
              <w:t>2011-011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董事会关于召开</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年年度股东大会的通知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1" w:right="0"/>
              <w:jc w:val="left"/>
              <w:rPr>
                <w:rFonts w:ascii="Times New Roman" w:hAnsi="Times New Roman" w:cs="Times New Roman" w:eastAsia="Times New Roman" w:hint="default"/>
                <w:sz w:val="18"/>
                <w:szCs w:val="18"/>
              </w:rPr>
            </w:pPr>
            <w:r>
              <w:rPr>
                <w:rFonts w:ascii="Times New Roman"/>
                <w:sz w:val="18"/>
              </w:rPr>
              <w:t>16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7"/>
                <w:sz w:val="18"/>
                <w:szCs w:val="18"/>
              </w:rPr>
              <w:t> </w:t>
            </w:r>
            <w:r>
              <w:rPr>
                <w:rFonts w:ascii="宋体" w:hAnsi="宋体" w:cs="宋体" w:eastAsia="宋体" w:hint="default"/>
                <w:sz w:val="18"/>
                <w:szCs w:val="18"/>
              </w:rPr>
              <w:t>2010</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6"/>
                <w:sz w:val="18"/>
                <w:szCs w:val="18"/>
              </w:rPr>
              <w:t> </w:t>
            </w:r>
            <w:r>
              <w:rPr>
                <w:rFonts w:ascii="宋体" w:hAnsi="宋体" w:cs="宋体" w:eastAsia="宋体" w:hint="default"/>
                <w:sz w:val="18"/>
                <w:szCs w:val="18"/>
              </w:rPr>
              <w:t>日止年度控股股东及其他关联方占用资金情</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况表及专项报告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1" w:right="0"/>
              <w:jc w:val="left"/>
              <w:rPr>
                <w:rFonts w:ascii="Times New Roman" w:hAnsi="Times New Roman" w:cs="Times New Roman" w:eastAsia="Times New Roman" w:hint="default"/>
                <w:sz w:val="18"/>
                <w:szCs w:val="18"/>
              </w:rPr>
            </w:pPr>
            <w:r>
              <w:rPr>
                <w:rFonts w:ascii="Times New Roman"/>
                <w:sz w:val="18"/>
              </w:rPr>
              <w:t>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中信证券股份有限公司关于《苏宁电器股份有限公司董事会关于</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年度内部控制的自我评价报告》的核查意见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left"/>
              <w:rPr>
                <w:rFonts w:ascii="Times New Roman" w:hAnsi="Times New Roman" w:cs="Times New Roman" w:eastAsia="Times New Roman" w:hint="default"/>
                <w:sz w:val="18"/>
                <w:szCs w:val="18"/>
              </w:rPr>
            </w:pPr>
            <w:r>
              <w:rPr>
                <w:rFonts w:ascii="Times New Roman"/>
                <w:sz w:val="18"/>
              </w:rPr>
              <w:t>18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年度述职报告（孙剑平）</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19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年度述职报告（沈坤荣）</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年度述职报告（戴新民）</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风险投资管理制度（</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22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年度内部控制的自我评价报告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年企业社会责任报告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年年度审计报告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25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年度募集资金年度使用情况的专项报告及鉴证报告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2011-3-16</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2011-3-23</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年年度报告网上说明会的通知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28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2011-3-30</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关于变更公司办公地址的公告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29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2011-3-30</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关于变更</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年年度股东大会会议地点的公告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30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2011-4-6</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31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3"/>
              <w:jc w:val="right"/>
              <w:rPr>
                <w:rFonts w:ascii="Times New Roman" w:hAnsi="Times New Roman" w:cs="Times New Roman" w:eastAsia="Times New Roman" w:hint="default"/>
                <w:sz w:val="18"/>
                <w:szCs w:val="18"/>
              </w:rPr>
            </w:pPr>
            <w:r>
              <w:rPr>
                <w:rFonts w:ascii="Times New Roman"/>
                <w:spacing w:val="-1"/>
                <w:w w:val="95"/>
                <w:sz w:val="18"/>
              </w:rPr>
              <w:t>2011-4-6</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关于为香港子公司提供担保的公告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32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2011-4-7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33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3"/>
              <w:jc w:val="right"/>
              <w:rPr>
                <w:rFonts w:ascii="Times New Roman" w:hAnsi="Times New Roman" w:cs="Times New Roman" w:eastAsia="Times New Roman" w:hint="default"/>
                <w:sz w:val="18"/>
                <w:szCs w:val="18"/>
              </w:rPr>
            </w:pPr>
            <w:r>
              <w:rPr>
                <w:rFonts w:ascii="Times New Roman"/>
                <w:spacing w:val="-1"/>
                <w:w w:val="95"/>
                <w:sz w:val="18"/>
              </w:rPr>
              <w:t>2011-4-7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年年度股东大会的法律意见书</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2011-4-19</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第四届董事会第十一次会议决议公告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35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2011-4-19</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关于物业租赁的关联交易公告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81" w:right="0"/>
              <w:jc w:val="left"/>
              <w:rPr>
                <w:rFonts w:ascii="Times New Roman" w:hAnsi="Times New Roman" w:cs="Times New Roman" w:eastAsia="Times New Roman" w:hint="default"/>
                <w:sz w:val="18"/>
                <w:szCs w:val="18"/>
              </w:rPr>
            </w:pPr>
            <w:r>
              <w:rPr>
                <w:rFonts w:ascii="Times New Roman"/>
                <w:sz w:val="18"/>
              </w:rPr>
              <w:t>36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5"/>
              <w:jc w:val="right"/>
              <w:rPr>
                <w:rFonts w:ascii="Times New Roman" w:hAnsi="Times New Roman" w:cs="Times New Roman" w:eastAsia="Times New Roman" w:hint="default"/>
                <w:sz w:val="18"/>
                <w:szCs w:val="18"/>
              </w:rPr>
            </w:pPr>
            <w:r>
              <w:rPr>
                <w:rFonts w:ascii="Times New Roman"/>
                <w:spacing w:val="-1"/>
                <w:sz w:val="18"/>
              </w:rPr>
              <w:t>2011-4-19</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独立董事关于公司向关联方租赁物业的事前意见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1" w:right="0"/>
              <w:jc w:val="left"/>
              <w:rPr>
                <w:rFonts w:ascii="Times New Roman" w:hAnsi="Times New Roman" w:cs="Times New Roman" w:eastAsia="Times New Roman" w:hint="default"/>
                <w:sz w:val="18"/>
                <w:szCs w:val="18"/>
              </w:rPr>
            </w:pPr>
            <w:r>
              <w:rPr>
                <w:rFonts w:ascii="Times New Roman"/>
                <w:sz w:val="18"/>
              </w:rPr>
              <w:t>37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2011-4-19</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独立董事关于公司向关联方租赁物业的关联交易的独立意见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bl>
    <w:p>
      <w:pPr>
        <w:spacing w:after="0" w:line="205" w:lineRule="exact"/>
        <w:jc w:val="center"/>
        <w:rPr>
          <w:rFonts w:ascii="宋体" w:hAnsi="宋体" w:cs="宋体" w:eastAsia="宋体" w:hint="default"/>
          <w:sz w:val="18"/>
          <w:szCs w:val="18"/>
        </w:rPr>
        <w:sectPr>
          <w:footerReference w:type="default" r:id="rId63"/>
          <w:pgSz w:w="11910" w:h="16840"/>
          <w:pgMar w:footer="706" w:header="748" w:top="980" w:bottom="900" w:left="1260" w:right="0"/>
          <w:pgNumType w:start="90"/>
        </w:sectPr>
      </w:pPr>
    </w:p>
    <w:p>
      <w:pPr>
        <w:spacing w:line="240" w:lineRule="auto" w:before="0"/>
        <w:rPr>
          <w:rFonts w:ascii="宋体" w:hAnsi="宋体" w:cs="宋体" w:eastAsia="宋体" w:hint="default"/>
          <w:sz w:val="20"/>
          <w:szCs w:val="20"/>
        </w:rPr>
      </w:pPr>
      <w:r>
        <w:rPr/>
        <w:pict>
          <v:shape style="position:absolute;margin-left:494.200012pt;margin-top:783.949768pt;width:101.240002pt;height:57.730225pt;mso-position-horizontal-relative:page;mso-position-vertical-relative:page;z-index:1624" type="#_x0000_t75" stroked="false">
            <v:imagedata r:id="rId21" o:title=""/>
          </v:shape>
        </w:pict>
      </w: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53"/>
        <w:gridCol w:w="890"/>
        <w:gridCol w:w="5125"/>
        <w:gridCol w:w="1261"/>
        <w:gridCol w:w="1536"/>
      </w:tblGrid>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中信证券股份有限公司关于公司部分募集资金投资项目实施地点</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变更的保荐意见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江苏世纪同仁律师事务所关于公司调整股票期权行权价格的法律</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意见书</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年第一季度报告全文</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年第一季度报告正文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关于连锁店发展项目中部分连锁店实施地点变更的公告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2011-4-30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董事会关于调整股票期权行权价格的公告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2011-5-5</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年度分红派息实施公告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第四届董事会第十三次会议决议公告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47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年非公开发行股票预案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2011-027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董事会关于前次募集资金使用情况的专项报告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2011-028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关于控股股东及实际控制人之全资子公司认购非公开发行股份的</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3" w:right="0"/>
              <w:jc w:val="left"/>
              <w:rPr>
                <w:rFonts w:ascii="Times New Roman" w:hAnsi="Times New Roman" w:cs="Times New Roman" w:eastAsia="Times New Roman" w:hint="default"/>
                <w:sz w:val="18"/>
                <w:szCs w:val="18"/>
              </w:rPr>
            </w:pPr>
            <w:r>
              <w:rPr>
                <w:rFonts w:ascii="Times New Roman"/>
                <w:sz w:val="18"/>
              </w:rPr>
              <w:t>2011-029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年第一次临时股东大会的通知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关于与特定对象签署附生效条件认购协议的公告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日止前次募集资金使用情况报告及鉴证报告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80"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独立董事关于控股股东及实际控制人之全资子公司认购非公开发</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行股份的独立意见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54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2011-6-17</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非公开发行股票募集资金使用的可行性报告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2011-6-25</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收购报告书摘要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2011-6-29</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第四届董事会第十四次会议决议公告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57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2011-6-29</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关于境外子公司与关联方参与</w:t>
            </w:r>
            <w:r>
              <w:rPr>
                <w:rFonts w:ascii="宋体" w:hAnsi="宋体" w:cs="宋体" w:eastAsia="宋体" w:hint="default"/>
                <w:spacing w:val="-44"/>
                <w:sz w:val="18"/>
                <w:szCs w:val="18"/>
              </w:rPr>
              <w:t> </w:t>
            </w:r>
            <w:r>
              <w:rPr>
                <w:rFonts w:ascii="宋体" w:hAnsi="宋体" w:cs="宋体" w:eastAsia="宋体" w:hint="default"/>
                <w:sz w:val="18"/>
                <w:szCs w:val="18"/>
              </w:rPr>
              <w:t>LAOX</w:t>
            </w:r>
            <w:r>
              <w:rPr>
                <w:rFonts w:ascii="宋体" w:hAnsi="宋体" w:cs="宋体" w:eastAsia="宋体" w:hint="default"/>
                <w:spacing w:val="-43"/>
                <w:sz w:val="18"/>
                <w:szCs w:val="18"/>
              </w:rPr>
              <w:t> </w:t>
            </w:r>
            <w:r>
              <w:rPr>
                <w:rFonts w:ascii="宋体" w:hAnsi="宋体" w:cs="宋体" w:eastAsia="宋体" w:hint="default"/>
                <w:sz w:val="18"/>
                <w:szCs w:val="18"/>
              </w:rPr>
              <w:t>定向发行的关联交易公告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2011-034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2011-7-1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董事会关于召开</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年第一次临时股东大会的提示性公告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59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2011-7-8</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3"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60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2011-7-8</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年第一次临时股东大会的法律意见书</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2011-7-30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半年度业绩快报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pacing w:val="-3"/>
                <w:sz w:val="18"/>
              </w:rPr>
              <w:t>2011-8-11</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第四届董事会第十五次会议决议公告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2011-038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63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pacing w:val="-3"/>
                <w:sz w:val="18"/>
              </w:rPr>
              <w:t>2011-8-11</w:t>
            </w:r>
            <w:r>
              <w:rPr>
                <w:rFonts w:ascii="Times New Roman"/>
                <w:sz w:val="18"/>
              </w:rPr>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关于为香港子公司提供担保的公告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2011-039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2011-8-31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65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2011-8-31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年半年度财务报告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66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2011-8-31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2011-8-31</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独立董事对公司与关联方资金往来、公司累计和当期对外担保情</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况的专项说明和独立意见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80"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2011-9-10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中信证券股份有限公司关于公司部分募集资金投资项目实施地点</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变更的保荐意见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2011-9-10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第四届董事会第十七次会议决议公告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2011-041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70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2011-9-30</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第四届董事会第十八次会议决议公告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2011-042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Times New Roman"/>
                <w:sz w:val="18"/>
              </w:rPr>
              <w:t>71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2011-10-12</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第四届董事会第十九次会议决议公告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Times New Roman" w:hAnsi="Times New Roman" w:cs="Times New Roman" w:eastAsia="Times New Roman" w:hint="default"/>
                <w:sz w:val="18"/>
                <w:szCs w:val="18"/>
              </w:rPr>
            </w:pPr>
            <w:r>
              <w:rPr>
                <w:rFonts w:ascii="Times New Roman"/>
                <w:sz w:val="18"/>
              </w:rPr>
              <w:t>2011-043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72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2011-10-12</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关于向关联方租赁物业的关联交易公告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2011-044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73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2011-10-12</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中信证券股份有限公司关于公司向关联方租赁物业之关联交易的</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保荐意见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74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2011-10-12</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独立董事关于公司向关联方租赁物业的事前意见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75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2011-10-12</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独立董事关于公司向关联方租赁物业的关联交易的独立意见</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478"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2011-10-24</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2011</w:t>
            </w:r>
            <w:r>
              <w:rPr>
                <w:rFonts w:ascii="宋体" w:hAnsi="宋体" w:cs="宋体" w:eastAsia="宋体" w:hint="default"/>
                <w:spacing w:val="20"/>
                <w:sz w:val="18"/>
                <w:szCs w:val="18"/>
              </w:rPr>
              <w:t> </w:t>
            </w:r>
            <w:r>
              <w:rPr>
                <w:rFonts w:ascii="宋体" w:hAnsi="宋体" w:cs="宋体" w:eastAsia="宋体" w:hint="default"/>
                <w:sz w:val="18"/>
                <w:szCs w:val="18"/>
              </w:rPr>
              <w:t>年非公开发行股票申请获得中国证监会发审会审核无</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条件通过的公告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3" w:right="0"/>
              <w:jc w:val="left"/>
              <w:rPr>
                <w:rFonts w:ascii="Times New Roman" w:hAnsi="Times New Roman" w:cs="Times New Roman" w:eastAsia="Times New Roman" w:hint="default"/>
                <w:sz w:val="18"/>
                <w:szCs w:val="18"/>
              </w:rPr>
            </w:pPr>
            <w:r>
              <w:rPr>
                <w:rFonts w:ascii="Times New Roman"/>
                <w:sz w:val="18"/>
              </w:rPr>
              <w:t>2011-045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2011-10-29</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苏宁电器：</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年第三季度报告正文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78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2011-10-29</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苏宁电器：</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年第三季度报告全文</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79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2011-11-25</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第四届董事会第二十一次会议决议公告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3" w:right="0"/>
              <w:jc w:val="left"/>
              <w:rPr>
                <w:rFonts w:ascii="Times New Roman" w:hAnsi="Times New Roman" w:cs="Times New Roman" w:eastAsia="Times New Roman" w:hint="default"/>
                <w:sz w:val="18"/>
                <w:szCs w:val="18"/>
              </w:rPr>
            </w:pPr>
            <w:r>
              <w:rPr>
                <w:rFonts w:ascii="Times New Roman"/>
                <w:sz w:val="18"/>
              </w:rPr>
              <w:t>2011-047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Times New Roman" w:hAnsi="Times New Roman" w:cs="Times New Roman" w:eastAsia="Times New Roman" w:hint="default"/>
                <w:sz w:val="18"/>
                <w:szCs w:val="18"/>
              </w:rPr>
            </w:pPr>
            <w:r>
              <w:rPr>
                <w:rFonts w:ascii="Times New Roman"/>
                <w:sz w:val="18"/>
              </w:rPr>
              <w:t>80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2011-11-25</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6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网站</w:t>
            </w:r>
          </w:p>
        </w:tc>
      </w:tr>
      <w:tr>
        <w:trPr>
          <w:trHeight w:val="242"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 w:right="0"/>
              <w:jc w:val="center"/>
              <w:rPr>
                <w:rFonts w:ascii="Times New Roman" w:hAnsi="Times New Roman" w:cs="Times New Roman" w:eastAsia="Times New Roman" w:hint="default"/>
                <w:sz w:val="18"/>
                <w:szCs w:val="18"/>
              </w:rPr>
            </w:pPr>
            <w:r>
              <w:rPr>
                <w:rFonts w:ascii="Times New Roman"/>
                <w:sz w:val="18"/>
              </w:rPr>
              <w:t>81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2011-12-13</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年非公开发行股票进度等相关情况说明的公告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3" w:right="0"/>
              <w:jc w:val="left"/>
              <w:rPr>
                <w:rFonts w:ascii="Times New Roman" w:hAnsi="Times New Roman" w:cs="Times New Roman" w:eastAsia="Times New Roman" w:hint="default"/>
                <w:sz w:val="18"/>
                <w:szCs w:val="18"/>
              </w:rPr>
            </w:pPr>
            <w:r>
              <w:rPr>
                <w:rFonts w:ascii="Times New Roman"/>
                <w:sz w:val="18"/>
              </w:rPr>
              <w:t>2011-048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r>
        <w:trPr>
          <w:trHeight w:val="245" w:hRule="exact"/>
        </w:trPr>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Times New Roman"/>
                <w:sz w:val="18"/>
              </w:rPr>
              <w:t>82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2011-12-13</w:t>
            </w:r>
          </w:p>
        </w:tc>
        <w:tc>
          <w:tcPr>
            <w:tcW w:w="5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关于管理层计划增持本公司股份的公告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Times New Roman" w:hAnsi="Times New Roman" w:cs="Times New Roman" w:eastAsia="Times New Roman" w:hint="default"/>
                <w:sz w:val="18"/>
                <w:szCs w:val="18"/>
              </w:rPr>
            </w:pPr>
            <w:r>
              <w:rPr>
                <w:rFonts w:ascii="Times New Roman"/>
                <w:sz w:val="18"/>
              </w:rPr>
              <w:t>2011-049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四大证券报、网站</w:t>
            </w:r>
          </w:p>
        </w:tc>
      </w:tr>
    </w:tbl>
    <w:p>
      <w:pPr>
        <w:spacing w:line="241" w:lineRule="exact" w:before="0"/>
        <w:ind w:left="600"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注：</w:t>
      </w:r>
      <w:r>
        <w:rPr>
          <w:rFonts w:ascii="宋体" w:hAnsi="宋体" w:cs="宋体" w:eastAsia="宋体" w:hint="default"/>
          <w:spacing w:val="2"/>
          <w:w w:val="100"/>
          <w:sz w:val="21"/>
          <w:szCs w:val="21"/>
        </w:rPr>
        <w:t>四</w:t>
      </w:r>
      <w:r>
        <w:rPr>
          <w:rFonts w:ascii="宋体" w:hAnsi="宋体" w:cs="宋体" w:eastAsia="宋体" w:hint="default"/>
          <w:spacing w:val="4"/>
          <w:w w:val="100"/>
          <w:sz w:val="21"/>
          <w:szCs w:val="21"/>
        </w:rPr>
        <w:t>大</w:t>
      </w:r>
      <w:r>
        <w:rPr>
          <w:rFonts w:ascii="宋体" w:hAnsi="宋体" w:cs="宋体" w:eastAsia="宋体" w:hint="default"/>
          <w:spacing w:val="2"/>
          <w:w w:val="100"/>
          <w:sz w:val="21"/>
          <w:szCs w:val="21"/>
        </w:rPr>
        <w:t>证</w:t>
      </w:r>
      <w:r>
        <w:rPr>
          <w:rFonts w:ascii="宋体" w:hAnsi="宋体" w:cs="宋体" w:eastAsia="宋体" w:hint="default"/>
          <w:spacing w:val="4"/>
          <w:w w:val="100"/>
          <w:sz w:val="21"/>
          <w:szCs w:val="21"/>
        </w:rPr>
        <w:t>券报</w:t>
      </w:r>
      <w:r>
        <w:rPr>
          <w:rFonts w:ascii="宋体" w:hAnsi="宋体" w:cs="宋体" w:eastAsia="宋体" w:hint="default"/>
          <w:spacing w:val="2"/>
          <w:w w:val="100"/>
          <w:sz w:val="21"/>
          <w:szCs w:val="21"/>
        </w:rPr>
        <w:t>指</w:t>
      </w:r>
      <w:r>
        <w:rPr>
          <w:rFonts w:ascii="宋体" w:hAnsi="宋体" w:cs="宋体" w:eastAsia="宋体" w:hint="default"/>
          <w:spacing w:val="4"/>
          <w:w w:val="100"/>
          <w:sz w:val="21"/>
          <w:szCs w:val="21"/>
        </w:rPr>
        <w:t>公</w:t>
      </w:r>
      <w:r>
        <w:rPr>
          <w:rFonts w:ascii="宋体" w:hAnsi="宋体" w:cs="宋体" w:eastAsia="宋体" w:hint="default"/>
          <w:spacing w:val="2"/>
          <w:w w:val="100"/>
          <w:sz w:val="21"/>
          <w:szCs w:val="21"/>
        </w:rPr>
        <w:t>司指</w:t>
      </w:r>
      <w:r>
        <w:rPr>
          <w:rFonts w:ascii="宋体" w:hAnsi="宋体" w:cs="宋体" w:eastAsia="宋体" w:hint="default"/>
          <w:spacing w:val="4"/>
          <w:w w:val="100"/>
          <w:sz w:val="21"/>
          <w:szCs w:val="21"/>
        </w:rPr>
        <w:t>定信</w:t>
      </w:r>
      <w:r>
        <w:rPr>
          <w:rFonts w:ascii="宋体" w:hAnsi="宋体" w:cs="宋体" w:eastAsia="宋体" w:hint="default"/>
          <w:spacing w:val="2"/>
          <w:w w:val="100"/>
          <w:sz w:val="21"/>
          <w:szCs w:val="21"/>
        </w:rPr>
        <w:t>息</w:t>
      </w:r>
      <w:r>
        <w:rPr>
          <w:rFonts w:ascii="宋体" w:hAnsi="宋体" w:cs="宋体" w:eastAsia="宋体" w:hint="default"/>
          <w:spacing w:val="4"/>
          <w:w w:val="100"/>
          <w:sz w:val="21"/>
          <w:szCs w:val="21"/>
        </w:rPr>
        <w:t>披</w:t>
      </w:r>
      <w:r>
        <w:rPr>
          <w:rFonts w:ascii="宋体" w:hAnsi="宋体" w:cs="宋体" w:eastAsia="宋体" w:hint="default"/>
          <w:spacing w:val="2"/>
          <w:w w:val="100"/>
          <w:sz w:val="21"/>
          <w:szCs w:val="21"/>
        </w:rPr>
        <w:t>露</w:t>
      </w:r>
      <w:r>
        <w:rPr>
          <w:rFonts w:ascii="宋体" w:hAnsi="宋体" w:cs="宋体" w:eastAsia="宋体" w:hint="default"/>
          <w:spacing w:val="4"/>
          <w:w w:val="100"/>
          <w:sz w:val="21"/>
          <w:szCs w:val="21"/>
        </w:rPr>
        <w:t>报纸</w:t>
      </w:r>
      <w:r>
        <w:rPr>
          <w:rFonts w:ascii="宋体" w:hAnsi="宋体" w:cs="宋体" w:eastAsia="宋体" w:hint="default"/>
          <w:spacing w:val="2"/>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2"/>
          <w:w w:val="100"/>
          <w:sz w:val="21"/>
          <w:szCs w:val="21"/>
        </w:rPr>
        <w:t>《证</w:t>
      </w:r>
      <w:r>
        <w:rPr>
          <w:rFonts w:ascii="宋体" w:hAnsi="宋体" w:cs="宋体" w:eastAsia="宋体" w:hint="default"/>
          <w:spacing w:val="4"/>
          <w:w w:val="100"/>
          <w:sz w:val="21"/>
          <w:szCs w:val="21"/>
        </w:rPr>
        <w:t>券时报</w:t>
      </w:r>
      <w:r>
        <w:rPr>
          <w:rFonts w:ascii="宋体" w:hAnsi="宋体" w:cs="宋体" w:eastAsia="宋体" w:hint="default"/>
          <w:spacing w:val="-104"/>
          <w:w w:val="100"/>
          <w:sz w:val="21"/>
          <w:szCs w:val="21"/>
        </w:rPr>
        <w:t>》</w:t>
      </w:r>
      <w:r>
        <w:rPr>
          <w:rFonts w:ascii="宋体" w:hAnsi="宋体" w:cs="宋体" w:eastAsia="宋体" w:hint="default"/>
          <w:spacing w:val="-101"/>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2"/>
          <w:w w:val="100"/>
          <w:sz w:val="21"/>
          <w:szCs w:val="21"/>
        </w:rPr>
        <w:t>中</w:t>
      </w:r>
      <w:r>
        <w:rPr>
          <w:rFonts w:ascii="宋体" w:hAnsi="宋体" w:cs="宋体" w:eastAsia="宋体" w:hint="default"/>
          <w:spacing w:val="4"/>
          <w:w w:val="100"/>
          <w:sz w:val="21"/>
          <w:szCs w:val="21"/>
        </w:rPr>
        <w:t>国</w:t>
      </w:r>
      <w:r>
        <w:rPr>
          <w:rFonts w:ascii="宋体" w:hAnsi="宋体" w:cs="宋体" w:eastAsia="宋体" w:hint="default"/>
          <w:spacing w:val="2"/>
          <w:w w:val="100"/>
          <w:sz w:val="21"/>
          <w:szCs w:val="21"/>
        </w:rPr>
        <w:t>证</w:t>
      </w:r>
      <w:r>
        <w:rPr>
          <w:rFonts w:ascii="宋体" w:hAnsi="宋体" w:cs="宋体" w:eastAsia="宋体" w:hint="default"/>
          <w:spacing w:val="4"/>
          <w:w w:val="100"/>
          <w:sz w:val="21"/>
          <w:szCs w:val="21"/>
        </w:rPr>
        <w:t>券报</w:t>
      </w:r>
      <w:r>
        <w:rPr>
          <w:rFonts w:ascii="宋体" w:hAnsi="宋体" w:cs="宋体" w:eastAsia="宋体" w:hint="default"/>
          <w:spacing w:val="-101"/>
          <w:w w:val="100"/>
          <w:sz w:val="21"/>
          <w:szCs w:val="21"/>
        </w:rPr>
        <w:t>》</w:t>
      </w:r>
      <w:r>
        <w:rPr>
          <w:rFonts w:ascii="宋体" w:hAnsi="宋体" w:cs="宋体" w:eastAsia="宋体" w:hint="default"/>
          <w:spacing w:val="-104"/>
          <w:w w:val="100"/>
          <w:sz w:val="21"/>
          <w:szCs w:val="21"/>
        </w:rPr>
        <w:t>、</w:t>
      </w:r>
      <w:r>
        <w:rPr>
          <w:rFonts w:ascii="宋体" w:hAnsi="宋体" w:cs="宋体" w:eastAsia="宋体" w:hint="default"/>
          <w:spacing w:val="4"/>
          <w:w w:val="100"/>
          <w:sz w:val="21"/>
          <w:szCs w:val="21"/>
        </w:rPr>
        <w:t>《上</w:t>
      </w:r>
      <w:r>
        <w:rPr>
          <w:rFonts w:ascii="宋体" w:hAnsi="宋体" w:cs="宋体" w:eastAsia="宋体" w:hint="default"/>
          <w:spacing w:val="2"/>
          <w:w w:val="100"/>
          <w:sz w:val="21"/>
          <w:szCs w:val="21"/>
        </w:rPr>
        <w:t>海</w:t>
      </w:r>
      <w:r>
        <w:rPr>
          <w:rFonts w:ascii="宋体" w:hAnsi="宋体" w:cs="宋体" w:eastAsia="宋体" w:hint="default"/>
          <w:spacing w:val="4"/>
          <w:w w:val="100"/>
          <w:sz w:val="21"/>
          <w:szCs w:val="21"/>
        </w:rPr>
        <w:t>证</w:t>
      </w:r>
      <w:r>
        <w:rPr>
          <w:rFonts w:ascii="宋体" w:hAnsi="宋体" w:cs="宋体" w:eastAsia="宋体" w:hint="default"/>
          <w:spacing w:val="2"/>
          <w:w w:val="100"/>
          <w:sz w:val="21"/>
          <w:szCs w:val="21"/>
        </w:rPr>
        <w:t>券</w:t>
      </w:r>
      <w:r>
        <w:rPr>
          <w:rFonts w:ascii="宋体" w:hAnsi="宋体" w:cs="宋体" w:eastAsia="宋体" w:hint="default"/>
          <w:spacing w:val="4"/>
          <w:w w:val="100"/>
          <w:sz w:val="21"/>
          <w:szCs w:val="21"/>
        </w:rPr>
        <w:t>报</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p>
    <w:p>
      <w:pPr>
        <w:spacing w:before="150"/>
        <w:ind w:left="180" w:right="1436" w:firstLine="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网</w:t>
      </w:r>
      <w:r>
        <w:rPr>
          <w:rFonts w:ascii="宋体" w:hAnsi="宋体" w:cs="宋体" w:eastAsia="宋体" w:hint="default"/>
          <w:spacing w:val="-3"/>
          <w:w w:val="100"/>
          <w:sz w:val="21"/>
          <w:szCs w:val="21"/>
        </w:rPr>
        <w:t>站</w:t>
      </w:r>
      <w:r>
        <w:rPr>
          <w:rFonts w:ascii="宋体" w:hAnsi="宋体" w:cs="宋体" w:eastAsia="宋体" w:hint="default"/>
          <w:w w:val="100"/>
          <w:sz w:val="21"/>
          <w:szCs w:val="21"/>
        </w:rPr>
        <w:t>指</w:t>
      </w:r>
      <w:r>
        <w:rPr>
          <w:rFonts w:ascii="宋体" w:hAnsi="宋体" w:cs="宋体" w:eastAsia="宋体" w:hint="default"/>
          <w:spacing w:val="-3"/>
          <w:w w:val="100"/>
          <w:sz w:val="21"/>
          <w:szCs w:val="21"/>
        </w:rPr>
        <w:t>公司</w:t>
      </w:r>
      <w:r>
        <w:rPr>
          <w:rFonts w:ascii="宋体" w:hAnsi="宋体" w:cs="宋体" w:eastAsia="宋体" w:hint="default"/>
          <w:w w:val="100"/>
          <w:sz w:val="21"/>
          <w:szCs w:val="21"/>
        </w:rPr>
        <w:t>指定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网</w:t>
      </w:r>
      <w:r>
        <w:rPr>
          <w:rFonts w:ascii="宋体" w:hAnsi="宋体" w:cs="宋体" w:eastAsia="宋体" w:hint="default"/>
          <w:w w:val="100"/>
          <w:sz w:val="21"/>
          <w:szCs w:val="21"/>
        </w:rPr>
        <w:t>站</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巨</w:t>
      </w:r>
      <w:r>
        <w:rPr>
          <w:rFonts w:ascii="宋体" w:hAnsi="宋体" w:cs="宋体" w:eastAsia="宋体" w:hint="default"/>
          <w:w w:val="100"/>
          <w:sz w:val="21"/>
          <w:szCs w:val="21"/>
        </w:rPr>
        <w:t>潮资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Times New Roman" w:hAnsi="Times New Roman" w:cs="Times New Roman" w:eastAsia="Times New Roman" w:hint="default"/>
          <w:color w:val="0000FF"/>
          <w:w w:val="99"/>
          <w:sz w:val="24"/>
          <w:szCs w:val="24"/>
        </w:rPr>
      </w:r>
      <w:hyperlink r:id="rId10">
        <w:r>
          <w:rPr>
            <w:rFonts w:ascii="Times New Roman" w:hAnsi="Times New Roman" w:cs="Times New Roman" w:eastAsia="Times New Roman" w:hint="default"/>
            <w:color w:val="0000FF"/>
            <w:w w:val="99"/>
            <w:sz w:val="24"/>
            <w:szCs w:val="24"/>
            <w:u w:val="single" w:color="0000FF"/>
          </w:rPr>
          <w:t>w</w:t>
        </w:r>
        <w:r>
          <w:rPr>
            <w:rFonts w:ascii="Times New Roman" w:hAnsi="Times New Roman" w:cs="Times New Roman" w:eastAsia="Times New Roman" w:hint="default"/>
            <w:color w:val="0000FF"/>
            <w:spacing w:val="-1"/>
            <w:w w:val="99"/>
            <w:sz w:val="24"/>
            <w:szCs w:val="24"/>
            <w:u w:val="single" w:color="0000FF"/>
          </w:rPr>
          <w:t>w</w:t>
        </w:r>
        <w:r>
          <w:rPr>
            <w:rFonts w:ascii="Times New Roman" w:hAnsi="Times New Roman" w:cs="Times New Roman" w:eastAsia="Times New Roman" w:hint="default"/>
            <w:color w:val="0000FF"/>
            <w:spacing w:val="-18"/>
            <w:w w:val="99"/>
            <w:sz w:val="24"/>
            <w:szCs w:val="24"/>
            <w:u w:val="single" w:color="0000FF"/>
          </w:rPr>
          <w:t>w</w:t>
        </w:r>
        <w:r>
          <w:rPr>
            <w:rFonts w:ascii="Times New Roman" w:hAnsi="Times New Roman" w:cs="Times New Roman" w:eastAsia="Times New Roman" w:hint="default"/>
            <w:color w:val="0000FF"/>
            <w:sz w:val="24"/>
            <w:szCs w:val="24"/>
            <w:u w:val="single" w:color="0000FF"/>
          </w:rPr>
          <w:t>.</w:t>
        </w:r>
        <w:r>
          <w:rPr>
            <w:rFonts w:ascii="Times New Roman" w:hAnsi="Times New Roman" w:cs="Times New Roman" w:eastAsia="Times New Roman" w:hint="default"/>
            <w:color w:val="0000FF"/>
            <w:spacing w:val="-1"/>
            <w:sz w:val="24"/>
            <w:szCs w:val="24"/>
            <w:u w:val="single" w:color="0000FF"/>
          </w:rPr>
          <w:t>c</w:t>
        </w:r>
        <w:r>
          <w:rPr>
            <w:rFonts w:ascii="Times New Roman" w:hAnsi="Times New Roman" w:cs="Times New Roman" w:eastAsia="Times New Roman" w:hint="default"/>
            <w:color w:val="0000FF"/>
            <w:sz w:val="24"/>
            <w:szCs w:val="24"/>
            <w:u w:val="single" w:color="0000FF"/>
          </w:rPr>
          <w:t>ninfo.</w:t>
        </w:r>
        <w:r>
          <w:rPr>
            <w:rFonts w:ascii="Times New Roman" w:hAnsi="Times New Roman" w:cs="Times New Roman" w:eastAsia="Times New Roman" w:hint="default"/>
            <w:color w:val="0000FF"/>
            <w:spacing w:val="1"/>
            <w:sz w:val="24"/>
            <w:szCs w:val="24"/>
            <w:u w:val="single" w:color="0000FF"/>
          </w:rPr>
          <w:t>c</w:t>
        </w:r>
        <w:r>
          <w:rPr>
            <w:rFonts w:ascii="Times New Roman" w:hAnsi="Times New Roman" w:cs="Times New Roman" w:eastAsia="Times New Roman" w:hint="default"/>
            <w:color w:val="0000FF"/>
            <w:sz w:val="24"/>
            <w:szCs w:val="24"/>
            <w:u w:val="single" w:color="0000FF"/>
          </w:rPr>
          <w:t>om.cn</w:t>
        </w:r>
        <w:r>
          <w:rPr>
            <w:rFonts w:ascii="Times New Roman" w:hAnsi="Times New Roman" w:cs="Times New Roman" w:eastAsia="Times New Roman" w:hint="default"/>
            <w:color w:val="0000FF"/>
            <w:sz w:val="24"/>
            <w:szCs w:val="24"/>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after="0"/>
        <w:jc w:val="left"/>
        <w:rPr>
          <w:rFonts w:ascii="宋体" w:hAnsi="宋体" w:cs="宋体" w:eastAsia="宋体" w:hint="default"/>
          <w:sz w:val="21"/>
          <w:szCs w:val="21"/>
        </w:rPr>
        <w:sectPr>
          <w:pgSz w:w="11910" w:h="16840"/>
          <w:pgMar w:header="748" w:footer="706" w:top="980" w:bottom="900" w:left="1260" w:right="0"/>
        </w:sectPr>
      </w:pPr>
    </w:p>
    <w:p>
      <w:pPr>
        <w:spacing w:line="240" w:lineRule="auto" w:before="6"/>
        <w:rPr>
          <w:rFonts w:ascii="宋体" w:hAnsi="宋体" w:cs="宋体" w:eastAsia="宋体" w:hint="default"/>
          <w:sz w:val="29"/>
          <w:szCs w:val="29"/>
        </w:rPr>
      </w:pPr>
      <w:r>
        <w:rPr/>
        <w:pict>
          <v:shape style="position:absolute;margin-left:494.200012pt;margin-top:783.949768pt;width:101.240002pt;height:57.730225pt;mso-position-horizontal-relative:page;mso-position-vertical-relative:page;z-index:-1360168" type="#_x0000_t75" stroked="false">
            <v:imagedata r:id="rId21" o:title=""/>
          </v:shape>
        </w:pict>
      </w:r>
    </w:p>
    <w:p>
      <w:pPr>
        <w:pStyle w:val="BodyText"/>
        <w:spacing w:line="240" w:lineRule="auto" w:before="26"/>
        <w:ind w:left="780" w:right="1436"/>
        <w:jc w:val="left"/>
      </w:pPr>
      <w:r>
        <w:rPr/>
        <w:t>十一、报告期内接待调研、沟通、采访等活动登记表</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325"/>
        <w:gridCol w:w="1460"/>
        <w:gridCol w:w="1142"/>
        <w:gridCol w:w="2446"/>
        <w:gridCol w:w="3022"/>
      </w:tblGrid>
      <w:tr>
        <w:trPr>
          <w:trHeight w:val="65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3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2011.1.7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中国建银投资证券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8"/>
              <w:jc w:val="both"/>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年整体业绩情况及</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pacing w:val="4"/>
                <w:sz w:val="18"/>
                <w:szCs w:val="18"/>
              </w:rPr>
              <w:t>年前台店面发展规划与后台物流建设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规划</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sz w:val="18"/>
              </w:rPr>
              <w:t>2011.1.11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英国安本资产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Broad Peak</w:t>
            </w:r>
            <w:r>
              <w:rPr>
                <w:rFonts w:ascii="Times New Roman"/>
                <w:spacing w:val="-5"/>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了解公司消费类电子产品的销售现状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及未来发展规划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290" w:right="63" w:hanging="231"/>
              <w:jc w:val="left"/>
              <w:rPr>
                <w:rFonts w:ascii="宋体" w:hAnsi="宋体" w:cs="宋体" w:eastAsia="宋体" w:hint="default"/>
                <w:sz w:val="18"/>
                <w:szCs w:val="18"/>
              </w:rPr>
            </w:pPr>
            <w:r>
              <w:rPr>
                <w:rFonts w:ascii="宋体" w:hAnsi="宋体" w:cs="宋体" w:eastAsia="宋体" w:hint="default"/>
                <w:sz w:val="18"/>
                <w:szCs w:val="18"/>
              </w:rPr>
              <w:t>中信证券</w:t>
            </w:r>
            <w:r>
              <w:rPr>
                <w:rFonts w:ascii="Times New Roman" w:hAnsi="Times New Roman" w:cs="Times New Roman" w:eastAsia="Times New Roman" w:hint="default"/>
                <w:sz w:val="18"/>
                <w:szCs w:val="18"/>
              </w:rPr>
              <w:t>;</w:t>
            </w:r>
            <w:r>
              <w:rPr>
                <w:rFonts w:ascii="宋体" w:hAnsi="宋体" w:cs="宋体" w:eastAsia="宋体" w:hint="default"/>
                <w:sz w:val="18"/>
                <w:szCs w:val="18"/>
              </w:rPr>
              <w:t>长城基金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南京证券</w:t>
            </w:r>
            <w:r>
              <w:rPr>
                <w:rFonts w:ascii="Times New Roman" w:hAnsi="Times New Roman" w:cs="Times New Roman" w:eastAsia="Times New Roman" w:hint="default"/>
                <w:sz w:val="18"/>
                <w:szCs w:val="18"/>
              </w:rPr>
              <w:t>; </w:t>
            </w:r>
            <w:r>
              <w:rPr>
                <w:rFonts w:ascii="宋体" w:hAnsi="宋体" w:cs="宋体" w:eastAsia="宋体" w:hint="default"/>
                <w:sz w:val="18"/>
                <w:szCs w:val="18"/>
              </w:rPr>
              <w:t>兴业全球基金</w:t>
            </w:r>
            <w:r>
              <w:rPr>
                <w:rFonts w:ascii="Times New Roman" w:hAnsi="Times New Roman" w:cs="Times New Roman" w:eastAsia="Times New Roman" w:hint="default"/>
                <w:sz w:val="18"/>
                <w:szCs w:val="18"/>
              </w:rPr>
              <w:t>;</w:t>
            </w:r>
            <w:r>
              <w:rPr>
                <w:rFonts w:ascii="宋体" w:hAnsi="宋体" w:cs="宋体" w:eastAsia="宋体" w:hint="default"/>
                <w:sz w:val="18"/>
                <w:szCs w:val="18"/>
              </w:rPr>
              <w:t>紫鑫投资</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了解公司电子商务的物流运作及电子</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商务业绩的核算方式</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18"/>
                <w:szCs w:val="18"/>
              </w:rPr>
            </w:pPr>
            <w:r>
              <w:rPr>
                <w:rFonts w:ascii="Times New Roman"/>
                <w:spacing w:val="-3"/>
                <w:sz w:val="18"/>
              </w:rPr>
              <w:t>Waddell&amp;</w:t>
            </w:r>
            <w:r>
              <w:rPr>
                <w:rFonts w:ascii="Times New Roman"/>
                <w:spacing w:val="4"/>
                <w:sz w:val="18"/>
              </w:rPr>
              <w:t> </w:t>
            </w:r>
            <w:r>
              <w:rPr>
                <w:rFonts w:ascii="Times New Roman"/>
                <w:sz w:val="18"/>
              </w:rPr>
              <w:t>Reed</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UG Investment</w:t>
            </w:r>
            <w:r>
              <w:rPr>
                <w:rFonts w:ascii="Times New Roman"/>
                <w:spacing w:val="-18"/>
                <w:sz w:val="18"/>
              </w:rPr>
              <w:t> </w:t>
            </w:r>
            <w:r>
              <w:rPr>
                <w:rFonts w:ascii="Times New Roman"/>
                <w:sz w:val="18"/>
              </w:rPr>
              <w:t>Advisers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了解上海地区主要店面销售及当地发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73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Auriga USA,</w:t>
            </w:r>
            <w:r>
              <w:rPr>
                <w:rFonts w:ascii="Times New Roman"/>
                <w:spacing w:val="-6"/>
                <w:sz w:val="18"/>
              </w:rPr>
              <w:t> </w:t>
            </w:r>
            <w:r>
              <w:rPr>
                <w:rFonts w:ascii="Times New Roman"/>
                <w:sz w:val="18"/>
              </w:rPr>
              <w:t>LLC</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18"/>
                <w:szCs w:val="18"/>
              </w:rPr>
            </w:pPr>
            <w:r>
              <w:rPr>
                <w:rFonts w:ascii="宋体" w:hAnsi="宋体" w:cs="宋体" w:eastAsia="宋体" w:hint="default"/>
                <w:spacing w:val="17"/>
                <w:sz w:val="18"/>
                <w:szCs w:val="18"/>
              </w:rPr>
              <w:t>了解公司整体的发展历程及发展规</w:t>
            </w:r>
            <w:r>
              <w:rPr>
                <w:rFonts w:ascii="宋体" w:hAnsi="宋体" w:cs="宋体" w:eastAsia="宋体" w:hint="default"/>
                <w:spacing w:val="-83"/>
                <w:sz w:val="18"/>
                <w:szCs w:val="18"/>
              </w:rPr>
              <w:t> </w:t>
            </w:r>
            <w:r>
              <w:rPr>
                <w:rFonts w:ascii="宋体" w:hAnsi="宋体" w:cs="宋体" w:eastAsia="宋体" w:hint="default"/>
                <w:spacing w:val="4"/>
                <w:sz w:val="18"/>
                <w:szCs w:val="18"/>
              </w:rPr>
              <w:t>划；了解公司后台物流基地建设进度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及未来规划</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2011.1.20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4"/>
              <w:jc w:val="center"/>
              <w:rPr>
                <w:rFonts w:ascii="Times New Roman" w:hAnsi="Times New Roman" w:cs="Times New Roman" w:eastAsia="Times New Roman" w:hint="default"/>
                <w:sz w:val="18"/>
                <w:szCs w:val="18"/>
              </w:rPr>
            </w:pPr>
            <w:r>
              <w:rPr>
                <w:rFonts w:ascii="Times New Roman"/>
                <w:sz w:val="18"/>
              </w:rPr>
              <w:t>First State</w:t>
            </w:r>
            <w:r>
              <w:rPr>
                <w:rFonts w:ascii="Times New Roman"/>
                <w:spacing w:val="-10"/>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了解青岛地区主要店面销售及当地发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73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2011.2.14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23"/>
              <w:jc w:val="center"/>
              <w:rPr>
                <w:rFonts w:ascii="宋体" w:hAnsi="宋体" w:cs="宋体" w:eastAsia="宋体" w:hint="default"/>
                <w:sz w:val="18"/>
                <w:szCs w:val="18"/>
              </w:rPr>
            </w:pPr>
            <w:r>
              <w:rPr>
                <w:rFonts w:ascii="宋体" w:hAnsi="宋体" w:cs="宋体" w:eastAsia="宋体" w:hint="default"/>
                <w:sz w:val="18"/>
                <w:szCs w:val="18"/>
              </w:rPr>
              <w:t>新华人寿资产管理公司</w:t>
            </w:r>
            <w:r>
              <w:rPr>
                <w:rFonts w:ascii="Times New Roman" w:hAnsi="Times New Roman" w:cs="Times New Roman" w:eastAsia="Times New Roman" w:hint="default"/>
                <w:sz w:val="18"/>
                <w:szCs w:val="18"/>
              </w:rPr>
              <w:t>;</w:t>
            </w:r>
            <w:r>
              <w:rPr>
                <w:rFonts w:ascii="宋体" w:hAnsi="宋体" w:cs="宋体" w:eastAsia="宋体" w:hint="default"/>
                <w:sz w:val="18"/>
                <w:szCs w:val="18"/>
              </w:rPr>
              <w:t>民生人 寿资产管理中心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深圳金瀛投资 有限公司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both"/>
              <w:rPr>
                <w:rFonts w:ascii="宋体" w:hAnsi="宋体" w:cs="宋体" w:eastAsia="宋体" w:hint="default"/>
                <w:sz w:val="18"/>
                <w:szCs w:val="18"/>
              </w:rPr>
            </w:pPr>
            <w:r>
              <w:rPr>
                <w:rFonts w:ascii="宋体" w:hAnsi="宋体" w:cs="宋体" w:eastAsia="宋体" w:hint="default"/>
                <w:spacing w:val="4"/>
                <w:sz w:val="18"/>
                <w:szCs w:val="18"/>
              </w:rPr>
              <w:t>了解公司春节整体销售情况；结合行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业现状了解公司未来的发展空间及具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体规划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Dodge &amp;</w:t>
            </w:r>
            <w:r>
              <w:rPr>
                <w:rFonts w:ascii="Times New Roman"/>
                <w:spacing w:val="-4"/>
                <w:sz w:val="18"/>
              </w:rPr>
              <w:t> </w:t>
            </w:r>
            <w:r>
              <w:rPr>
                <w:rFonts w:ascii="Times New Roman"/>
                <w:sz w:val="18"/>
              </w:rPr>
              <w:t>Cox</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了解深圳地区主要店面销售及当地发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48" w:hanging="156"/>
              <w:jc w:val="left"/>
              <w:rPr>
                <w:rFonts w:ascii="宋体" w:hAnsi="宋体" w:cs="宋体" w:eastAsia="宋体" w:hint="default"/>
                <w:sz w:val="18"/>
                <w:szCs w:val="18"/>
              </w:rPr>
            </w:pPr>
            <w:r>
              <w:rPr>
                <w:rFonts w:ascii="宋体" w:hAnsi="宋体" w:cs="宋体" w:eastAsia="宋体" w:hint="default"/>
                <w:sz w:val="18"/>
                <w:szCs w:val="18"/>
              </w:rPr>
              <w:t>华岩时代咨询（北京）有限公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湧金资产管理有限公司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了解公司网上商城的销售增长情况及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未来发展规划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德意志银行证券研究部</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了解沈阳地区主要店面销售及当地发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885" w:right="340" w:hanging="550"/>
              <w:jc w:val="left"/>
              <w:rPr>
                <w:rFonts w:ascii="Times New Roman" w:hAnsi="Times New Roman" w:cs="Times New Roman" w:eastAsia="Times New Roman" w:hint="default"/>
                <w:sz w:val="18"/>
                <w:szCs w:val="18"/>
              </w:rPr>
            </w:pPr>
            <w:r>
              <w:rPr>
                <w:rFonts w:ascii="Times New Roman"/>
                <w:sz w:val="18"/>
              </w:rPr>
              <w:t>Capital Research</w:t>
            </w:r>
            <w:r>
              <w:rPr>
                <w:rFonts w:ascii="Times New Roman"/>
                <w:spacing w:val="-6"/>
                <w:sz w:val="18"/>
              </w:rPr>
              <w:t> </w:t>
            </w:r>
            <w:r>
              <w:rPr>
                <w:rFonts w:ascii="Times New Roman"/>
                <w:sz w:val="18"/>
              </w:rPr>
              <w:t>Global</w:t>
            </w:r>
            <w:r>
              <w:rPr>
                <w:rFonts w:ascii="Times New Roman"/>
                <w:sz w:val="18"/>
              </w:rPr>
              <w:t> Investors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了解公司基本面情况以及中国家电行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业发展现况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2011.2.23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上海新泉投资有限公司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了解公司三、四线城市的渠道下沉情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况以及新型店面和国际市场战略规划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86"/>
              <w:jc w:val="left"/>
              <w:rPr>
                <w:rFonts w:ascii="宋体" w:hAnsi="宋体" w:cs="宋体" w:eastAsia="宋体" w:hint="default"/>
                <w:sz w:val="18"/>
                <w:szCs w:val="18"/>
              </w:rPr>
            </w:pPr>
            <w:r>
              <w:rPr>
                <w:rFonts w:ascii="宋体" w:hAnsi="宋体" w:cs="宋体" w:eastAsia="宋体" w:hint="default"/>
                <w:sz w:val="18"/>
                <w:szCs w:val="18"/>
              </w:rPr>
              <w:t>华安基金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中海基金</w:t>
            </w:r>
            <w:r>
              <w:rPr>
                <w:rFonts w:ascii="Times New Roman" w:hAnsi="Times New Roman" w:cs="Times New Roman" w:eastAsia="Times New Roman" w:hint="default"/>
                <w:sz w:val="18"/>
                <w:szCs w:val="18"/>
              </w:rPr>
              <w:t>;</w:t>
            </w:r>
            <w:r>
              <w:rPr>
                <w:rFonts w:ascii="宋体" w:hAnsi="宋体" w:cs="宋体" w:eastAsia="宋体" w:hint="default"/>
                <w:sz w:val="18"/>
                <w:szCs w:val="18"/>
              </w:rPr>
              <w:t>申万巴黎 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了解公司网上商城未来发展规划以及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三四级城市渠道下沉目前进展及规划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2011.2.28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大成基金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详细了解苏宁易购的发展历程、发展</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潜力及未来规划与具体措施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兴业证券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了解公司网上商城与实体店面协同发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展的策略与措施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德意志银行证券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了解公司与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供应商的合作情况以及</w:t>
            </w:r>
          </w:p>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行业的市场前景</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2011.3.3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汇添富基金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华夏基金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了解公司与网络竞争对手的竞争状况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及应对策略</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sz w:val="18"/>
              </w:rPr>
              <w:t>2011.3.4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分公司会议室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86" w:right="63" w:hanging="27"/>
              <w:jc w:val="left"/>
              <w:rPr>
                <w:rFonts w:ascii="宋体" w:hAnsi="宋体" w:cs="宋体" w:eastAsia="宋体" w:hint="default"/>
                <w:sz w:val="18"/>
                <w:szCs w:val="18"/>
              </w:rPr>
            </w:pPr>
            <w:r>
              <w:rPr>
                <w:rFonts w:ascii="宋体" w:hAnsi="宋体" w:cs="宋体" w:eastAsia="宋体" w:hint="default"/>
                <w:sz w:val="18"/>
                <w:szCs w:val="18"/>
              </w:rPr>
              <w:t>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华安基金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国泰基金</w:t>
            </w:r>
            <w:r>
              <w:rPr>
                <w:rFonts w:ascii="Times New Roman" w:hAnsi="Times New Roman" w:cs="Times New Roman" w:eastAsia="Times New Roman" w:hint="default"/>
                <w:sz w:val="18"/>
                <w:szCs w:val="18"/>
              </w:rPr>
              <w:t>;</w:t>
            </w:r>
            <w:r>
              <w:rPr>
                <w:rFonts w:ascii="宋体" w:hAnsi="宋体" w:cs="宋体" w:eastAsia="宋体" w:hint="default"/>
                <w:sz w:val="18"/>
                <w:szCs w:val="18"/>
              </w:rPr>
              <w:t>汇利资产</w:t>
            </w:r>
            <w:r>
              <w:rPr>
                <w:rFonts w:ascii="Times New Roman" w:hAnsi="Times New Roman" w:cs="Times New Roman" w:eastAsia="Times New Roman" w:hint="default"/>
                <w:sz w:val="18"/>
                <w:szCs w:val="18"/>
              </w:rPr>
              <w:t>;</w:t>
            </w:r>
            <w:r>
              <w:rPr>
                <w:rFonts w:ascii="宋体" w:hAnsi="宋体" w:cs="宋体" w:eastAsia="宋体" w:hint="default"/>
                <w:sz w:val="18"/>
                <w:szCs w:val="18"/>
              </w:rPr>
              <w:t>涌金资产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了解公司电子商务最新发展规划以及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目前遇到的问题及解决措施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国泰人寿公司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了解上海地区主要店面销售及当地发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麦格理证券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了解公司的基本面情况及公司未来费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用控制和毛利提升的具体措施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2011.3.21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123" w:hanging="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Farallon Capital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z w:val="18"/>
                <w:szCs w:val="18"/>
              </w:rPr>
              <w:t> LLC;</w:t>
            </w:r>
            <w:r>
              <w:rPr>
                <w:rFonts w:ascii="宋体" w:hAnsi="宋体" w:cs="宋体" w:eastAsia="宋体" w:hint="default"/>
                <w:sz w:val="18"/>
                <w:szCs w:val="18"/>
              </w:rPr>
              <w:t>华岩资本</w:t>
            </w:r>
            <w:r>
              <w:rPr>
                <w:rFonts w:ascii="Times New Roman" w:hAnsi="Times New Roman" w:cs="Times New Roman" w:eastAsia="Times New Roman" w:hint="default"/>
                <w:sz w:val="18"/>
                <w:szCs w:val="18"/>
              </w:rPr>
              <w:t>;T. H.</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了解公司基本面情况及网上商城物流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建设情况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2011.3.27</w:t>
            </w:r>
            <w:r>
              <w:rPr>
                <w:rFonts w:ascii="宋体" w:hAnsi="宋体" w:cs="宋体" w:eastAsia="宋体" w:hint="default"/>
                <w:sz w:val="18"/>
                <w:szCs w:val="18"/>
              </w:rPr>
              <w:t>、</w:t>
            </w:r>
            <w:r>
              <w:rPr>
                <w:rFonts w:ascii="Times New Roman" w:hAnsi="Times New Roman" w:cs="Times New Roman" w:eastAsia="Times New Roman" w:hint="default"/>
                <w:sz w:val="18"/>
                <w:szCs w:val="18"/>
              </w:rPr>
              <w:t>3.30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UG Investment</w:t>
            </w:r>
            <w:r>
              <w:rPr>
                <w:rFonts w:ascii="Times New Roman"/>
                <w:spacing w:val="-18"/>
                <w:sz w:val="18"/>
              </w:rPr>
              <w:t> </w:t>
            </w:r>
            <w:r>
              <w:rPr>
                <w:rFonts w:ascii="Times New Roman"/>
                <w:sz w:val="18"/>
              </w:rPr>
              <w:t>Advisers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3"/>
              <w:jc w:val="left"/>
              <w:rPr>
                <w:rFonts w:ascii="宋体" w:hAnsi="宋体" w:cs="宋体" w:eastAsia="宋体" w:hint="default"/>
                <w:sz w:val="18"/>
                <w:szCs w:val="18"/>
              </w:rPr>
            </w:pPr>
            <w:r>
              <w:rPr>
                <w:rFonts w:ascii="宋体" w:hAnsi="宋体" w:cs="宋体" w:eastAsia="宋体" w:hint="default"/>
                <w:spacing w:val="4"/>
                <w:sz w:val="18"/>
                <w:szCs w:val="18"/>
              </w:rPr>
              <w:t>了解成都、重庆地区主要店面销售及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当地发展情况</w:t>
            </w:r>
          </w:p>
        </w:tc>
      </w:tr>
      <w:tr>
        <w:trPr>
          <w:trHeight w:val="73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2011.3.29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方正证券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年一季度销售预测情况 以及三四线城市发展近况</w:t>
            </w:r>
          </w:p>
        </w:tc>
      </w:tr>
    </w:tbl>
    <w:p>
      <w:pPr>
        <w:spacing w:after="0" w:line="240" w:lineRule="exact"/>
        <w:jc w:val="left"/>
        <w:rPr>
          <w:rFonts w:ascii="宋体" w:hAnsi="宋体" w:cs="宋体" w:eastAsia="宋体" w:hint="default"/>
          <w:sz w:val="18"/>
          <w:szCs w:val="18"/>
        </w:rPr>
        <w:sectPr>
          <w:pgSz w:w="11910" w:h="16840"/>
          <w:pgMar w:header="748" w:footer="706" w:top="980" w:bottom="900" w:left="114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672"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325"/>
        <w:gridCol w:w="1460"/>
        <w:gridCol w:w="1142"/>
        <w:gridCol w:w="2446"/>
        <w:gridCol w:w="3022"/>
      </w:tblGrid>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2011.3.30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资本国际集团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2011.4.2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里昂证券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了解公司自动化小件仓库建设规划以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及未来海外市场拓展战略</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2011.4.11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英国马丁可利投资管理公司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了解公司基本面情况及网上商城发展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2011.4.13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斯坦福大学资产管理部</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年主要战略规划及发展 措施</w:t>
            </w:r>
          </w:p>
        </w:tc>
      </w:tr>
      <w:tr>
        <w:trPr>
          <w:trHeight w:val="16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
              <w:jc w:val="center"/>
              <w:rPr>
                <w:rFonts w:ascii="Times New Roman" w:hAnsi="Times New Roman" w:cs="Times New Roman" w:eastAsia="Times New Roman" w:hint="default"/>
                <w:sz w:val="18"/>
                <w:szCs w:val="18"/>
              </w:rPr>
            </w:pPr>
            <w:r>
              <w:rPr>
                <w:rFonts w:ascii="Times New Roman"/>
                <w:sz w:val="18"/>
              </w:rPr>
              <w:t>2011.4.26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79" w:right="82" w:firstLine="1"/>
              <w:jc w:val="center"/>
              <w:rPr>
                <w:rFonts w:ascii="Times New Roman" w:hAnsi="Times New Roman" w:cs="Times New Roman" w:eastAsia="Times New Roman" w:hint="default"/>
                <w:sz w:val="18"/>
                <w:szCs w:val="18"/>
              </w:rPr>
            </w:pPr>
            <w:r>
              <w:rPr>
                <w:rFonts w:ascii="Times New Roman"/>
                <w:sz w:val="18"/>
              </w:rPr>
              <w:t>Oberweis</w:t>
            </w:r>
            <w:r>
              <w:rPr>
                <w:rFonts w:ascii="Times New Roman"/>
                <w:spacing w:val="-8"/>
                <w:sz w:val="18"/>
              </w:rPr>
              <w:t> </w:t>
            </w:r>
            <w:r>
              <w:rPr>
                <w:rFonts w:ascii="Times New Roman"/>
                <w:sz w:val="18"/>
              </w:rPr>
              <w:t>Asset</w:t>
            </w:r>
            <w:r>
              <w:rPr>
                <w:rFonts w:ascii="Times New Roman"/>
                <w:sz w:val="18"/>
              </w:rPr>
              <w:t> Management;Martin Currie;Dynamo Capital LLP;Edinburgh</w:t>
            </w:r>
            <w:r>
              <w:rPr>
                <w:rFonts w:ascii="Times New Roman"/>
                <w:spacing w:val="-10"/>
                <w:sz w:val="18"/>
              </w:rPr>
              <w:t> </w:t>
            </w:r>
            <w:r>
              <w:rPr>
                <w:rFonts w:ascii="Times New Roman"/>
                <w:sz w:val="18"/>
              </w:rPr>
              <w:t>Partners;Prince</w:t>
            </w:r>
            <w:r>
              <w:rPr>
                <w:rFonts w:ascii="Times New Roman"/>
                <w:w w:val="99"/>
                <w:sz w:val="18"/>
              </w:rPr>
              <w:t> </w:t>
            </w:r>
            <w:r>
              <w:rPr>
                <w:rFonts w:ascii="Times New Roman"/>
                <w:sz w:val="18"/>
              </w:rPr>
              <w:t>Street</w:t>
            </w:r>
            <w:r>
              <w:rPr>
                <w:rFonts w:ascii="Times New Roman"/>
                <w:spacing w:val="-1"/>
                <w:sz w:val="18"/>
              </w:rPr>
              <w:t> </w:t>
            </w:r>
            <w:r>
              <w:rPr>
                <w:rFonts w:ascii="Times New Roman"/>
                <w:sz w:val="18"/>
              </w:rPr>
              <w:t>Capital</w:t>
            </w:r>
            <w:r>
              <w:rPr>
                <w:rFonts w:ascii="Times New Roman"/>
                <w:w w:val="99"/>
                <w:sz w:val="18"/>
              </w:rPr>
              <w:t> </w:t>
            </w:r>
            <w:r>
              <w:rPr>
                <w:rFonts w:ascii="Times New Roman"/>
                <w:sz w:val="18"/>
              </w:rPr>
              <w:t>Management;Scout</w:t>
            </w:r>
            <w:r>
              <w:rPr>
                <w:rFonts w:ascii="Times New Roman"/>
                <w:sz w:val="18"/>
              </w:rPr>
              <w:t> Capital;Temasek</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了解重庆地区主要店面销售及当地发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28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2011.5.10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172" w:right="178" w:firstLine="3"/>
              <w:jc w:val="center"/>
              <w:rPr>
                <w:rFonts w:ascii="Times New Roman" w:hAnsi="Times New Roman" w:cs="Times New Roman" w:eastAsia="Times New Roman" w:hint="default"/>
                <w:sz w:val="18"/>
                <w:szCs w:val="18"/>
              </w:rPr>
            </w:pPr>
            <w:r>
              <w:rPr>
                <w:rFonts w:ascii="Times New Roman"/>
                <w:sz w:val="18"/>
              </w:rPr>
              <w:t>Institutional</w:t>
            </w:r>
            <w:r>
              <w:rPr>
                <w:rFonts w:ascii="Times New Roman"/>
                <w:spacing w:val="-2"/>
                <w:sz w:val="18"/>
              </w:rPr>
              <w:t> </w:t>
            </w:r>
            <w:r>
              <w:rPr>
                <w:rFonts w:ascii="Times New Roman"/>
                <w:sz w:val="18"/>
              </w:rPr>
              <w:t>Client;Alger</w:t>
            </w:r>
            <w:r>
              <w:rPr>
                <w:rFonts w:ascii="Times New Roman"/>
                <w:sz w:val="18"/>
              </w:rPr>
              <w:t> Management;Alkeon</w:t>
            </w:r>
            <w:r>
              <w:rPr>
                <w:rFonts w:ascii="Times New Roman"/>
                <w:spacing w:val="-7"/>
                <w:sz w:val="18"/>
              </w:rPr>
              <w:t> </w:t>
            </w:r>
            <w:r>
              <w:rPr>
                <w:rFonts w:ascii="Times New Roman"/>
                <w:sz w:val="18"/>
              </w:rPr>
              <w:t>Capital</w:t>
            </w:r>
            <w:r>
              <w:rPr>
                <w:rFonts w:ascii="Times New Roman"/>
                <w:sz w:val="18"/>
              </w:rPr>
              <w:t> MGMT;CITIC</w:t>
            </w:r>
            <w:r>
              <w:rPr>
                <w:rFonts w:ascii="Times New Roman"/>
                <w:spacing w:val="-3"/>
                <w:sz w:val="18"/>
              </w:rPr>
              <w:t> </w:t>
            </w:r>
            <w:r>
              <w:rPr>
                <w:rFonts w:ascii="Times New Roman"/>
                <w:sz w:val="18"/>
              </w:rPr>
              <w:t>Capital</w:t>
            </w:r>
            <w:r>
              <w:rPr>
                <w:rFonts w:ascii="Times New Roman"/>
                <w:sz w:val="18"/>
              </w:rPr>
              <w:t> AM;Eight</w:t>
            </w:r>
            <w:r>
              <w:rPr>
                <w:rFonts w:ascii="Times New Roman"/>
                <w:spacing w:val="-1"/>
                <w:sz w:val="18"/>
              </w:rPr>
              <w:t> </w:t>
            </w:r>
            <w:r>
              <w:rPr>
                <w:rFonts w:ascii="Times New Roman"/>
                <w:sz w:val="18"/>
              </w:rPr>
              <w:t>Inerstment</w:t>
            </w:r>
            <w:r>
              <w:rPr>
                <w:rFonts w:ascii="Times New Roman"/>
                <w:sz w:val="18"/>
              </w:rPr>
              <w:t> Partners;Harvard</w:t>
            </w:r>
            <w:r>
              <w:rPr>
                <w:rFonts w:ascii="Times New Roman"/>
                <w:w w:val="99"/>
                <w:sz w:val="18"/>
              </w:rPr>
              <w:t> </w:t>
            </w:r>
            <w:r>
              <w:rPr>
                <w:rFonts w:ascii="Times New Roman"/>
                <w:sz w:val="18"/>
              </w:rPr>
              <w:t>MGMT;Henderson</w:t>
            </w:r>
            <w:r>
              <w:rPr>
                <w:rFonts w:ascii="Times New Roman"/>
                <w:spacing w:val="-3"/>
                <w:sz w:val="18"/>
              </w:rPr>
              <w:t> </w:t>
            </w:r>
            <w:r>
              <w:rPr>
                <w:rFonts w:ascii="Times New Roman"/>
                <w:sz w:val="18"/>
              </w:rPr>
              <w:t>Land</w:t>
            </w:r>
            <w:r>
              <w:rPr>
                <w:rFonts w:ascii="Times New Roman"/>
                <w:sz w:val="18"/>
              </w:rPr>
              <w:t> Development</w:t>
            </w:r>
            <w:r>
              <w:rPr>
                <w:rFonts w:ascii="Times New Roman"/>
                <w:spacing w:val="-2"/>
                <w:sz w:val="18"/>
              </w:rPr>
              <w:t> </w:t>
            </w:r>
            <w:r>
              <w:rPr>
                <w:rFonts w:ascii="Times New Roman"/>
                <w:sz w:val="18"/>
              </w:rPr>
              <w:t>Co.;Integre</w:t>
            </w:r>
            <w:r>
              <w:rPr>
                <w:rFonts w:ascii="Times New Roman"/>
                <w:sz w:val="18"/>
              </w:rPr>
              <w:t> Advisors;Neuberger</w:t>
            </w:r>
            <w:r>
              <w:rPr>
                <w:rFonts w:ascii="Times New Roman"/>
                <w:spacing w:val="-2"/>
                <w:sz w:val="18"/>
              </w:rPr>
              <w:t> </w:t>
            </w:r>
            <w:r>
              <w:rPr>
                <w:rFonts w:ascii="Times New Roman"/>
                <w:sz w:val="18"/>
              </w:rPr>
              <w:t>&amp;</w:t>
            </w:r>
            <w:r>
              <w:rPr>
                <w:rFonts w:ascii="Times New Roman"/>
                <w:sz w:val="18"/>
              </w:rPr>
              <w:t> Berman;Ontario</w:t>
            </w:r>
            <w:r>
              <w:rPr>
                <w:rFonts w:ascii="Times New Roman"/>
                <w:w w:val="99"/>
                <w:sz w:val="18"/>
              </w:rPr>
              <w:t> </w:t>
            </w:r>
            <w:r>
              <w:rPr>
                <w:rFonts w:ascii="Times New Roman"/>
                <w:sz w:val="18"/>
              </w:rPr>
              <w:t>Teachers(OTPP);Tantallon</w:t>
            </w:r>
            <w:r>
              <w:rPr>
                <w:rFonts w:ascii="Times New Roman"/>
                <w:w w:val="99"/>
                <w:sz w:val="18"/>
              </w:rPr>
              <w:t> </w:t>
            </w:r>
            <w:r>
              <w:rPr>
                <w:rFonts w:ascii="Times New Roman"/>
                <w:sz w:val="18"/>
              </w:rPr>
              <w:t>Capital;Triskele</w:t>
            </w:r>
            <w:r>
              <w:rPr>
                <w:rFonts w:ascii="Times New Roman"/>
                <w:spacing w:val="-3"/>
                <w:sz w:val="18"/>
              </w:rPr>
              <w:t> </w:t>
            </w:r>
            <w:r>
              <w:rPr>
                <w:rFonts w:ascii="Times New Roman"/>
                <w:sz w:val="18"/>
              </w:rPr>
              <w:t>Capital</w:t>
            </w:r>
            <w:r>
              <w:rPr>
                <w:rFonts w:ascii="Times New Roman"/>
                <w:sz w:val="18"/>
              </w:rPr>
              <w:t> Management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47"/>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2011.5.10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博时基金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了解公司以旧换新、家电下乡最新进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展情况以及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年的开店计划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2011.5.11</w:t>
            </w:r>
            <w:r>
              <w:rPr>
                <w:rFonts w:ascii="宋体" w:hAnsi="宋体" w:cs="宋体" w:eastAsia="宋体" w:hint="default"/>
                <w:sz w:val="18"/>
                <w:szCs w:val="18"/>
              </w:rPr>
              <w:t>、</w:t>
            </w:r>
            <w:r>
              <w:rPr>
                <w:rFonts w:ascii="Times New Roman" w:hAnsi="Times New Roman" w:cs="Times New Roman" w:eastAsia="Times New Roman" w:hint="default"/>
                <w:sz w:val="18"/>
                <w:szCs w:val="18"/>
              </w:rPr>
              <w:t>5.14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UG Investment</w:t>
            </w:r>
            <w:r>
              <w:rPr>
                <w:rFonts w:ascii="Times New Roman"/>
                <w:spacing w:val="-18"/>
                <w:sz w:val="18"/>
              </w:rPr>
              <w:t> </w:t>
            </w:r>
            <w:r>
              <w:rPr>
                <w:rFonts w:ascii="Times New Roman"/>
                <w:sz w:val="18"/>
              </w:rPr>
              <w:t>Advisers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3"/>
              <w:jc w:val="left"/>
              <w:rPr>
                <w:rFonts w:ascii="宋体" w:hAnsi="宋体" w:cs="宋体" w:eastAsia="宋体" w:hint="default"/>
                <w:sz w:val="18"/>
                <w:szCs w:val="18"/>
              </w:rPr>
            </w:pPr>
            <w:r>
              <w:rPr>
                <w:rFonts w:ascii="宋体" w:hAnsi="宋体" w:cs="宋体" w:eastAsia="宋体" w:hint="default"/>
                <w:spacing w:val="4"/>
                <w:sz w:val="18"/>
                <w:szCs w:val="18"/>
              </w:rPr>
              <w:t>了解天津、北京地区主要店面销售及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当地发展情况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2011.5.13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天平资产</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了解公司三四线城市发展近况以及物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流建设情况</w:t>
            </w:r>
          </w:p>
        </w:tc>
      </w:tr>
      <w:tr>
        <w:trPr>
          <w:trHeight w:val="6011"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2011.5.19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105" w:right="110" w:firstLine="2"/>
              <w:jc w:val="center"/>
              <w:rPr>
                <w:rFonts w:ascii="Times New Roman" w:hAnsi="Times New Roman" w:cs="Times New Roman" w:eastAsia="Times New Roman" w:hint="default"/>
                <w:sz w:val="18"/>
                <w:szCs w:val="18"/>
              </w:rPr>
            </w:pPr>
            <w:r>
              <w:rPr>
                <w:rFonts w:ascii="Times New Roman"/>
                <w:sz w:val="18"/>
              </w:rPr>
              <w:t>Lake</w:t>
            </w:r>
            <w:r>
              <w:rPr>
                <w:rFonts w:ascii="Times New Roman"/>
                <w:spacing w:val="-2"/>
                <w:sz w:val="18"/>
              </w:rPr>
              <w:t> </w:t>
            </w:r>
            <w:r>
              <w:rPr>
                <w:rFonts w:ascii="Times New Roman"/>
                <w:sz w:val="18"/>
              </w:rPr>
              <w:t>Investment</w:t>
            </w:r>
            <w:r>
              <w:rPr>
                <w:rFonts w:ascii="Times New Roman"/>
                <w:sz w:val="18"/>
              </w:rPr>
              <w:t> Advisors;Shinyoung</w:t>
            </w:r>
            <w:r>
              <w:rPr>
                <w:rFonts w:ascii="Times New Roman"/>
                <w:spacing w:val="-13"/>
                <w:sz w:val="18"/>
              </w:rPr>
              <w:t> </w:t>
            </w:r>
            <w:r>
              <w:rPr>
                <w:rFonts w:ascii="Times New Roman"/>
                <w:sz w:val="18"/>
              </w:rPr>
              <w:t>Asset</w:t>
            </w:r>
            <w:r>
              <w:rPr>
                <w:rFonts w:ascii="Times New Roman"/>
                <w:sz w:val="18"/>
              </w:rPr>
              <w:t> Management;Woori</w:t>
            </w:r>
            <w:r>
              <w:rPr>
                <w:rFonts w:ascii="Times New Roman"/>
                <w:spacing w:val="-13"/>
                <w:sz w:val="18"/>
              </w:rPr>
              <w:t> </w:t>
            </w:r>
            <w:r>
              <w:rPr>
                <w:rFonts w:ascii="Times New Roman"/>
                <w:sz w:val="18"/>
              </w:rPr>
              <w:t>Asset</w:t>
            </w:r>
            <w:r>
              <w:rPr>
                <w:rFonts w:ascii="Times New Roman"/>
                <w:sz w:val="18"/>
              </w:rPr>
              <w:t> Management;Midas</w:t>
            </w:r>
            <w:r>
              <w:rPr>
                <w:rFonts w:ascii="Times New Roman"/>
                <w:spacing w:val="-12"/>
                <w:sz w:val="18"/>
              </w:rPr>
              <w:t> </w:t>
            </w:r>
            <w:r>
              <w:rPr>
                <w:rFonts w:ascii="Times New Roman"/>
                <w:sz w:val="18"/>
              </w:rPr>
              <w:t>Asset</w:t>
            </w:r>
            <w:r>
              <w:rPr>
                <w:rFonts w:ascii="Times New Roman"/>
                <w:sz w:val="18"/>
              </w:rPr>
              <w:t> Management;Hyundai</w:t>
            </w:r>
            <w:r>
              <w:rPr>
                <w:rFonts w:ascii="Times New Roman"/>
                <w:spacing w:val="-13"/>
                <w:sz w:val="18"/>
              </w:rPr>
              <w:t> </w:t>
            </w:r>
            <w:r>
              <w:rPr>
                <w:rFonts w:ascii="Times New Roman"/>
                <w:sz w:val="18"/>
              </w:rPr>
              <w:t>Asset</w:t>
            </w:r>
            <w:r>
              <w:rPr>
                <w:rFonts w:ascii="Times New Roman"/>
                <w:sz w:val="18"/>
              </w:rPr>
              <w:t> Management;Lazard</w:t>
            </w:r>
            <w:r>
              <w:rPr>
                <w:rFonts w:ascii="Times New Roman"/>
                <w:spacing w:val="-2"/>
                <w:sz w:val="18"/>
              </w:rPr>
              <w:t> </w:t>
            </w:r>
            <w:r>
              <w:rPr>
                <w:rFonts w:ascii="Times New Roman"/>
                <w:sz w:val="18"/>
              </w:rPr>
              <w:t>Korea</w:t>
            </w:r>
            <w:r>
              <w:rPr>
                <w:rFonts w:ascii="Times New Roman"/>
                <w:w w:val="99"/>
                <w:sz w:val="18"/>
              </w:rPr>
              <w:t> </w:t>
            </w:r>
            <w:r>
              <w:rPr>
                <w:rFonts w:ascii="Times New Roman"/>
                <w:sz w:val="18"/>
              </w:rPr>
              <w:t>Asset Management;Bell</w:t>
            </w:r>
            <w:r>
              <w:rPr>
                <w:rFonts w:ascii="Times New Roman"/>
                <w:spacing w:val="-10"/>
                <w:sz w:val="18"/>
              </w:rPr>
              <w:t> </w:t>
            </w:r>
            <w:r>
              <w:rPr>
                <w:rFonts w:ascii="Times New Roman"/>
                <w:sz w:val="18"/>
              </w:rPr>
              <w:t>Invest</w:t>
            </w:r>
            <w:r>
              <w:rPr>
                <w:rFonts w:ascii="Times New Roman"/>
                <w:w w:val="99"/>
                <w:sz w:val="18"/>
              </w:rPr>
              <w:t> </w:t>
            </w:r>
            <w:r>
              <w:rPr>
                <w:rFonts w:ascii="Times New Roman"/>
                <w:sz w:val="18"/>
              </w:rPr>
              <w:t>Co.;Tube Asset</w:t>
            </w:r>
            <w:r>
              <w:rPr>
                <w:rFonts w:ascii="Times New Roman"/>
                <w:spacing w:val="-23"/>
                <w:sz w:val="18"/>
              </w:rPr>
              <w:t> </w:t>
            </w:r>
            <w:r>
              <w:rPr>
                <w:rFonts w:ascii="Times New Roman"/>
                <w:sz w:val="18"/>
              </w:rPr>
              <w:t>Investment</w:t>
            </w:r>
          </w:p>
          <w:p>
            <w:pPr>
              <w:pStyle w:val="TableParagraph"/>
              <w:spacing w:line="208" w:lineRule="exact"/>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Advisory</w:t>
            </w:r>
            <w:r>
              <w:rPr>
                <w:rFonts w:ascii="宋体" w:hAnsi="宋体" w:cs="宋体" w:eastAsia="宋体" w:hint="default"/>
                <w:sz w:val="18"/>
                <w:szCs w:val="18"/>
              </w:rPr>
              <w:t>；</w:t>
            </w:r>
            <w:r>
              <w:rPr>
                <w:rFonts w:ascii="Times New Roman" w:hAnsi="Times New Roman" w:cs="Times New Roman" w:eastAsia="Times New Roman" w:hint="default"/>
                <w:sz w:val="18"/>
                <w:szCs w:val="18"/>
              </w:rPr>
              <w:t>Hi</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Asset</w:t>
            </w:r>
          </w:p>
          <w:p>
            <w:pPr>
              <w:pStyle w:val="TableParagraph"/>
              <w:spacing w:line="278" w:lineRule="auto" w:before="33"/>
              <w:ind w:left="28" w:right="33" w:hanging="1"/>
              <w:jc w:val="center"/>
              <w:rPr>
                <w:rFonts w:ascii="Times New Roman" w:hAnsi="Times New Roman" w:cs="Times New Roman" w:eastAsia="Times New Roman" w:hint="default"/>
                <w:sz w:val="18"/>
                <w:szCs w:val="18"/>
              </w:rPr>
            </w:pPr>
            <w:r>
              <w:rPr>
                <w:rFonts w:ascii="Times New Roman"/>
                <w:sz w:val="18"/>
              </w:rPr>
              <w:t>Management;Taurus</w:t>
            </w:r>
            <w:r>
              <w:rPr>
                <w:rFonts w:ascii="Times New Roman"/>
                <w:spacing w:val="-13"/>
                <w:sz w:val="18"/>
              </w:rPr>
              <w:t> </w:t>
            </w:r>
            <w:r>
              <w:rPr>
                <w:rFonts w:ascii="Times New Roman"/>
                <w:sz w:val="18"/>
              </w:rPr>
              <w:t>Investment</w:t>
            </w:r>
            <w:r>
              <w:rPr>
                <w:rFonts w:ascii="Times New Roman"/>
                <w:sz w:val="18"/>
              </w:rPr>
              <w:t> Management;National</w:t>
            </w:r>
            <w:r>
              <w:rPr>
                <w:rFonts w:ascii="Times New Roman"/>
                <w:spacing w:val="-2"/>
                <w:sz w:val="18"/>
              </w:rPr>
              <w:t> </w:t>
            </w:r>
            <w:r>
              <w:rPr>
                <w:rFonts w:ascii="Times New Roman"/>
                <w:sz w:val="18"/>
              </w:rPr>
              <w:t>Credit</w:t>
            </w:r>
            <w:r>
              <w:rPr>
                <w:rFonts w:ascii="Times New Roman"/>
                <w:sz w:val="18"/>
              </w:rPr>
              <w:t> Union Federation</w:t>
            </w:r>
            <w:r>
              <w:rPr>
                <w:rFonts w:ascii="Times New Roman"/>
                <w:spacing w:val="-3"/>
                <w:sz w:val="18"/>
              </w:rPr>
              <w:t> </w:t>
            </w:r>
            <w:r>
              <w:rPr>
                <w:rFonts w:ascii="Times New Roman"/>
                <w:sz w:val="18"/>
              </w:rPr>
              <w:t>of</w:t>
            </w:r>
            <w:r>
              <w:rPr>
                <w:rFonts w:ascii="Times New Roman"/>
                <w:sz w:val="18"/>
              </w:rPr>
              <w:t> Korea;Urich Investment</w:t>
            </w:r>
            <w:r>
              <w:rPr>
                <w:rFonts w:ascii="Times New Roman"/>
                <w:w w:val="99"/>
                <w:sz w:val="18"/>
              </w:rPr>
              <w:t> </w:t>
            </w:r>
            <w:r>
              <w:rPr>
                <w:rFonts w:ascii="Times New Roman"/>
                <w:sz w:val="18"/>
              </w:rPr>
              <w:t>Management</w:t>
            </w:r>
            <w:r>
              <w:rPr>
                <w:rFonts w:ascii="Times New Roman"/>
                <w:spacing w:val="-2"/>
                <w:sz w:val="18"/>
              </w:rPr>
              <w:t> </w:t>
            </w:r>
            <w:r>
              <w:rPr>
                <w:rFonts w:ascii="Times New Roman"/>
                <w:sz w:val="18"/>
              </w:rPr>
              <w:t>Co.;Assetplus</w:t>
            </w:r>
            <w:r>
              <w:rPr>
                <w:rFonts w:ascii="Times New Roman"/>
                <w:w w:val="99"/>
                <w:sz w:val="18"/>
              </w:rPr>
              <w:t> </w:t>
            </w:r>
            <w:r>
              <w:rPr>
                <w:rFonts w:ascii="Times New Roman"/>
                <w:sz w:val="18"/>
              </w:rPr>
              <w:t>Investment</w:t>
            </w:r>
            <w:r>
              <w:rPr>
                <w:rFonts w:ascii="Times New Roman"/>
                <w:spacing w:val="-3"/>
                <w:sz w:val="18"/>
              </w:rPr>
              <w:t> </w:t>
            </w:r>
            <w:r>
              <w:rPr>
                <w:rFonts w:ascii="Times New Roman"/>
                <w:sz w:val="18"/>
              </w:rPr>
              <w:t>Management;KB</w:t>
            </w:r>
            <w:r>
              <w:rPr>
                <w:rFonts w:ascii="Times New Roman"/>
                <w:w w:val="99"/>
                <w:sz w:val="18"/>
              </w:rPr>
              <w:t> </w:t>
            </w:r>
            <w:r>
              <w:rPr>
                <w:rFonts w:ascii="Times New Roman"/>
                <w:sz w:val="18"/>
              </w:rPr>
              <w:t>Asset</w:t>
            </w:r>
            <w:r>
              <w:rPr>
                <w:rFonts w:ascii="Times New Roman"/>
                <w:spacing w:val="-3"/>
                <w:sz w:val="18"/>
              </w:rPr>
              <w:t> </w:t>
            </w:r>
            <w:r>
              <w:rPr>
                <w:rFonts w:ascii="Times New Roman"/>
                <w:sz w:val="18"/>
              </w:rPr>
              <w:t>Management;Samsung</w:t>
            </w:r>
            <w:r>
              <w:rPr>
                <w:rFonts w:ascii="Times New Roman"/>
                <w:sz w:val="18"/>
              </w:rPr>
              <w:t> Investment</w:t>
            </w:r>
            <w:r>
              <w:rPr>
                <w:rFonts w:ascii="Times New Roman"/>
                <w:spacing w:val="-3"/>
                <w:sz w:val="18"/>
              </w:rPr>
              <w:t> </w:t>
            </w:r>
            <w:r>
              <w:rPr>
                <w:rFonts w:ascii="Times New Roman"/>
                <w:sz w:val="18"/>
              </w:rPr>
              <w:t>Trust</w:t>
            </w:r>
            <w:r>
              <w:rPr>
                <w:rFonts w:ascii="Times New Roman"/>
                <w:w w:val="99"/>
                <w:sz w:val="18"/>
              </w:rPr>
              <w:t> </w:t>
            </w:r>
            <w:r>
              <w:rPr>
                <w:rFonts w:ascii="Times New Roman"/>
                <w:sz w:val="18"/>
              </w:rPr>
              <w:t>Management;Public</w:t>
            </w:r>
            <w:r>
              <w:rPr>
                <w:rFonts w:ascii="Times New Roman"/>
                <w:spacing w:val="-5"/>
                <w:sz w:val="18"/>
              </w:rPr>
              <w:t> </w:t>
            </w:r>
            <w:r>
              <w:rPr>
                <w:rFonts w:ascii="Times New Roman"/>
                <w:sz w:val="18"/>
              </w:rPr>
              <w:t>Officials</w:t>
            </w:r>
            <w:r>
              <w:rPr>
                <w:rFonts w:ascii="Times New Roman"/>
                <w:w w:val="99"/>
                <w:sz w:val="18"/>
              </w:rPr>
              <w:t> </w:t>
            </w:r>
            <w:r>
              <w:rPr>
                <w:rFonts w:ascii="Times New Roman"/>
                <w:sz w:val="18"/>
              </w:rPr>
              <w:t>Benefit</w:t>
            </w:r>
            <w:r>
              <w:rPr>
                <w:rFonts w:ascii="Times New Roman"/>
                <w:sz w:val="18"/>
              </w:rPr>
              <w:t> Association;G.E.P.S;Samsung Securities;Korea</w:t>
            </w:r>
            <w:r>
              <w:rPr>
                <w:rFonts w:ascii="Times New Roman"/>
                <w:spacing w:val="-3"/>
                <w:sz w:val="18"/>
              </w:rPr>
              <w:t> </w:t>
            </w:r>
            <w:r>
              <w:rPr>
                <w:rFonts w:ascii="Times New Roman"/>
                <w:sz w:val="18"/>
              </w:rPr>
              <w:t>Investment</w:t>
            </w:r>
            <w:r>
              <w:rPr>
                <w:rFonts w:ascii="Times New Roman"/>
                <w:w w:val="99"/>
                <w:sz w:val="18"/>
              </w:rPr>
              <w:t> </w:t>
            </w:r>
            <w:r>
              <w:rPr>
                <w:rFonts w:ascii="Times New Roman"/>
                <w:sz w:val="18"/>
              </w:rPr>
              <w:t>Management;GS Asset</w:t>
            </w:r>
            <w:r>
              <w:rPr>
                <w:rFonts w:ascii="Times New Roman"/>
                <w:spacing w:val="-17"/>
                <w:sz w:val="18"/>
              </w:rPr>
              <w:t> </w:t>
            </w:r>
            <w:r>
              <w:rPr>
                <w:rFonts w:ascii="Times New Roman"/>
                <w:sz w:val="18"/>
              </w:rPr>
              <w:t>Co.;LIG</w:t>
            </w:r>
            <w:r>
              <w:rPr>
                <w:rFonts w:ascii="Times New Roman"/>
                <w:w w:val="99"/>
                <w:sz w:val="18"/>
              </w:rPr>
              <w:t> </w:t>
            </w:r>
            <w:r>
              <w:rPr>
                <w:rFonts w:ascii="Times New Roman"/>
                <w:sz w:val="18"/>
              </w:rPr>
              <w:t>Investment</w:t>
            </w:r>
            <w:r>
              <w:rPr>
                <w:rFonts w:ascii="Times New Roman"/>
                <w:spacing w:val="-9"/>
                <w:sz w:val="18"/>
              </w:rPr>
              <w:t> </w:t>
            </w:r>
            <w:r>
              <w:rPr>
                <w:rFonts w:ascii="Times New Roman"/>
                <w:sz w:val="18"/>
              </w:rPr>
              <w:t>Management;Cosmo</w:t>
            </w:r>
            <w:r>
              <w:rPr>
                <w:rFonts w:ascii="Times New Roman"/>
                <w:sz w:val="18"/>
              </w:rPr>
              <w:t> Investment</w:t>
            </w:r>
            <w:r>
              <w:rPr>
                <w:rFonts w:ascii="Times New Roman"/>
                <w:spacing w:val="-9"/>
                <w:sz w:val="18"/>
              </w:rPr>
              <w:t> </w:t>
            </w:r>
            <w:r>
              <w:rPr>
                <w:rFonts w:ascii="Times New Roman"/>
                <w:sz w:val="18"/>
              </w:rPr>
              <w:t>Management;Eugene</w:t>
            </w:r>
            <w:r>
              <w:rPr>
                <w:rFonts w:ascii="Times New Roman"/>
                <w:sz w:val="18"/>
              </w:rPr>
              <w:t> Asset</w:t>
            </w:r>
            <w:r>
              <w:rPr>
                <w:rFonts w:ascii="Times New Roman"/>
                <w:spacing w:val="-8"/>
                <w:sz w:val="18"/>
              </w:rPr>
              <w:t> </w:t>
            </w:r>
            <w:r>
              <w:rPr>
                <w:rFonts w:ascii="Times New Roman"/>
                <w:sz w:val="18"/>
              </w:rPr>
              <w:t>Management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4" w:lineRule="auto"/>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了解公司基本面情况以及韩国主要品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牌在中国的发展状况</w:t>
            </w:r>
          </w:p>
        </w:tc>
      </w:tr>
    </w:tbl>
    <w:p>
      <w:pPr>
        <w:spacing w:after="0" w:line="244" w:lineRule="auto"/>
        <w:jc w:val="left"/>
        <w:rPr>
          <w:rFonts w:ascii="宋体" w:hAnsi="宋体" w:cs="宋体" w:eastAsia="宋体" w:hint="default"/>
          <w:sz w:val="18"/>
          <w:szCs w:val="18"/>
        </w:rPr>
        <w:sectPr>
          <w:pgSz w:w="11910" w:h="16840"/>
          <w:pgMar w:header="748" w:footer="706" w:top="980" w:bottom="900" w:left="114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60120"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325"/>
        <w:gridCol w:w="1460"/>
        <w:gridCol w:w="1142"/>
        <w:gridCol w:w="2446"/>
        <w:gridCol w:w="3022"/>
      </w:tblGrid>
      <w:tr>
        <w:trPr>
          <w:trHeight w:val="313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2011.5.19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21" w:right="24"/>
              <w:jc w:val="center"/>
              <w:rPr>
                <w:rFonts w:ascii="Times New Roman" w:hAnsi="Times New Roman" w:cs="Times New Roman" w:eastAsia="Times New Roman" w:hint="default"/>
                <w:sz w:val="18"/>
                <w:szCs w:val="18"/>
              </w:rPr>
            </w:pPr>
            <w:r>
              <w:rPr>
                <w:rFonts w:ascii="Times New Roman"/>
                <w:sz w:val="18"/>
              </w:rPr>
              <w:t>Caisse De Depot Et</w:t>
            </w:r>
            <w:r>
              <w:rPr>
                <w:rFonts w:ascii="Times New Roman"/>
                <w:spacing w:val="-8"/>
                <w:sz w:val="18"/>
              </w:rPr>
              <w:t> </w:t>
            </w:r>
            <w:r>
              <w:rPr>
                <w:rFonts w:ascii="Times New Roman"/>
                <w:sz w:val="18"/>
              </w:rPr>
              <w:t>Placement</w:t>
            </w:r>
            <w:r>
              <w:rPr>
                <w:rFonts w:ascii="Times New Roman"/>
                <w:sz w:val="18"/>
              </w:rPr>
              <w:t> Du Quebec;Sofaer</w:t>
            </w:r>
            <w:r>
              <w:rPr>
                <w:rFonts w:ascii="Times New Roman"/>
                <w:spacing w:val="-2"/>
                <w:sz w:val="18"/>
              </w:rPr>
              <w:t> </w:t>
            </w:r>
            <w:r>
              <w:rPr>
                <w:rFonts w:ascii="Times New Roman"/>
                <w:sz w:val="18"/>
              </w:rPr>
              <w:t>Global</w:t>
            </w:r>
            <w:r>
              <w:rPr>
                <w:rFonts w:ascii="Times New Roman"/>
                <w:sz w:val="18"/>
              </w:rPr>
              <w:t> Research (HK)</w:t>
            </w:r>
            <w:r>
              <w:rPr>
                <w:rFonts w:ascii="Times New Roman"/>
                <w:spacing w:val="-10"/>
                <w:sz w:val="18"/>
              </w:rPr>
              <w:t> </w:t>
            </w:r>
            <w:r>
              <w:rPr>
                <w:rFonts w:ascii="Times New Roman"/>
                <w:sz w:val="18"/>
              </w:rPr>
              <w:t>Limited;Value</w:t>
            </w:r>
            <w:r>
              <w:rPr>
                <w:rFonts w:ascii="Times New Roman"/>
                <w:sz w:val="18"/>
              </w:rPr>
              <w:t> Partners</w:t>
            </w:r>
            <w:r>
              <w:rPr>
                <w:rFonts w:ascii="Times New Roman"/>
                <w:spacing w:val="-2"/>
                <w:sz w:val="18"/>
              </w:rPr>
              <w:t> </w:t>
            </w:r>
            <w:r>
              <w:rPr>
                <w:rFonts w:ascii="Times New Roman"/>
                <w:sz w:val="18"/>
              </w:rPr>
              <w:t>Limited:Norman</w:t>
            </w:r>
            <w:r>
              <w:rPr>
                <w:rFonts w:ascii="Times New Roman"/>
                <w:w w:val="99"/>
                <w:sz w:val="18"/>
              </w:rPr>
              <w:t> </w:t>
            </w:r>
            <w:r>
              <w:rPr>
                <w:rFonts w:ascii="Times New Roman"/>
                <w:sz w:val="18"/>
              </w:rPr>
              <w:t>Ho;Invesco Hong</w:t>
            </w:r>
            <w:r>
              <w:rPr>
                <w:rFonts w:ascii="Times New Roman"/>
                <w:spacing w:val="-1"/>
                <w:sz w:val="18"/>
              </w:rPr>
              <w:t> </w:t>
            </w:r>
            <w:r>
              <w:rPr>
                <w:rFonts w:ascii="Times New Roman"/>
                <w:sz w:val="18"/>
              </w:rPr>
              <w:t>Kong</w:t>
            </w:r>
            <w:r>
              <w:rPr>
                <w:rFonts w:ascii="Times New Roman"/>
                <w:sz w:val="18"/>
              </w:rPr>
              <w:t> Limited;Anlagestiftung</w:t>
            </w:r>
            <w:r>
              <w:rPr>
                <w:rFonts w:ascii="Times New Roman"/>
                <w:spacing w:val="-3"/>
                <w:sz w:val="18"/>
              </w:rPr>
              <w:t> </w:t>
            </w:r>
            <w:r>
              <w:rPr>
                <w:rFonts w:ascii="Times New Roman"/>
                <w:sz w:val="18"/>
              </w:rPr>
              <w:t>Der</w:t>
            </w:r>
            <w:r>
              <w:rPr>
                <w:rFonts w:ascii="Times New Roman"/>
                <w:w w:val="99"/>
                <w:sz w:val="18"/>
              </w:rPr>
              <w:t> </w:t>
            </w:r>
            <w:r>
              <w:rPr>
                <w:rFonts w:ascii="Times New Roman"/>
                <w:spacing w:val="-1"/>
                <w:sz w:val="18"/>
              </w:rPr>
              <w:t>Migros-Pensionskass;Swisscanto</w:t>
            </w:r>
            <w:r>
              <w:rPr>
                <w:rFonts w:ascii="Times New Roman"/>
                <w:spacing w:val="-35"/>
                <w:sz w:val="18"/>
              </w:rPr>
              <w:t> </w:t>
            </w:r>
            <w:r>
              <w:rPr>
                <w:rFonts w:ascii="Times New Roman"/>
                <w:spacing w:val="-35"/>
                <w:sz w:val="18"/>
              </w:rPr>
            </w:r>
            <w:r>
              <w:rPr>
                <w:rFonts w:ascii="Times New Roman"/>
                <w:sz w:val="18"/>
              </w:rPr>
              <w:t>Asset Management</w:t>
            </w:r>
            <w:r>
              <w:rPr>
                <w:rFonts w:ascii="Times New Roman"/>
                <w:spacing w:val="-18"/>
                <w:sz w:val="18"/>
              </w:rPr>
              <w:t> </w:t>
            </w:r>
            <w:r>
              <w:rPr>
                <w:rFonts w:ascii="Times New Roman"/>
                <w:sz w:val="18"/>
              </w:rPr>
              <w:t>AG;Taube</w:t>
            </w:r>
            <w:r>
              <w:rPr>
                <w:rFonts w:ascii="Times New Roman"/>
                <w:sz w:val="18"/>
              </w:rPr>
              <w:t> Hodson Stonex</w:t>
            </w:r>
            <w:r>
              <w:rPr>
                <w:rFonts w:ascii="Times New Roman"/>
                <w:spacing w:val="-4"/>
                <w:sz w:val="18"/>
              </w:rPr>
              <w:t> </w:t>
            </w:r>
            <w:r>
              <w:rPr>
                <w:rFonts w:ascii="Times New Roman"/>
                <w:sz w:val="18"/>
              </w:rPr>
              <w:t>Partners</w:t>
            </w:r>
            <w:r>
              <w:rPr>
                <w:rFonts w:ascii="Times New Roman"/>
                <w:w w:val="99"/>
                <w:sz w:val="18"/>
              </w:rPr>
              <w:t> </w:t>
            </w:r>
            <w:r>
              <w:rPr>
                <w:rFonts w:ascii="Times New Roman"/>
                <w:sz w:val="18"/>
              </w:rPr>
              <w:t>LLP;Employees</w:t>
            </w:r>
            <w:r>
              <w:rPr>
                <w:rFonts w:ascii="Times New Roman"/>
                <w:w w:val="99"/>
                <w:sz w:val="18"/>
              </w:rPr>
              <w:t> </w:t>
            </w:r>
            <w:r>
              <w:rPr>
                <w:rFonts w:ascii="Times New Roman"/>
                <w:sz w:val="18"/>
              </w:rPr>
              <w:t>Retirement;System</w:t>
            </w:r>
            <w:r>
              <w:rPr>
                <w:rFonts w:ascii="Times New Roman"/>
                <w:spacing w:val="-4"/>
                <w:sz w:val="18"/>
              </w:rPr>
              <w:t> </w:t>
            </w:r>
            <w:r>
              <w:rPr>
                <w:rFonts w:ascii="Times New Roman"/>
                <w:sz w:val="18"/>
              </w:rPr>
              <w:t>of</w:t>
            </w:r>
            <w:r>
              <w:rPr>
                <w:rFonts w:ascii="Times New Roman"/>
                <w:sz w:val="18"/>
              </w:rPr>
              <w:t> Texas;Jennison</w:t>
            </w:r>
            <w:r>
              <w:rPr>
                <w:rFonts w:ascii="Times New Roman"/>
                <w:spacing w:val="-11"/>
                <w:sz w:val="18"/>
              </w:rPr>
              <w:t> </w:t>
            </w:r>
            <w:r>
              <w:rPr>
                <w:rFonts w:ascii="Times New Roman"/>
                <w:sz w:val="18"/>
              </w:rPr>
              <w:t>Associates</w:t>
            </w:r>
            <w:r>
              <w:rPr>
                <w:rFonts w:ascii="Times New Roman"/>
                <w:w w:val="99"/>
                <w:sz w:val="18"/>
              </w:rPr>
              <w:t> </w:t>
            </w:r>
            <w:r>
              <w:rPr>
                <w:rFonts w:ascii="Times New Roman"/>
                <w:sz w:val="18"/>
              </w:rPr>
              <w:t>LLC;Newport Asia</w:t>
            </w:r>
            <w:r>
              <w:rPr>
                <w:rFonts w:ascii="Times New Roman"/>
                <w:spacing w:val="-14"/>
                <w:sz w:val="18"/>
              </w:rPr>
              <w:t> </w:t>
            </w:r>
            <w:r>
              <w:rPr>
                <w:rFonts w:ascii="Times New Roman"/>
                <w:sz w:val="18"/>
              </w:rPr>
              <w:t>LLC</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4" w:lineRule="auto"/>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了解青岛地区主要店面销售及当地发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嘉实基金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年上半年整体发展情况 以及网上商城的销售情况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中银国际证券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年空调、白电销售情况 及上游行业状况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2011.6.20</w:t>
            </w:r>
            <w:r>
              <w:rPr>
                <w:rFonts w:ascii="宋体" w:hAnsi="宋体" w:cs="宋体" w:eastAsia="宋体" w:hint="default"/>
                <w:sz w:val="18"/>
                <w:szCs w:val="18"/>
              </w:rPr>
              <w:t>、</w:t>
            </w:r>
            <w:r>
              <w:rPr>
                <w:rFonts w:ascii="Times New Roman" w:hAnsi="Times New Roman" w:cs="Times New Roman" w:eastAsia="Times New Roman" w:hint="default"/>
                <w:sz w:val="18"/>
                <w:szCs w:val="18"/>
              </w:rPr>
              <w:t>6.23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18"/>
                <w:szCs w:val="18"/>
              </w:rPr>
            </w:pPr>
            <w:r>
              <w:rPr>
                <w:rFonts w:ascii="Times New Roman"/>
                <w:sz w:val="18"/>
              </w:rPr>
              <w:t>UG Investment</w:t>
            </w:r>
            <w:r>
              <w:rPr>
                <w:rFonts w:ascii="Times New Roman"/>
                <w:spacing w:val="-18"/>
                <w:sz w:val="18"/>
              </w:rPr>
              <w:t> </w:t>
            </w:r>
            <w:r>
              <w:rPr>
                <w:rFonts w:ascii="Times New Roman"/>
                <w:sz w:val="18"/>
              </w:rPr>
              <w:t>Advisers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3"/>
              <w:jc w:val="left"/>
              <w:rPr>
                <w:rFonts w:ascii="宋体" w:hAnsi="宋体" w:cs="宋体" w:eastAsia="宋体" w:hint="default"/>
                <w:sz w:val="18"/>
                <w:szCs w:val="18"/>
              </w:rPr>
            </w:pPr>
            <w:r>
              <w:rPr>
                <w:rFonts w:ascii="宋体" w:hAnsi="宋体" w:cs="宋体" w:eastAsia="宋体" w:hint="default"/>
                <w:spacing w:val="4"/>
                <w:sz w:val="18"/>
                <w:szCs w:val="18"/>
              </w:rPr>
              <w:t>了解济南、青岛地区主要店面销售及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当地发展情况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center"/>
              <w:rPr>
                <w:rFonts w:ascii="Times New Roman" w:hAnsi="Times New Roman" w:cs="Times New Roman" w:eastAsia="Times New Roman" w:hint="default"/>
                <w:sz w:val="18"/>
                <w:szCs w:val="18"/>
              </w:rPr>
            </w:pPr>
            <w:r>
              <w:rPr>
                <w:rFonts w:ascii="Times New Roman"/>
                <w:sz w:val="18"/>
              </w:rPr>
              <w:t>RCM Capital</w:t>
            </w:r>
            <w:r>
              <w:rPr>
                <w:rFonts w:ascii="Times New Roman"/>
                <w:spacing w:val="-11"/>
                <w:sz w:val="18"/>
              </w:rPr>
              <w:t> </w:t>
            </w:r>
            <w:r>
              <w:rPr>
                <w:rFonts w:ascii="Times New Roman"/>
                <w:sz w:val="18"/>
              </w:rPr>
              <w:t>Management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了解成都地区主要店面销售及当地发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大和证券（香港）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JAT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年上半年整体发展情况 及下半年预测</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富达基金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Fidelity</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了解公司连锁发展计划实施情况、网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上销售发展现状及未来海外拓展规划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4"/>
              <w:jc w:val="center"/>
              <w:rPr>
                <w:rFonts w:ascii="Times New Roman" w:hAnsi="Times New Roman" w:cs="Times New Roman" w:eastAsia="Times New Roman" w:hint="default"/>
                <w:sz w:val="18"/>
                <w:szCs w:val="18"/>
              </w:rPr>
            </w:pPr>
            <w:r>
              <w:rPr>
                <w:rFonts w:ascii="Times New Roman"/>
                <w:sz w:val="18"/>
              </w:rPr>
              <w:t>Ziff Brothers</w:t>
            </w:r>
            <w:r>
              <w:rPr>
                <w:rFonts w:ascii="Times New Roman"/>
                <w:spacing w:val="-11"/>
                <w:sz w:val="18"/>
              </w:rPr>
              <w:t> </w:t>
            </w:r>
            <w:r>
              <w:rPr>
                <w:rFonts w:ascii="Times New Roman"/>
                <w:sz w:val="18"/>
              </w:rPr>
              <w:t>Investments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了解深圳地区主要店面销售及当地发</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展情况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2011.6.29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center"/>
              <w:rPr>
                <w:rFonts w:ascii="Times New Roman" w:hAnsi="Times New Roman" w:cs="Times New Roman" w:eastAsia="Times New Roman" w:hint="default"/>
                <w:sz w:val="18"/>
                <w:szCs w:val="18"/>
              </w:rPr>
            </w:pPr>
            <w:r>
              <w:rPr>
                <w:rFonts w:ascii="Times New Roman"/>
                <w:spacing w:val="-8"/>
                <w:sz w:val="18"/>
              </w:rPr>
              <w:t>JAT</w:t>
            </w:r>
            <w:r>
              <w:rPr>
                <w:rFonts w:ascii="Times New Roman"/>
                <w:spacing w:val="-3"/>
                <w:sz w:val="18"/>
              </w:rPr>
              <w:t> </w:t>
            </w:r>
            <w:r>
              <w:rPr>
                <w:rFonts w:ascii="Times New Roman"/>
                <w:sz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了解北京地区主要店面销售及当地发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2011.7.1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ZBI</w:t>
            </w:r>
            <w:r>
              <w:rPr>
                <w:rFonts w:ascii="Times New Roman"/>
                <w:spacing w:val="-1"/>
                <w:sz w:val="18"/>
              </w:rPr>
              <w:t> </w:t>
            </w:r>
            <w:r>
              <w:rPr>
                <w:rFonts w:ascii="Times New Roman"/>
                <w:sz w:val="18"/>
              </w:rPr>
              <w:t>Brochure</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了解上海地区主要店面销售及当地发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香港新鸿基金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2011.7.12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Perry</w:t>
            </w:r>
            <w:r>
              <w:rPr>
                <w:rFonts w:ascii="Times New Roman"/>
                <w:spacing w:val="-4"/>
                <w:sz w:val="18"/>
              </w:rPr>
              <w:t> </w:t>
            </w:r>
            <w:r>
              <w:rPr>
                <w:rFonts w:ascii="Times New Roman"/>
                <w:sz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了解公司二季度销售增长及易购发展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2011.7.12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Azentus</w:t>
            </w:r>
            <w:r>
              <w:rPr>
                <w:rFonts w:ascii="Times New Roman"/>
                <w:spacing w:val="-3"/>
                <w:sz w:val="18"/>
              </w:rPr>
              <w:t> </w:t>
            </w:r>
            <w:r>
              <w:rPr>
                <w:rFonts w:ascii="Times New Roman"/>
                <w:sz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了解公司基本面情况及后台信息、物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流建设情况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2011.7.22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东亚联丰投资管理有限公司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了解重庆地区主要店面销售及当地发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3"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2011.7.26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里昂证券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了解济南地区主要店面销售及当地发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2011.7.30</w:t>
            </w:r>
            <w:r>
              <w:rPr>
                <w:rFonts w:ascii="宋体" w:hAnsi="宋体" w:cs="宋体" w:eastAsia="宋体" w:hint="default"/>
                <w:sz w:val="18"/>
                <w:szCs w:val="18"/>
              </w:rPr>
              <w:t>、</w:t>
            </w:r>
            <w:r>
              <w:rPr>
                <w:rFonts w:ascii="Times New Roman" w:hAnsi="Times New Roman" w:cs="Times New Roman" w:eastAsia="Times New Roman" w:hint="default"/>
                <w:sz w:val="18"/>
                <w:szCs w:val="18"/>
              </w:rPr>
              <w:t>7.31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毕盛投资</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了解江浙地区主要店面销售及当地发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鼎晖投资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润晖投资</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3C</w:t>
            </w:r>
            <w:r>
              <w:rPr>
                <w:rFonts w:ascii="宋体" w:hAnsi="宋体" w:cs="宋体" w:eastAsia="宋体" w:hint="default"/>
                <w:sz w:val="18"/>
                <w:szCs w:val="18"/>
              </w:rPr>
              <w:t>、生活电器产品销售情况 及与供应商合作情况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2011.8.3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瑞银证券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年上半年发展状况及易 购运营情况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2011.8.3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center"/>
              <w:rPr>
                <w:rFonts w:ascii="Times New Roman" w:hAnsi="Times New Roman" w:cs="Times New Roman" w:eastAsia="Times New Roman" w:hint="default"/>
                <w:sz w:val="18"/>
                <w:szCs w:val="18"/>
              </w:rPr>
            </w:pPr>
            <w:r>
              <w:rPr>
                <w:rFonts w:ascii="Times New Roman"/>
                <w:sz w:val="18"/>
              </w:rPr>
              <w:t>Sloane Robinson</w:t>
            </w:r>
            <w:r>
              <w:rPr>
                <w:rFonts w:ascii="Times New Roman"/>
                <w:spacing w:val="-8"/>
                <w:sz w:val="18"/>
              </w:rPr>
              <w:t> </w:t>
            </w:r>
            <w:r>
              <w:rPr>
                <w:rFonts w:ascii="Times New Roman"/>
                <w:sz w:val="18"/>
              </w:rPr>
              <w:t>LLP</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了解公司基本面情况及电子商务、海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2011.8.5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center"/>
              <w:rPr>
                <w:rFonts w:ascii="Times New Roman" w:hAnsi="Times New Roman" w:cs="Times New Roman" w:eastAsia="Times New Roman" w:hint="default"/>
                <w:sz w:val="18"/>
                <w:szCs w:val="18"/>
              </w:rPr>
            </w:pPr>
            <w:r>
              <w:rPr>
                <w:rFonts w:ascii="Times New Roman"/>
                <w:sz w:val="18"/>
              </w:rPr>
              <w:t>The Bestinver</w:t>
            </w:r>
            <w:r>
              <w:rPr>
                <w:rFonts w:ascii="Times New Roman"/>
                <w:spacing w:val="-5"/>
                <w:sz w:val="18"/>
              </w:rPr>
              <w:t> </w:t>
            </w:r>
            <w:r>
              <w:rPr>
                <w:rFonts w:ascii="Times New Roman"/>
                <w:sz w:val="18"/>
              </w:rPr>
              <w:t>Group</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2011.8.3~8.12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UG</w:t>
            </w:r>
            <w:r>
              <w:rPr>
                <w:rFonts w:ascii="Times New Roman"/>
                <w:spacing w:val="-6"/>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17"/>
              <w:jc w:val="left"/>
              <w:rPr>
                <w:rFonts w:ascii="宋体" w:hAnsi="宋体" w:cs="宋体" w:eastAsia="宋体" w:hint="default"/>
                <w:sz w:val="18"/>
                <w:szCs w:val="18"/>
              </w:rPr>
            </w:pPr>
            <w:r>
              <w:rPr>
                <w:rFonts w:ascii="宋体" w:hAnsi="宋体" w:cs="宋体" w:eastAsia="宋体" w:hint="default"/>
                <w:spacing w:val="5"/>
                <w:sz w:val="18"/>
                <w:szCs w:val="18"/>
              </w:rPr>
              <w:t>了解深圳、上海、杭州、西安地区主</w:t>
            </w:r>
            <w:r>
              <w:rPr>
                <w:rFonts w:ascii="宋体" w:hAnsi="宋体" w:cs="宋体" w:eastAsia="宋体" w:hint="default"/>
                <w:spacing w:val="4"/>
                <w:sz w:val="18"/>
                <w:szCs w:val="18"/>
              </w:rPr>
              <w:t> </w:t>
            </w:r>
            <w:r>
              <w:rPr>
                <w:rFonts w:ascii="宋体" w:hAnsi="宋体" w:cs="宋体" w:eastAsia="宋体" w:hint="default"/>
                <w:sz w:val="18"/>
                <w:szCs w:val="18"/>
              </w:rPr>
              <w:t>要店面销售及当地发展情况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Fidelity</w:t>
            </w:r>
            <w:r>
              <w:rPr>
                <w:rFonts w:ascii="Times New Roman"/>
                <w:spacing w:val="-8"/>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年上半年发展状况、下 半年盈利预估及行业现状</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GMO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投资集团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了解上海地区主要店面销售及当地发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华泰证券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了解公司易购百货销售情况及未来产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品线规划</w:t>
            </w:r>
          </w:p>
        </w:tc>
      </w:tr>
    </w:tbl>
    <w:p>
      <w:pPr>
        <w:spacing w:after="0" w:line="240" w:lineRule="exact"/>
        <w:jc w:val="left"/>
        <w:rPr>
          <w:rFonts w:ascii="宋体" w:hAnsi="宋体" w:cs="宋体" w:eastAsia="宋体" w:hint="default"/>
          <w:sz w:val="18"/>
          <w:szCs w:val="18"/>
        </w:rPr>
        <w:sectPr>
          <w:pgSz w:w="11910" w:h="16840"/>
          <w:pgMar w:header="748" w:footer="706" w:top="980" w:bottom="900" w:left="114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60096"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325"/>
        <w:gridCol w:w="1460"/>
        <w:gridCol w:w="1142"/>
        <w:gridCol w:w="2446"/>
        <w:gridCol w:w="3022"/>
      </w:tblGrid>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Sumitomo</w:t>
            </w:r>
            <w:r>
              <w:rPr>
                <w:rFonts w:ascii="Times New Roman"/>
                <w:spacing w:val="-17"/>
                <w:sz w:val="18"/>
              </w:rPr>
              <w:t> </w:t>
            </w:r>
            <w:r>
              <w:rPr>
                <w:rFonts w:ascii="Times New Roman"/>
                <w:sz w:val="18"/>
              </w:rPr>
              <w:t>Trust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了解深圳地区主要店面销售及当地发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94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center"/>
              <w:rPr>
                <w:rFonts w:ascii="Times New Roman" w:hAnsi="Times New Roman" w:cs="Times New Roman" w:eastAsia="Times New Roman" w:hint="default"/>
                <w:sz w:val="18"/>
                <w:szCs w:val="18"/>
              </w:rPr>
            </w:pPr>
            <w:r>
              <w:rPr>
                <w:rFonts w:ascii="Times New Roman"/>
                <w:sz w:val="18"/>
              </w:rPr>
              <w:t>2011.8.23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国泰君安证券</w:t>
            </w:r>
            <w:r>
              <w:rPr>
                <w:rFonts w:ascii="Times New Roman" w:hAnsi="Times New Roman" w:cs="Times New Roman" w:eastAsia="Times New Roman" w:hint="default"/>
                <w:sz w:val="18"/>
                <w:szCs w:val="18"/>
              </w:rPr>
              <w:t>;</w:t>
            </w:r>
            <w:r>
              <w:rPr>
                <w:rFonts w:ascii="宋体" w:hAnsi="宋体" w:cs="宋体" w:eastAsia="宋体" w:hint="default"/>
                <w:sz w:val="18"/>
                <w:szCs w:val="18"/>
              </w:rPr>
              <w:t>泽熙投资</w:t>
            </w:r>
            <w:r>
              <w:rPr>
                <w:rFonts w:ascii="Times New Roman" w:hAnsi="Times New Roman" w:cs="Times New Roman" w:eastAsia="Times New Roman" w:hint="default"/>
                <w:sz w:val="18"/>
                <w:szCs w:val="18"/>
              </w:rPr>
              <w:t>;</w:t>
            </w:r>
            <w:r>
              <w:rPr>
                <w:rFonts w:ascii="宋体" w:hAnsi="宋体" w:cs="宋体" w:eastAsia="宋体" w:hint="default"/>
                <w:sz w:val="18"/>
                <w:szCs w:val="18"/>
              </w:rPr>
              <w:t>大成</w:t>
            </w:r>
          </w:p>
          <w:p>
            <w:pPr>
              <w:pStyle w:val="TableParagraph"/>
              <w:spacing w:line="225" w:lineRule="auto" w:before="5"/>
              <w:ind w:left="98" w:right="99"/>
              <w:jc w:val="center"/>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鹏华基金</w:t>
            </w:r>
            <w:r>
              <w:rPr>
                <w:rFonts w:ascii="Times New Roman" w:hAnsi="Times New Roman" w:cs="Times New Roman" w:eastAsia="Times New Roman" w:hint="default"/>
                <w:sz w:val="18"/>
                <w:szCs w:val="18"/>
              </w:rPr>
              <w:t>;</w:t>
            </w:r>
            <w:r>
              <w:rPr>
                <w:rFonts w:ascii="宋体" w:hAnsi="宋体" w:cs="宋体" w:eastAsia="宋体" w:hint="default"/>
                <w:sz w:val="18"/>
                <w:szCs w:val="18"/>
              </w:rPr>
              <w:t>易方达基金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博时基金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长盛基金</w:t>
            </w:r>
            <w:r>
              <w:rPr>
                <w:rFonts w:ascii="Times New Roman" w:hAnsi="Times New Roman" w:cs="Times New Roman" w:eastAsia="Times New Roman" w:hint="default"/>
                <w:sz w:val="18"/>
                <w:szCs w:val="18"/>
              </w:rPr>
              <w:t>;</w:t>
            </w:r>
            <w:r>
              <w:rPr>
                <w:rFonts w:ascii="宋体" w:hAnsi="宋体" w:cs="宋体" w:eastAsia="宋体" w:hint="default"/>
                <w:sz w:val="18"/>
                <w:szCs w:val="18"/>
              </w:rPr>
              <w:t>毕盛投 资</w:t>
            </w:r>
            <w:r>
              <w:rPr>
                <w:rFonts w:ascii="Times New Roman" w:hAnsi="Times New Roman" w:cs="Times New Roman" w:eastAsia="Times New Roman" w:hint="default"/>
                <w:sz w:val="18"/>
                <w:szCs w:val="18"/>
              </w:rPr>
              <w:t>; AMD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投资</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4" w:lineRule="auto"/>
              <w:ind w:left="24" w:right="17"/>
              <w:jc w:val="left"/>
              <w:rPr>
                <w:rFonts w:ascii="宋体" w:hAnsi="宋体" w:cs="宋体" w:eastAsia="宋体" w:hint="default"/>
                <w:sz w:val="18"/>
                <w:szCs w:val="18"/>
              </w:rPr>
            </w:pPr>
            <w:r>
              <w:rPr>
                <w:rFonts w:ascii="宋体" w:hAnsi="宋体" w:cs="宋体" w:eastAsia="宋体" w:hint="default"/>
                <w:spacing w:val="5"/>
                <w:sz w:val="18"/>
                <w:szCs w:val="18"/>
              </w:rPr>
              <w:t>了解乌鲁木齐地区主要店面销售及当</w:t>
            </w:r>
            <w:r>
              <w:rPr>
                <w:rFonts w:ascii="宋体" w:hAnsi="宋体" w:cs="宋体" w:eastAsia="宋体" w:hint="default"/>
                <w:spacing w:val="4"/>
                <w:sz w:val="18"/>
                <w:szCs w:val="18"/>
              </w:rPr>
              <w:t> </w:t>
            </w:r>
            <w:r>
              <w:rPr>
                <w:rFonts w:ascii="宋体" w:hAnsi="宋体" w:cs="宋体" w:eastAsia="宋体" w:hint="default"/>
                <w:sz w:val="18"/>
                <w:szCs w:val="18"/>
              </w:rPr>
              <w:t>地发展情况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2011.8.31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澳大利亚安保集团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了解公司三四线城市未来布局规划及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自动化仓库建设情况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sz w:val="18"/>
              </w:rPr>
              <w:t>2011.9.4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
              <w:jc w:val="center"/>
              <w:rPr>
                <w:rFonts w:ascii="Times New Roman" w:hAnsi="Times New Roman" w:cs="Times New Roman" w:eastAsia="Times New Roman" w:hint="default"/>
                <w:sz w:val="18"/>
                <w:szCs w:val="18"/>
              </w:rPr>
            </w:pPr>
            <w:r>
              <w:rPr>
                <w:rFonts w:ascii="Times New Roman"/>
                <w:sz w:val="18"/>
              </w:rPr>
              <w:t>Bowen</w:t>
            </w:r>
            <w:r>
              <w:rPr>
                <w:rFonts w:ascii="Times New Roman"/>
                <w:spacing w:val="-14"/>
                <w:sz w:val="18"/>
              </w:rPr>
              <w:t> </w:t>
            </w:r>
            <w:r>
              <w:rPr>
                <w:rFonts w:ascii="Times New Roman"/>
                <w:sz w:val="18"/>
              </w:rPr>
              <w:t>Asia</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了解青岛地区主要店面销售及当地发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2011.9.7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新加坡政府投资公司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了解西宁地区主要店面销售及当地发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重阳投资</w:t>
            </w:r>
            <w:r>
              <w:rPr>
                <w:rFonts w:ascii="Times New Roman" w:hAnsi="Times New Roman" w:cs="Times New Roman" w:eastAsia="Times New Roman" w:hint="default"/>
                <w:sz w:val="18"/>
                <w:szCs w:val="18"/>
              </w:rPr>
              <w:t>;</w:t>
            </w:r>
            <w:r>
              <w:rPr>
                <w:rFonts w:ascii="宋体" w:hAnsi="宋体" w:cs="宋体" w:eastAsia="宋体" w:hint="default"/>
                <w:sz w:val="18"/>
                <w:szCs w:val="18"/>
              </w:rPr>
              <w:t>中信证券联合调研</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了解公司未来云服务理念及三四级市</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场发展规划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2011.9.15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Sequoia</w:t>
            </w:r>
            <w:r>
              <w:rPr>
                <w:rFonts w:ascii="Times New Roman"/>
                <w:spacing w:val="-3"/>
                <w:sz w:val="18"/>
              </w:rPr>
              <w:t> </w:t>
            </w:r>
            <w:r>
              <w:rPr>
                <w:rFonts w:ascii="Times New Roman"/>
                <w:sz w:val="18"/>
              </w:rPr>
              <w:t>Capital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pacing w:val="5"/>
                <w:sz w:val="18"/>
                <w:szCs w:val="18"/>
              </w:rPr>
              <w:t>了解上海地区主要店面销售及当地发</w:t>
            </w:r>
            <w:r>
              <w:rPr>
                <w:rFonts w:ascii="宋体" w:hAnsi="宋体" w:cs="宋体" w:eastAsia="宋体" w:hint="default"/>
                <w:spacing w:val="4"/>
                <w:sz w:val="18"/>
                <w:szCs w:val="18"/>
              </w:rPr>
              <w:t> </w:t>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2011.9.21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Capital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Group;</w:t>
            </w:r>
            <w:r>
              <w:rPr>
                <w:rFonts w:ascii="宋体" w:hAnsi="宋体" w:cs="宋体" w:eastAsia="宋体" w:hint="default"/>
                <w:sz w:val="18"/>
                <w:szCs w:val="18"/>
              </w:rPr>
              <w:t>融通基金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2011.10.9~10.11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UG</w:t>
            </w:r>
            <w:r>
              <w:rPr>
                <w:rFonts w:ascii="Times New Roman"/>
                <w:spacing w:val="-6"/>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了解长春地区主要店面销售及当地发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2011.10.12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sz w:val="18"/>
                <w:szCs w:val="18"/>
              </w:rPr>
              <w:t>昆蓬亚洲投资基金的澳洲客户</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了解公司发展历史、销售模式、连锁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布局等基本面情况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鹏华基金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了解重庆地区主要店面销售及当地发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Turiya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投资集团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年国庆销售情况及未来 三年易购发展规划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676" w:right="63" w:hanging="617"/>
              <w:jc w:val="left"/>
              <w:rPr>
                <w:rFonts w:ascii="宋体" w:hAnsi="宋体" w:cs="宋体" w:eastAsia="宋体" w:hint="default"/>
                <w:sz w:val="18"/>
                <w:szCs w:val="18"/>
              </w:rPr>
            </w:pPr>
            <w:r>
              <w:rPr>
                <w:rFonts w:ascii="宋体" w:hAnsi="宋体" w:cs="宋体" w:eastAsia="宋体" w:hint="default"/>
                <w:sz w:val="18"/>
                <w:szCs w:val="18"/>
              </w:rPr>
              <w:t>平安信托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平安资产</w:t>
            </w:r>
            <w:r>
              <w:rPr>
                <w:rFonts w:ascii="Times New Roman" w:hAnsi="Times New Roman" w:cs="Times New Roman" w:eastAsia="Times New Roman" w:hint="default"/>
                <w:sz w:val="18"/>
                <w:szCs w:val="18"/>
              </w:rPr>
              <w:t>;</w:t>
            </w:r>
            <w:r>
              <w:rPr>
                <w:rFonts w:ascii="宋体" w:hAnsi="宋体" w:cs="宋体" w:eastAsia="宋体" w:hint="default"/>
                <w:sz w:val="18"/>
                <w:szCs w:val="18"/>
              </w:rPr>
              <w:t>南京证券</w:t>
            </w:r>
            <w:r>
              <w:rPr>
                <w:rFonts w:ascii="Times New Roman" w:hAnsi="Times New Roman" w:cs="Times New Roman" w:eastAsia="Times New Roman" w:hint="default"/>
                <w:sz w:val="18"/>
                <w:szCs w:val="18"/>
              </w:rPr>
              <w:t>; </w:t>
            </w:r>
            <w:r>
              <w:rPr>
                <w:rFonts w:ascii="宋体" w:hAnsi="宋体" w:cs="宋体" w:eastAsia="宋体" w:hint="default"/>
                <w:sz w:val="18"/>
                <w:szCs w:val="18"/>
              </w:rPr>
              <w:t>中银国际证券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了解行业竞争状况及公司未来线上线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下协同发展措施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1" w:right="230" w:hanging="697"/>
              <w:jc w:val="left"/>
              <w:rPr>
                <w:rFonts w:ascii="Times New Roman" w:hAnsi="Times New Roman" w:cs="Times New Roman" w:eastAsia="Times New Roman" w:hint="default"/>
                <w:sz w:val="18"/>
                <w:szCs w:val="18"/>
              </w:rPr>
            </w:pPr>
            <w:r>
              <w:rPr>
                <w:rFonts w:ascii="Times New Roman"/>
                <w:sz w:val="18"/>
              </w:rPr>
              <w:t>Goldman Sachs</w:t>
            </w:r>
            <w:r>
              <w:rPr>
                <w:rFonts w:ascii="Times New Roman"/>
                <w:spacing w:val="-5"/>
                <w:sz w:val="18"/>
              </w:rPr>
              <w:t> </w:t>
            </w:r>
            <w:r>
              <w:rPr>
                <w:rFonts w:ascii="Times New Roman"/>
                <w:sz w:val="18"/>
              </w:rPr>
              <w:t>Investment</w:t>
            </w:r>
            <w:r>
              <w:rPr>
                <w:rFonts w:ascii="Times New Roman"/>
                <w:sz w:val="18"/>
              </w:rPr>
              <w:t> Partners</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了解公司进一步提升市场占有率及利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润的具体措施及物流建设情况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2011.10.20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深圳瑞象投资公司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pacing w:val="5"/>
                <w:sz w:val="18"/>
                <w:szCs w:val="18"/>
              </w:rPr>
              <w:t>参观公司新总部基地、概念店，了解</w:t>
            </w:r>
            <w:r>
              <w:rPr>
                <w:rFonts w:ascii="宋体" w:hAnsi="宋体" w:cs="宋体" w:eastAsia="宋体" w:hint="default"/>
                <w:spacing w:val="4"/>
                <w:sz w:val="18"/>
                <w:szCs w:val="18"/>
              </w:rPr>
              <w:t> </w:t>
            </w:r>
            <w:r>
              <w:rPr>
                <w:rFonts w:ascii="宋体" w:hAnsi="宋体" w:cs="宋体" w:eastAsia="宋体" w:hint="default"/>
                <w:sz w:val="18"/>
                <w:szCs w:val="18"/>
              </w:rPr>
              <w:t>公司基本面及未来发展创新理念</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2011.10.31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
              <w:jc w:val="center"/>
              <w:rPr>
                <w:rFonts w:ascii="Times New Roman" w:hAnsi="Times New Roman" w:cs="Times New Roman" w:eastAsia="Times New Roman" w:hint="default"/>
                <w:sz w:val="18"/>
                <w:szCs w:val="18"/>
              </w:rPr>
            </w:pPr>
            <w:r>
              <w:rPr>
                <w:rFonts w:ascii="Times New Roman"/>
                <w:sz w:val="18"/>
              </w:rPr>
              <w:t>Flowering</w:t>
            </w:r>
            <w:r>
              <w:rPr>
                <w:rFonts w:ascii="Times New Roman"/>
                <w:spacing w:val="-4"/>
                <w:sz w:val="18"/>
              </w:rPr>
              <w:t> </w:t>
            </w:r>
            <w:r>
              <w:rPr>
                <w:rFonts w:ascii="Times New Roman"/>
                <w:spacing w:val="-3"/>
                <w:sz w:val="18"/>
              </w:rPr>
              <w:t>Tree</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了解公司长期发展策略及易购盈利情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银华基金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了解公司三季度业绩情况及易购未来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市场占有提升措施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华夏基金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了解公司易购图书上线后的销售情况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及未来竞争优势</w:t>
            </w:r>
          </w:p>
        </w:tc>
      </w:tr>
      <w:tr>
        <w:trPr>
          <w:trHeight w:val="104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2011.11.10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1" w:right="73" w:firstLine="1"/>
              <w:jc w:val="center"/>
              <w:rPr>
                <w:rFonts w:ascii="Times New Roman" w:hAnsi="Times New Roman" w:cs="Times New Roman" w:eastAsia="Times New Roman" w:hint="default"/>
                <w:sz w:val="18"/>
                <w:szCs w:val="18"/>
              </w:rPr>
            </w:pPr>
            <w:r>
              <w:rPr>
                <w:rFonts w:ascii="Times New Roman"/>
                <w:sz w:val="18"/>
              </w:rPr>
              <w:t>Fidelity;Winnington Capital;Wellington;HSZ Group;Citic</w:t>
            </w:r>
            <w:r>
              <w:rPr>
                <w:rFonts w:ascii="Times New Roman"/>
                <w:w w:val="99"/>
                <w:sz w:val="18"/>
              </w:rPr>
              <w:t> </w:t>
            </w:r>
            <w:r>
              <w:rPr>
                <w:rFonts w:ascii="Times New Roman"/>
                <w:spacing w:val="-1"/>
                <w:sz w:val="18"/>
              </w:rPr>
              <w:t>Capital;Samsung;Pheim;Pacific</w:t>
            </w:r>
            <w:r>
              <w:rPr>
                <w:rFonts w:ascii="Times New Roman"/>
                <w:spacing w:val="-35"/>
                <w:sz w:val="18"/>
              </w:rPr>
              <w:t> </w:t>
            </w:r>
            <w:r>
              <w:rPr>
                <w:rFonts w:ascii="Times New Roman"/>
                <w:spacing w:val="-35"/>
                <w:sz w:val="18"/>
              </w:rPr>
            </w:r>
            <w:r>
              <w:rPr>
                <w:rFonts w:ascii="Times New Roman"/>
                <w:sz w:val="18"/>
              </w:rPr>
              <w:t>Eagle;Tokio</w:t>
            </w:r>
            <w:r>
              <w:rPr>
                <w:rFonts w:ascii="Times New Roman"/>
                <w:spacing w:val="-16"/>
                <w:sz w:val="18"/>
              </w:rPr>
              <w:t> </w:t>
            </w:r>
            <w:r>
              <w:rPr>
                <w:rFonts w:ascii="Times New Roman"/>
                <w:sz w:val="18"/>
              </w:rPr>
              <w:t>Marine</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了解南京地区主要店面销售及当地发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2011.11.10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威灵顿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Wellington</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了解深圳地区主要店面销售及当地发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Myriad</w:t>
            </w:r>
            <w:r>
              <w:rPr>
                <w:rFonts w:ascii="Times New Roman"/>
                <w:spacing w:val="-5"/>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了解公司易购未来竞争优势与利润提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升策略</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华创证券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了解公司易购未来战略发展规划及后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台信息系统发展情况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2011.11.28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Daiwa Hong Kong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及住友信托</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了解公司基本面及国内家电行业发展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态势</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2" w:right="177" w:hanging="800"/>
              <w:jc w:val="left"/>
              <w:rPr>
                <w:rFonts w:ascii="Times New Roman" w:hAnsi="Times New Roman" w:cs="Times New Roman" w:eastAsia="Times New Roman" w:hint="default"/>
                <w:sz w:val="18"/>
                <w:szCs w:val="18"/>
              </w:rPr>
            </w:pPr>
            <w:r>
              <w:rPr>
                <w:rFonts w:ascii="Times New Roman"/>
                <w:sz w:val="18"/>
              </w:rPr>
              <w:t>SAC;Maverick</w:t>
            </w:r>
            <w:r>
              <w:rPr>
                <w:rFonts w:ascii="Times New Roman"/>
                <w:spacing w:val="-13"/>
                <w:sz w:val="18"/>
              </w:rPr>
              <w:t> </w:t>
            </w:r>
            <w:r>
              <w:rPr>
                <w:rFonts w:ascii="Times New Roman"/>
                <w:sz w:val="18"/>
              </w:rPr>
              <w:t>Capital;Tiger</w:t>
            </w:r>
            <w:r>
              <w:rPr>
                <w:rFonts w:ascii="Times New Roman"/>
                <w:w w:val="99"/>
                <w:sz w:val="18"/>
              </w:rPr>
              <w:t> </w:t>
            </w:r>
            <w:r>
              <w:rPr>
                <w:rFonts w:ascii="Times New Roman"/>
                <w:sz w:val="18"/>
              </w:rPr>
              <w:t>Global</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了解重庆地区主要店面销售及当地发</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展情况</w:t>
            </w:r>
          </w:p>
        </w:tc>
      </w:tr>
      <w:tr>
        <w:trPr>
          <w:trHeight w:val="162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富国基金</w:t>
            </w:r>
            <w:r>
              <w:rPr>
                <w:rFonts w:ascii="Times New Roman" w:hAnsi="Times New Roman" w:cs="Times New Roman" w:eastAsia="Times New Roman" w:hint="default"/>
                <w:sz w:val="18"/>
                <w:szCs w:val="18"/>
              </w:rPr>
              <w:t>;</w:t>
            </w:r>
            <w:r>
              <w:rPr>
                <w:rFonts w:ascii="宋体" w:hAnsi="宋体" w:cs="宋体" w:eastAsia="宋体" w:hint="default"/>
                <w:sz w:val="18"/>
                <w:szCs w:val="18"/>
              </w:rPr>
              <w:t>惠理基金</w:t>
            </w:r>
            <w:r>
              <w:rPr>
                <w:rFonts w:ascii="Times New Roman" w:hAnsi="Times New Roman" w:cs="Times New Roman" w:eastAsia="Times New Roman" w:hint="default"/>
                <w:sz w:val="18"/>
                <w:szCs w:val="18"/>
              </w:rPr>
              <w:t>;</w:t>
            </w:r>
          </w:p>
          <w:p>
            <w:pPr>
              <w:pStyle w:val="TableParagraph"/>
              <w:spacing w:line="230" w:lineRule="auto" w:before="1"/>
              <w:ind w:left="21"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招商基金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景顺长城基金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中再 资产管理公司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新同方投资管理 公司</w:t>
            </w:r>
            <w:r>
              <w:rPr>
                <w:rFonts w:ascii="Times New Roman" w:hAnsi="Times New Roman" w:cs="Times New Roman" w:eastAsia="Times New Roman" w:hint="default"/>
                <w:sz w:val="18"/>
                <w:szCs w:val="18"/>
              </w:rPr>
              <w:t>;</w:t>
            </w:r>
            <w:r>
              <w:rPr>
                <w:rFonts w:ascii="宋体" w:hAnsi="宋体" w:cs="宋体" w:eastAsia="宋体" w:hint="default"/>
                <w:sz w:val="18"/>
                <w:szCs w:val="18"/>
              </w:rPr>
              <w:t>达杰资金管理公司</w:t>
            </w:r>
            <w:r>
              <w:rPr>
                <w:rFonts w:ascii="Times New Roman" w:hAnsi="Times New Roman" w:cs="Times New Roman" w:eastAsia="Times New Roman" w:hint="default"/>
                <w:sz w:val="18"/>
                <w:szCs w:val="18"/>
              </w:rPr>
              <w:t>;</w:t>
            </w:r>
            <w:r>
              <w:rPr>
                <w:rFonts w:ascii="宋体" w:hAnsi="宋体" w:cs="宋体" w:eastAsia="宋体" w:hint="default"/>
                <w:sz w:val="18"/>
                <w:szCs w:val="18"/>
              </w:rPr>
              <w:t>挪威 银行</w:t>
            </w:r>
            <w:r>
              <w:rPr>
                <w:rFonts w:ascii="Times New Roman" w:hAnsi="Times New Roman" w:cs="Times New Roman" w:eastAsia="Times New Roman" w:hint="default"/>
                <w:sz w:val="18"/>
                <w:szCs w:val="18"/>
              </w:rPr>
              <w:t>;JK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Capital</w:t>
            </w:r>
            <w:r>
              <w:rPr>
                <w:rFonts w:ascii="宋体" w:hAnsi="宋体" w:cs="宋体" w:eastAsia="宋体" w:hint="default"/>
                <w:sz w:val="18"/>
                <w:szCs w:val="18"/>
              </w:rPr>
              <w:t>；持久投资</w:t>
            </w:r>
            <w:r>
              <w:rPr>
                <w:rFonts w:ascii="Times New Roman" w:hAnsi="Times New Roman" w:cs="Times New Roman" w:eastAsia="Times New Roman" w:hint="default"/>
                <w:sz w:val="18"/>
                <w:szCs w:val="18"/>
              </w:rPr>
              <w:t>;</w:t>
            </w:r>
            <w:r>
              <w:rPr>
                <w:rFonts w:ascii="宋体" w:hAnsi="宋体" w:cs="宋体" w:eastAsia="宋体" w:hint="default"/>
                <w:sz w:val="18"/>
                <w:szCs w:val="18"/>
              </w:rPr>
              <w:t>鲍 尔太平有限公司</w:t>
            </w:r>
            <w:r>
              <w:rPr>
                <w:rFonts w:ascii="Times New Roman" w:hAnsi="Times New Roman" w:cs="Times New Roman" w:eastAsia="Times New Roman" w:hint="default"/>
                <w:sz w:val="18"/>
                <w:szCs w:val="18"/>
              </w:rPr>
              <w:t>;Argyle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Street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Management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exact" w:before="152"/>
              <w:ind w:left="24" w:right="23"/>
              <w:jc w:val="left"/>
              <w:rPr>
                <w:rFonts w:ascii="宋体" w:hAnsi="宋体" w:cs="宋体" w:eastAsia="宋体" w:hint="default"/>
                <w:sz w:val="18"/>
                <w:szCs w:val="18"/>
              </w:rPr>
            </w:pPr>
            <w:r>
              <w:rPr>
                <w:rFonts w:ascii="宋体" w:hAnsi="宋体" w:cs="宋体" w:eastAsia="宋体" w:hint="default"/>
                <w:sz w:val="18"/>
                <w:szCs w:val="18"/>
              </w:rPr>
              <w:t>了解公司易购发展现状、</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年成本 控制措施及未来几年成长前景</w:t>
            </w:r>
          </w:p>
        </w:tc>
      </w:tr>
    </w:tbl>
    <w:p>
      <w:pPr>
        <w:spacing w:after="0" w:line="240" w:lineRule="exact"/>
        <w:jc w:val="left"/>
        <w:rPr>
          <w:rFonts w:ascii="宋体" w:hAnsi="宋体" w:cs="宋体" w:eastAsia="宋体" w:hint="default"/>
          <w:sz w:val="18"/>
          <w:szCs w:val="18"/>
        </w:rPr>
        <w:sectPr>
          <w:pgSz w:w="11910" w:h="16840"/>
          <w:pgMar w:header="748" w:footer="706" w:top="980" w:bottom="900" w:left="114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360072"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325"/>
        <w:gridCol w:w="1460"/>
        <w:gridCol w:w="1142"/>
        <w:gridCol w:w="2446"/>
        <w:gridCol w:w="3022"/>
      </w:tblGrid>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工银瑞信基金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1"/>
              <w:jc w:val="left"/>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年整体发展预期及三四 线城市发展规划</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惠理基金</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了解公司未来几年开店规划、毛利提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升措施及租金成本控制措施</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2011.12.13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平安信托</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2"/>
              <w:jc w:val="left"/>
              <w:rPr>
                <w:rFonts w:ascii="宋体" w:hAnsi="宋体" w:cs="宋体" w:eastAsia="宋体" w:hint="default"/>
                <w:sz w:val="18"/>
                <w:szCs w:val="18"/>
              </w:rPr>
            </w:pPr>
            <w:r>
              <w:rPr>
                <w:rFonts w:ascii="宋体" w:hAnsi="宋体" w:cs="宋体" w:eastAsia="宋体" w:hint="default"/>
                <w:spacing w:val="4"/>
                <w:sz w:val="18"/>
                <w:szCs w:val="18"/>
              </w:rPr>
              <w:t>了解成都地区主要店面销售及当地发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2011.12.13-12.15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瑞合资本市场</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3"/>
              <w:jc w:val="left"/>
              <w:rPr>
                <w:rFonts w:ascii="宋体" w:hAnsi="宋体" w:cs="宋体" w:eastAsia="宋体" w:hint="default"/>
                <w:sz w:val="18"/>
                <w:szCs w:val="18"/>
              </w:rPr>
            </w:pPr>
            <w:r>
              <w:rPr>
                <w:rFonts w:ascii="宋体" w:hAnsi="宋体" w:cs="宋体" w:eastAsia="宋体" w:hint="default"/>
                <w:spacing w:val="4"/>
                <w:sz w:val="18"/>
                <w:szCs w:val="18"/>
              </w:rPr>
              <w:t>了解北京、上海地区主要店面销售及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当地发展情况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三菱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UFJ</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金融集团</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了解公司基本面情况及易购销售发展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策略</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2011.12.17-19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sz w:val="18"/>
              </w:rPr>
              <w:t>UG</w:t>
            </w:r>
            <w:r>
              <w:rPr>
                <w:rFonts w:ascii="Times New Roman"/>
                <w:spacing w:val="-6"/>
                <w:sz w:val="18"/>
              </w:rPr>
              <w:t> </w:t>
            </w:r>
            <w:r>
              <w:rPr>
                <w:rFonts w:ascii="Times New Roman"/>
                <w:sz w:val="18"/>
              </w:rPr>
              <w:t>Investment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7"/>
              <w:jc w:val="left"/>
              <w:rPr>
                <w:rFonts w:ascii="宋体" w:hAnsi="宋体" w:cs="宋体" w:eastAsia="宋体" w:hint="default"/>
                <w:sz w:val="18"/>
                <w:szCs w:val="18"/>
              </w:rPr>
            </w:pPr>
            <w:r>
              <w:rPr>
                <w:rFonts w:ascii="宋体" w:hAnsi="宋体" w:cs="宋体" w:eastAsia="宋体" w:hint="default"/>
                <w:spacing w:val="5"/>
                <w:sz w:val="18"/>
                <w:szCs w:val="18"/>
              </w:rPr>
              <w:t>了解厦门、福州、武汉、郑州地区主</w:t>
            </w:r>
            <w:r>
              <w:rPr>
                <w:rFonts w:ascii="宋体" w:hAnsi="宋体" w:cs="宋体" w:eastAsia="宋体" w:hint="default"/>
                <w:spacing w:val="4"/>
                <w:sz w:val="18"/>
                <w:szCs w:val="18"/>
              </w:rPr>
              <w:t> </w:t>
            </w:r>
            <w:r>
              <w:rPr>
                <w:rFonts w:ascii="宋体" w:hAnsi="宋体" w:cs="宋体" w:eastAsia="宋体" w:hint="default"/>
                <w:sz w:val="18"/>
                <w:szCs w:val="18"/>
              </w:rPr>
              <w:t>要店面销售及当地发展情况</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禾其投资</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了解公司易购未来发展策略及实体店</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毛利提升措施</w:t>
            </w:r>
          </w:p>
        </w:tc>
      </w:tr>
      <w:tr>
        <w:trPr>
          <w:trHeight w:val="490"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175" w:right="155" w:hanging="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RCM Capital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 </w:t>
            </w:r>
            <w:r>
              <w:rPr>
                <w:rFonts w:ascii="Times New Roman" w:hAnsi="Times New Roman" w:cs="Times New Roman" w:eastAsia="Times New Roman" w:hint="default"/>
                <w:sz w:val="18"/>
                <w:szCs w:val="18"/>
              </w:rPr>
              <w:t>Manulife Asset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Management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了解公司未来开店布局及单店销售提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升措施</w:t>
            </w:r>
          </w:p>
        </w:tc>
      </w:tr>
      <w:tr>
        <w:trPr>
          <w:trHeight w:val="49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2011.12.22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花旗银行</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 w:right="24"/>
              <w:jc w:val="left"/>
              <w:rPr>
                <w:rFonts w:ascii="宋体" w:hAnsi="宋体" w:cs="宋体" w:eastAsia="宋体" w:hint="default"/>
                <w:sz w:val="18"/>
                <w:szCs w:val="18"/>
              </w:rPr>
            </w:pPr>
            <w:r>
              <w:rPr>
                <w:rFonts w:ascii="宋体" w:hAnsi="宋体" w:cs="宋体" w:eastAsia="宋体" w:hint="default"/>
                <w:spacing w:val="4"/>
                <w:sz w:val="18"/>
                <w:szCs w:val="18"/>
              </w:rPr>
              <w:t>了解公司基本面情况及未来成本控制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措施</w:t>
            </w:r>
          </w:p>
        </w:tc>
      </w:tr>
    </w:tbl>
    <w:p>
      <w:pPr>
        <w:spacing w:line="240" w:lineRule="auto" w:before="3"/>
        <w:rPr>
          <w:rFonts w:ascii="Times New Roman" w:hAnsi="Times New Roman" w:cs="Times New Roman" w:eastAsia="Times New Roman" w:hint="default"/>
          <w:sz w:val="18"/>
          <w:szCs w:val="18"/>
        </w:rPr>
      </w:pPr>
    </w:p>
    <w:p>
      <w:pPr>
        <w:pStyle w:val="BodyText"/>
        <w:spacing w:line="240" w:lineRule="auto" w:before="26"/>
        <w:ind w:left="780" w:right="1436"/>
        <w:jc w:val="left"/>
      </w:pPr>
      <w:r>
        <w:rPr/>
        <w:t>十二、报告期末至披露日之间接待调研、沟通、采访等活动登记表</w:t>
      </w: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222"/>
        <w:gridCol w:w="1714"/>
        <w:gridCol w:w="1397"/>
        <w:gridCol w:w="1788"/>
        <w:gridCol w:w="3274"/>
      </w:tblGrid>
      <w:tr>
        <w:trPr>
          <w:trHeight w:val="24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8" w:right="0"/>
              <w:jc w:val="left"/>
              <w:rPr>
                <w:rFonts w:ascii="Times New Roman" w:hAnsi="Times New Roman" w:cs="Times New Roman" w:eastAsia="Times New Roman" w:hint="default"/>
                <w:sz w:val="18"/>
                <w:szCs w:val="18"/>
              </w:rPr>
            </w:pPr>
            <w:r>
              <w:rPr>
                <w:rFonts w:ascii="Times New Roman"/>
                <w:sz w:val="18"/>
              </w:rPr>
              <w:t>2012.1.9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Viking</w:t>
            </w:r>
            <w:r>
              <w:rPr>
                <w:rFonts w:ascii="Times New Roman"/>
                <w:spacing w:val="-13"/>
                <w:sz w:val="18"/>
              </w:rPr>
              <w:t> </w:t>
            </w:r>
            <w:r>
              <w:rPr>
                <w:rFonts w:ascii="Times New Roman"/>
                <w:sz w:val="18"/>
              </w:rPr>
              <w:t>global</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年易购整体销售情况及</w:t>
            </w:r>
          </w:p>
          <w:p>
            <w:pPr>
              <w:pStyle w:val="TableParagraph"/>
              <w:spacing w:line="24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年开店规划</w:t>
            </w:r>
          </w:p>
        </w:tc>
      </w:tr>
      <w:tr>
        <w:trPr>
          <w:trHeight w:val="48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2012.1.12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20"/>
              <w:ind w:left="203" w:right="110" w:hanging="9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Myriad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Investment</w:t>
            </w:r>
            <w:r>
              <w:rPr>
                <w:rFonts w:ascii="宋体" w:hAnsi="宋体" w:cs="宋体" w:eastAsia="宋体" w:hint="default"/>
                <w:sz w:val="18"/>
                <w:szCs w:val="18"/>
              </w:rPr>
              <w:t>、 </w:t>
            </w:r>
            <w:r>
              <w:rPr>
                <w:rFonts w:ascii="Times New Roman" w:hAnsi="Times New Roman" w:cs="Times New Roman" w:eastAsia="Times New Roman" w:hint="default"/>
                <w:sz w:val="18"/>
                <w:szCs w:val="18"/>
              </w:rPr>
              <w:t>TPG-Axon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Capital</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年第四季度经营情况及易</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购、物流发展规划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4" w:right="0"/>
              <w:jc w:val="left"/>
              <w:rPr>
                <w:rFonts w:ascii="Times New Roman" w:hAnsi="Times New Roman" w:cs="Times New Roman" w:eastAsia="Times New Roman" w:hint="default"/>
                <w:sz w:val="18"/>
                <w:szCs w:val="18"/>
              </w:rPr>
            </w:pPr>
            <w:r>
              <w:rPr>
                <w:rFonts w:ascii="Times New Roman"/>
                <w:sz w:val="18"/>
              </w:rPr>
              <w:t>2012.1.12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里昂证券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了解昆明地区主要店面销售及当地发展</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8" w:right="0"/>
              <w:jc w:val="left"/>
              <w:rPr>
                <w:rFonts w:ascii="Times New Roman" w:hAnsi="Times New Roman" w:cs="Times New Roman" w:eastAsia="Times New Roman" w:hint="default"/>
                <w:sz w:val="18"/>
                <w:szCs w:val="18"/>
              </w:rPr>
            </w:pPr>
            <w:r>
              <w:rPr>
                <w:rFonts w:ascii="Times New Roman"/>
                <w:sz w:val="18"/>
              </w:rPr>
              <w:t>2012.2.6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华泰证券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年易购业绩情况及未来发</w:t>
            </w:r>
          </w:p>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展重点</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8" w:right="0"/>
              <w:jc w:val="left"/>
              <w:rPr>
                <w:rFonts w:ascii="Times New Roman" w:hAnsi="Times New Roman" w:cs="Times New Roman" w:eastAsia="Times New Roman" w:hint="default"/>
                <w:sz w:val="18"/>
                <w:szCs w:val="18"/>
              </w:rPr>
            </w:pPr>
            <w:r>
              <w:rPr>
                <w:rFonts w:ascii="Times New Roman"/>
                <w:sz w:val="18"/>
              </w:rPr>
              <w:t>2012.2.8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上海实力资产、东方港</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湾、锦宏投资</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年发展重点及易购、乐</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购仕发展规划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8" w:right="0"/>
              <w:jc w:val="left"/>
              <w:rPr>
                <w:rFonts w:ascii="Times New Roman" w:hAnsi="Times New Roman" w:cs="Times New Roman" w:eastAsia="Times New Roman" w:hint="default"/>
                <w:sz w:val="18"/>
                <w:szCs w:val="18"/>
              </w:rPr>
            </w:pPr>
            <w:r>
              <w:rPr>
                <w:rFonts w:ascii="Times New Roman"/>
                <w:sz w:val="18"/>
              </w:rPr>
              <w:t>2012.2.8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麦格理证券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年店面开设情况及三四级</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市场未来布局规划</w:t>
            </w:r>
          </w:p>
        </w:tc>
      </w:tr>
      <w:tr>
        <w:trPr>
          <w:trHeight w:val="141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8" w:right="0"/>
              <w:jc w:val="left"/>
              <w:rPr>
                <w:rFonts w:ascii="Times New Roman" w:hAnsi="Times New Roman" w:cs="Times New Roman" w:eastAsia="Times New Roman" w:hint="default"/>
                <w:sz w:val="18"/>
                <w:szCs w:val="18"/>
              </w:rPr>
            </w:pPr>
            <w:r>
              <w:rPr>
                <w:rFonts w:ascii="Times New Roman"/>
                <w:sz w:val="18"/>
              </w:rPr>
              <w:t>2012.2.9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
              <w:jc w:val="center"/>
              <w:rPr>
                <w:rFonts w:ascii="宋体" w:hAnsi="宋体" w:cs="宋体" w:eastAsia="宋体" w:hint="default"/>
                <w:sz w:val="18"/>
                <w:szCs w:val="18"/>
              </w:rPr>
            </w:pPr>
            <w:r>
              <w:rPr>
                <w:rFonts w:ascii="宋体" w:hAnsi="宋体" w:cs="宋体" w:eastAsia="宋体" w:hint="default"/>
                <w:sz w:val="18"/>
                <w:szCs w:val="18"/>
              </w:rPr>
              <w:t>上投摩根基金</w:t>
            </w:r>
            <w:r>
              <w:rPr>
                <w:rFonts w:ascii="Times New Roman" w:hAnsi="Times New Roman" w:cs="Times New Roman" w:eastAsia="Times New Roman" w:hint="default"/>
                <w:sz w:val="18"/>
                <w:szCs w:val="18"/>
              </w:rPr>
              <w:t>;</w:t>
            </w:r>
            <w:r>
              <w:rPr>
                <w:rFonts w:ascii="宋体" w:hAnsi="宋体" w:cs="宋体" w:eastAsia="宋体" w:hint="default"/>
                <w:sz w:val="18"/>
                <w:szCs w:val="18"/>
              </w:rPr>
              <w:t>易方达</w:t>
            </w:r>
          </w:p>
          <w:p>
            <w:pPr>
              <w:pStyle w:val="TableParagraph"/>
              <w:spacing w:line="225" w:lineRule="auto" w:before="5"/>
              <w:ind w:left="26" w:right="29"/>
              <w:jc w:val="center"/>
              <w:rPr>
                <w:rFonts w:ascii="宋体" w:hAnsi="宋体" w:cs="宋体" w:eastAsia="宋体" w:hint="default"/>
                <w:sz w:val="18"/>
                <w:szCs w:val="18"/>
              </w:rPr>
            </w:pPr>
            <w:r>
              <w:rPr>
                <w:rFonts w:ascii="宋体" w:hAnsi="宋体" w:cs="宋体" w:eastAsia="宋体" w:hint="default"/>
                <w:sz w:val="18"/>
                <w:szCs w:val="18"/>
              </w:rPr>
              <w:t>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兴业基金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景顺长 城基金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富国 基金</w:t>
            </w:r>
            <w:r>
              <w:rPr>
                <w:rFonts w:ascii="Times New Roman" w:hAnsi="Times New Roman" w:cs="Times New Roman" w:eastAsia="Times New Roman" w:hint="default"/>
                <w:sz w:val="18"/>
                <w:szCs w:val="18"/>
              </w:rPr>
              <w:t>;</w:t>
            </w:r>
            <w:r>
              <w:rPr>
                <w:rFonts w:ascii="宋体" w:hAnsi="宋体" w:cs="宋体" w:eastAsia="宋体" w:hint="default"/>
                <w:sz w:val="18"/>
                <w:szCs w:val="18"/>
              </w:rPr>
              <w:t>华安基金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中海基 金</w:t>
            </w:r>
            <w:r>
              <w:rPr>
                <w:rFonts w:ascii="Times New Roman" w:hAnsi="Times New Roman" w:cs="Times New Roman" w:eastAsia="Times New Roman" w:hint="default"/>
                <w:sz w:val="18"/>
                <w:szCs w:val="18"/>
              </w:rPr>
              <w:t>;</w:t>
            </w:r>
            <w:r>
              <w:rPr>
                <w:rFonts w:ascii="宋体" w:hAnsi="宋体" w:cs="宋体" w:eastAsia="宋体" w:hint="default"/>
                <w:sz w:val="18"/>
                <w:szCs w:val="18"/>
              </w:rPr>
              <w:t>长信基金</w:t>
            </w:r>
            <w:r>
              <w:rPr>
                <w:rFonts w:ascii="Times New Roman" w:hAnsi="Times New Roman" w:cs="Times New Roman" w:eastAsia="Times New Roman" w:hint="default"/>
                <w:sz w:val="18"/>
                <w:szCs w:val="18"/>
              </w:rPr>
              <w:t>;</w:t>
            </w:r>
            <w:r>
              <w:rPr>
                <w:rFonts w:ascii="宋体" w:hAnsi="宋体" w:cs="宋体" w:eastAsia="宋体" w:hint="default"/>
                <w:sz w:val="18"/>
                <w:szCs w:val="18"/>
              </w:rPr>
              <w:t>银华基 金</w:t>
            </w:r>
            <w:r>
              <w:rPr>
                <w:rFonts w:ascii="Times New Roman" w:hAnsi="Times New Roman" w:cs="Times New Roman" w:eastAsia="Times New Roman" w:hint="default"/>
                <w:sz w:val="18"/>
                <w:szCs w:val="18"/>
              </w:rPr>
              <w:t>;</w:t>
            </w:r>
            <w:r>
              <w:rPr>
                <w:rFonts w:ascii="宋体" w:hAnsi="宋体" w:cs="宋体" w:eastAsia="宋体" w:hint="default"/>
                <w:sz w:val="18"/>
                <w:szCs w:val="18"/>
              </w:rPr>
              <w:t>广发证券自营部</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1" w:right="101" w:hanging="901"/>
              <w:jc w:val="left"/>
              <w:rPr>
                <w:rFonts w:ascii="宋体" w:hAnsi="宋体" w:cs="宋体" w:eastAsia="宋体" w:hint="default"/>
                <w:sz w:val="18"/>
                <w:szCs w:val="18"/>
              </w:rPr>
            </w:pPr>
            <w:r>
              <w:rPr>
                <w:rFonts w:ascii="宋体" w:hAnsi="宋体" w:cs="宋体" w:eastAsia="宋体" w:hint="default"/>
                <w:sz w:val="18"/>
                <w:szCs w:val="18"/>
              </w:rPr>
              <w:t>了解公司经营发展的最新情况及易购未 来主要发展举措</w:t>
            </w:r>
          </w:p>
        </w:tc>
      </w:tr>
      <w:tr>
        <w:trPr>
          <w:trHeight w:val="42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4" w:right="0"/>
              <w:jc w:val="left"/>
              <w:rPr>
                <w:rFonts w:ascii="Times New Roman" w:hAnsi="Times New Roman" w:cs="Times New Roman" w:eastAsia="Times New Roman" w:hint="default"/>
                <w:sz w:val="18"/>
                <w:szCs w:val="18"/>
              </w:rPr>
            </w:pPr>
            <w:r>
              <w:rPr>
                <w:rFonts w:ascii="Times New Roman"/>
                <w:sz w:val="18"/>
              </w:rPr>
              <w:t>2012.2.15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31"/>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17" w:right="90" w:hanging="632"/>
              <w:jc w:val="left"/>
              <w:rPr>
                <w:rFonts w:ascii="Times New Roman" w:hAnsi="Times New Roman" w:cs="Times New Roman" w:eastAsia="Times New Roman" w:hint="default"/>
                <w:sz w:val="18"/>
                <w:szCs w:val="18"/>
              </w:rPr>
            </w:pPr>
            <w:r>
              <w:rPr>
                <w:rFonts w:ascii="Times New Roman"/>
                <w:sz w:val="18"/>
              </w:rPr>
              <w:t>Indus Capital</w:t>
            </w:r>
            <w:r>
              <w:rPr>
                <w:rFonts w:ascii="Times New Roman"/>
                <w:spacing w:val="-4"/>
                <w:sz w:val="18"/>
              </w:rPr>
              <w:t> </w:t>
            </w:r>
            <w:r>
              <w:rPr>
                <w:rFonts w:ascii="Times New Roman"/>
                <w:sz w:val="18"/>
              </w:rPr>
              <w:t>Partners</w:t>
            </w:r>
            <w:r>
              <w:rPr>
                <w:rFonts w:ascii="Times New Roman"/>
                <w:w w:val="99"/>
                <w:sz w:val="18"/>
              </w:rPr>
              <w:t> </w:t>
            </w:r>
            <w:r>
              <w:rPr>
                <w:rFonts w:ascii="Times New Roman"/>
                <w:sz w:val="18"/>
              </w:rPr>
              <w:t>LLC</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了解公司基本面情况及未来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年发展规划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4" w:right="0"/>
              <w:jc w:val="left"/>
              <w:rPr>
                <w:rFonts w:ascii="Times New Roman" w:hAnsi="Times New Roman" w:cs="Times New Roman" w:eastAsia="Times New Roman" w:hint="default"/>
                <w:sz w:val="18"/>
                <w:szCs w:val="18"/>
              </w:rPr>
            </w:pPr>
            <w:r>
              <w:rPr>
                <w:rFonts w:ascii="Times New Roman"/>
                <w:sz w:val="18"/>
              </w:rPr>
              <w:t>2012.2.16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大成基金</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LAOX</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生活广场、易购未来发展</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2012.2.16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F&amp;C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投资集团</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了解南京地区主要店面销售及当地发展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2012.2.16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Kylin</w:t>
            </w:r>
            <w:r>
              <w:rPr>
                <w:rFonts w:ascii="Times New Roman"/>
                <w:spacing w:val="-4"/>
                <w:sz w:val="18"/>
              </w:rPr>
              <w:t> </w:t>
            </w:r>
            <w:r>
              <w:rPr>
                <w:rFonts w:ascii="Times New Roman"/>
                <w:sz w:val="18"/>
              </w:rPr>
              <w:t>Fund</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了解以旧换新政策取消对公司销售的影</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响及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年利润提升措施</w:t>
            </w:r>
          </w:p>
        </w:tc>
      </w:tr>
      <w:tr>
        <w:trPr>
          <w:trHeight w:val="48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2012.2.21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加拿大鲍尔公司、里昂</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证券、景林资产</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了解公司易购发展现状、未来规划及物流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建设规划</w:t>
            </w:r>
          </w:p>
        </w:tc>
      </w:tr>
      <w:tr>
        <w:trPr>
          <w:trHeight w:val="24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4" w:right="0"/>
              <w:jc w:val="left"/>
              <w:rPr>
                <w:rFonts w:ascii="Times New Roman" w:hAnsi="Times New Roman" w:cs="Times New Roman" w:eastAsia="Times New Roman" w:hint="default"/>
                <w:sz w:val="18"/>
                <w:szCs w:val="18"/>
              </w:rPr>
            </w:pPr>
            <w:r>
              <w:rPr>
                <w:rFonts w:ascii="Times New Roman"/>
                <w:sz w:val="18"/>
              </w:rPr>
              <w:t>2012.2.23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GSI</w:t>
            </w:r>
            <w:r>
              <w:rPr>
                <w:rFonts w:ascii="Times New Roman"/>
                <w:spacing w:val="-2"/>
                <w:sz w:val="18"/>
              </w:rPr>
              <w:t> </w:t>
            </w:r>
            <w:r>
              <w:rPr>
                <w:rFonts w:ascii="Times New Roman"/>
                <w:sz w:val="18"/>
              </w:rPr>
              <w:t>Fund</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了解公司基本面情况及未来开店规划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2012.2.27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JPMorgan</w:t>
            </w:r>
            <w:r>
              <w:rPr>
                <w:rFonts w:ascii="宋体" w:hAnsi="宋体" w:cs="宋体" w:eastAsia="宋体" w:hint="default"/>
                <w:sz w:val="18"/>
                <w:szCs w:val="18"/>
              </w:rPr>
              <w:t>、</w:t>
            </w:r>
            <w:r>
              <w:rPr>
                <w:rFonts w:ascii="Times New Roman" w:hAnsi="Times New Roman" w:cs="Times New Roman" w:eastAsia="Times New Roman" w:hint="default"/>
                <w:sz w:val="18"/>
                <w:szCs w:val="18"/>
              </w:rPr>
              <w:t>RCM</w:t>
            </w:r>
            <w:r>
              <w:rPr>
                <w:rFonts w:ascii="宋体" w:hAnsi="宋体" w:cs="宋体" w:eastAsia="宋体" w:hint="default"/>
                <w:sz w:val="18"/>
                <w:szCs w:val="18"/>
              </w:rPr>
              <w:t>、</w:t>
            </w:r>
          </w:p>
          <w:p>
            <w:pPr>
              <w:pStyle w:val="TableParagraph"/>
              <w:spacing w:line="242"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Cathay</w:t>
            </w:r>
            <w:r>
              <w:rPr>
                <w:rFonts w:ascii="宋体" w:hAnsi="宋体" w:cs="宋体" w:eastAsia="宋体" w:hint="default"/>
                <w:sz w:val="18"/>
                <w:szCs w:val="18"/>
              </w:rPr>
              <w:t>、</w:t>
            </w:r>
            <w:r>
              <w:rPr>
                <w:rFonts w:ascii="Times New Roman" w:hAnsi="Times New Roman" w:cs="Times New Roman" w:eastAsia="Times New Roman" w:hint="default"/>
                <w:sz w:val="18"/>
                <w:szCs w:val="18"/>
              </w:rPr>
              <w:t>UBS</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了解深圳地区主要店面销售及当地发展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48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2012.2.29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6" w:right="-43" w:hanging="56"/>
              <w:jc w:val="left"/>
              <w:rPr>
                <w:rFonts w:ascii="宋体" w:hAnsi="宋体" w:cs="宋体" w:eastAsia="宋体" w:hint="default"/>
                <w:sz w:val="18"/>
                <w:szCs w:val="18"/>
              </w:rPr>
            </w:pPr>
            <w:r>
              <w:rPr>
                <w:rFonts w:ascii="宋体" w:hAnsi="宋体" w:cs="宋体" w:eastAsia="宋体" w:hint="default"/>
                <w:sz w:val="18"/>
                <w:szCs w:val="18"/>
              </w:rPr>
              <w:t>德邦证券、恒泰证券、</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天治基金、璟琦投资</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了解公司易购未来长远发展目标、战略措</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施及二三线城市布局规划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88" w:right="0"/>
              <w:jc w:val="left"/>
              <w:rPr>
                <w:rFonts w:ascii="Times New Roman" w:hAnsi="Times New Roman" w:cs="Times New Roman" w:eastAsia="Times New Roman" w:hint="default"/>
                <w:sz w:val="18"/>
                <w:szCs w:val="18"/>
              </w:rPr>
            </w:pPr>
            <w:r>
              <w:rPr>
                <w:rFonts w:ascii="Times New Roman"/>
                <w:sz w:val="18"/>
              </w:rPr>
              <w:t>2012.3.8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汇添富基金</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了解公司未来发展模式、重要举措及易购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发展具体措施</w:t>
            </w:r>
          </w:p>
        </w:tc>
      </w:tr>
      <w:tr>
        <w:trPr>
          <w:trHeight w:val="684"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2012.3.9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2" w:right="0" w:firstLine="21"/>
              <w:jc w:val="left"/>
              <w:rPr>
                <w:rFonts w:ascii="宋体" w:hAnsi="宋体" w:cs="宋体" w:eastAsia="宋体" w:hint="default"/>
                <w:sz w:val="18"/>
                <w:szCs w:val="18"/>
              </w:rPr>
            </w:pPr>
            <w:r>
              <w:rPr>
                <w:rFonts w:ascii="Times New Roman" w:hAnsi="Times New Roman" w:cs="Times New Roman" w:eastAsia="Times New Roman" w:hint="default"/>
                <w:sz w:val="18"/>
                <w:szCs w:val="18"/>
              </w:rPr>
              <w:t>Manulife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Financial;</w:t>
            </w:r>
            <w:r>
              <w:rPr>
                <w:rFonts w:ascii="宋体" w:hAnsi="宋体" w:cs="宋体" w:eastAsia="宋体" w:hint="default"/>
                <w:sz w:val="18"/>
                <w:szCs w:val="18"/>
              </w:rPr>
              <w:t>研</w:t>
            </w:r>
          </w:p>
          <w:p>
            <w:pPr>
              <w:pStyle w:val="TableParagraph"/>
              <w:spacing w:line="252" w:lineRule="auto"/>
              <w:ind w:left="184" w:right="63" w:hanging="123"/>
              <w:jc w:val="left"/>
              <w:rPr>
                <w:rFonts w:ascii="Times New Roman" w:hAnsi="Times New Roman" w:cs="Times New Roman" w:eastAsia="Times New Roman" w:hint="default"/>
                <w:sz w:val="18"/>
                <w:szCs w:val="18"/>
              </w:rPr>
            </w:pPr>
            <w:r>
              <w:rPr>
                <w:rFonts w:ascii="宋体" w:hAnsi="宋体" w:cs="宋体" w:eastAsia="宋体" w:hint="default"/>
                <w:sz w:val="18"/>
                <w:szCs w:val="18"/>
              </w:rPr>
              <w:t>ＲＣＭ</w:t>
            </w:r>
            <w:r>
              <w:rPr>
                <w:rFonts w:ascii="Times New Roman" w:hAnsi="Times New Roman" w:cs="Times New Roman" w:eastAsia="Times New Roman" w:hint="default"/>
                <w:sz w:val="18"/>
                <w:szCs w:val="18"/>
              </w:rPr>
              <w:t>; Invesco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w:t>
            </w:r>
            <w:r>
              <w:rPr>
                <w:rFonts w:ascii="Times New Roman" w:hAnsi="Times New Roman" w:cs="Times New Roman" w:eastAsia="Times New Roman" w:hint="default"/>
                <w:sz w:val="18"/>
                <w:szCs w:val="18"/>
              </w:rPr>
              <w:t>; Harvest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Investment</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452" w:right="101" w:hanging="1352"/>
              <w:jc w:val="left"/>
              <w:rPr>
                <w:rFonts w:ascii="宋体" w:hAnsi="宋体" w:cs="宋体" w:eastAsia="宋体" w:hint="default"/>
                <w:sz w:val="18"/>
                <w:szCs w:val="18"/>
              </w:rPr>
            </w:pPr>
            <w:r>
              <w:rPr>
                <w:rFonts w:ascii="宋体" w:hAnsi="宋体" w:cs="宋体" w:eastAsia="宋体" w:hint="default"/>
                <w:sz w:val="18"/>
                <w:szCs w:val="18"/>
              </w:rPr>
              <w:t>了解深圳地区主要店面销售及当地发展 情况</w:t>
            </w:r>
          </w:p>
        </w:tc>
      </w:tr>
    </w:tbl>
    <w:p>
      <w:pPr>
        <w:spacing w:after="0" w:line="232" w:lineRule="exact"/>
        <w:jc w:val="left"/>
        <w:rPr>
          <w:rFonts w:ascii="宋体" w:hAnsi="宋体" w:cs="宋体" w:eastAsia="宋体" w:hint="default"/>
          <w:sz w:val="18"/>
          <w:szCs w:val="18"/>
        </w:rPr>
        <w:sectPr>
          <w:pgSz w:w="11910" w:h="16840"/>
          <w:pgMar w:header="748" w:footer="706" w:top="980" w:bottom="900" w:left="1140" w:right="0"/>
        </w:sectPr>
      </w:pPr>
    </w:p>
    <w:p>
      <w:pPr>
        <w:spacing w:line="240" w:lineRule="auto" w:before="0"/>
        <w:rPr>
          <w:rFonts w:ascii="Times New Roman" w:hAnsi="Times New Roman" w:cs="Times New Roman" w:eastAsia="Times New Roman" w:hint="default"/>
          <w:sz w:val="20"/>
          <w:szCs w:val="20"/>
        </w:rPr>
      </w:pPr>
      <w:r>
        <w:rPr/>
        <w:pict>
          <v:shape style="position:absolute;margin-left:494.200012pt;margin-top:783.949768pt;width:101.240002pt;height:57.730225pt;mso-position-horizontal-relative:page;mso-position-vertical-relative:page;z-index:1768" type="#_x0000_t75" stroked="false">
            <v:imagedata r:id="rId21" o:title=""/>
          </v:shape>
        </w:pict>
      </w:r>
    </w:p>
    <w:p>
      <w:pPr>
        <w:spacing w:line="240" w:lineRule="auto" w:before="3"/>
        <w:rPr>
          <w:rFonts w:ascii="Times New Roman" w:hAnsi="Times New Roman" w:cs="Times New Roman" w:eastAsia="Times New Roman"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222"/>
        <w:gridCol w:w="1714"/>
        <w:gridCol w:w="1397"/>
        <w:gridCol w:w="1788"/>
        <w:gridCol w:w="3274"/>
      </w:tblGrid>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2012.3.13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上海新泉投资</w:t>
            </w:r>
            <w:r>
              <w:rPr>
                <w:rFonts w:ascii="Times New Roman" w:hAnsi="Times New Roman" w:cs="Times New Roman" w:eastAsia="Times New Roman" w:hint="default"/>
                <w:sz w:val="18"/>
                <w:szCs w:val="18"/>
              </w:rPr>
              <w:t>;</w:t>
            </w:r>
            <w:r>
              <w:rPr>
                <w:rFonts w:ascii="宋体" w:hAnsi="宋体" w:cs="宋体" w:eastAsia="宋体" w:hint="default"/>
                <w:sz w:val="18"/>
                <w:szCs w:val="18"/>
              </w:rPr>
              <w:t>中信证</w:t>
            </w:r>
          </w:p>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了解公司易购销售现状、物流建设规划及</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费用控制措施</w:t>
            </w:r>
          </w:p>
        </w:tc>
      </w:tr>
      <w:tr>
        <w:trPr>
          <w:trHeight w:val="631"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2012.3.13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103" w:firstLine="3"/>
              <w:jc w:val="center"/>
              <w:rPr>
                <w:rFonts w:ascii="Times New Roman" w:hAnsi="Times New Roman" w:cs="Times New Roman" w:eastAsia="Times New Roman" w:hint="default"/>
                <w:sz w:val="18"/>
                <w:szCs w:val="18"/>
              </w:rPr>
            </w:pPr>
            <w:r>
              <w:rPr>
                <w:rFonts w:ascii="Times New Roman"/>
                <w:sz w:val="18"/>
              </w:rPr>
              <w:t>Government</w:t>
            </w:r>
            <w:r>
              <w:rPr>
                <w:rFonts w:ascii="Times New Roman"/>
                <w:spacing w:val="-1"/>
                <w:sz w:val="18"/>
              </w:rPr>
              <w:t> </w:t>
            </w:r>
            <w:r>
              <w:rPr>
                <w:rFonts w:ascii="Times New Roman"/>
                <w:sz w:val="18"/>
              </w:rPr>
              <w:t>of</w:t>
            </w:r>
            <w:r>
              <w:rPr>
                <w:rFonts w:ascii="Times New Roman"/>
                <w:sz w:val="18"/>
              </w:rPr>
              <w:t> Singapore</w:t>
            </w:r>
            <w:r>
              <w:rPr>
                <w:rFonts w:ascii="Times New Roman"/>
                <w:spacing w:val="-7"/>
                <w:sz w:val="18"/>
              </w:rPr>
              <w:t> </w:t>
            </w:r>
            <w:r>
              <w:rPr>
                <w:rFonts w:ascii="Times New Roman"/>
                <w:sz w:val="18"/>
              </w:rPr>
              <w:t>Investment</w:t>
            </w:r>
            <w:r>
              <w:rPr>
                <w:rFonts w:ascii="Times New Roman"/>
                <w:sz w:val="18"/>
              </w:rPr>
              <w:t> Corporation</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60" w:right="101" w:hanging="360"/>
              <w:jc w:val="left"/>
              <w:rPr>
                <w:rFonts w:ascii="宋体" w:hAnsi="宋体" w:cs="宋体" w:eastAsia="宋体" w:hint="default"/>
                <w:sz w:val="18"/>
                <w:szCs w:val="18"/>
              </w:rPr>
            </w:pPr>
            <w:r>
              <w:rPr>
                <w:rFonts w:ascii="宋体" w:hAnsi="宋体" w:cs="宋体" w:eastAsia="宋体" w:hint="default"/>
                <w:sz w:val="18"/>
                <w:szCs w:val="18"/>
              </w:rPr>
              <w:t>了解国内各级家电市场发展前景及公司 未来应对行业竞争的具体措施</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2012.3.15</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Henderson</w:t>
            </w:r>
            <w:r>
              <w:rPr>
                <w:rFonts w:ascii="Times New Roman"/>
                <w:spacing w:val="-3"/>
                <w:sz w:val="18"/>
              </w:rPr>
              <w:t> </w:t>
            </w:r>
            <w:r>
              <w:rPr>
                <w:rFonts w:ascii="Times New Roman"/>
                <w:sz w:val="18"/>
              </w:rPr>
              <w:t>Global</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了解广州、深圳地区主要店面销售及当地</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发展情况</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2012.3.17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景顺投资公司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了解深圳地区主要店面销售及当地发展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71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2012.3.22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left"/>
              <w:rPr>
                <w:rFonts w:ascii="宋体" w:hAnsi="宋体" w:cs="宋体" w:eastAsia="宋体" w:hint="default"/>
                <w:sz w:val="18"/>
                <w:szCs w:val="18"/>
              </w:rPr>
            </w:pPr>
            <w:r>
              <w:rPr>
                <w:rFonts w:ascii="宋体" w:hAnsi="宋体" w:cs="宋体" w:eastAsia="宋体" w:hint="default"/>
                <w:sz w:val="18"/>
                <w:szCs w:val="18"/>
              </w:rPr>
              <w:t>华夏基金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招商基金</w:t>
            </w:r>
            <w:r>
              <w:rPr>
                <w:rFonts w:ascii="Times New Roman" w:hAnsi="Times New Roman" w:cs="Times New Roman" w:eastAsia="Times New Roman" w:hint="default"/>
                <w:sz w:val="18"/>
                <w:szCs w:val="18"/>
              </w:rPr>
              <w:t>;</w:t>
            </w:r>
            <w:r>
              <w:rPr>
                <w:rFonts w:ascii="宋体" w:hAnsi="宋体" w:cs="宋体" w:eastAsia="宋体" w:hint="default"/>
                <w:sz w:val="18"/>
                <w:szCs w:val="18"/>
              </w:rPr>
              <w:t>国</w:t>
            </w:r>
          </w:p>
          <w:p>
            <w:pPr>
              <w:pStyle w:val="TableParagraph"/>
              <w:spacing w:line="232" w:lineRule="exact" w:before="17"/>
              <w:ind w:left="528" w:right="29" w:hanging="502"/>
              <w:jc w:val="left"/>
              <w:rPr>
                <w:rFonts w:ascii="宋体" w:hAnsi="宋体" w:cs="宋体" w:eastAsia="宋体" w:hint="default"/>
                <w:sz w:val="18"/>
                <w:szCs w:val="18"/>
              </w:rPr>
            </w:pPr>
            <w:r>
              <w:rPr>
                <w:rFonts w:ascii="宋体" w:hAnsi="宋体" w:cs="宋体" w:eastAsia="宋体" w:hint="default"/>
                <w:sz w:val="18"/>
                <w:szCs w:val="18"/>
              </w:rPr>
              <w:t>泰基金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中国平安资产</w:t>
            </w:r>
            <w:r>
              <w:rPr>
                <w:rFonts w:ascii="Times New Roman" w:hAnsi="Times New Roman" w:cs="Times New Roman" w:eastAsia="Times New Roman" w:hint="default"/>
                <w:sz w:val="18"/>
                <w:szCs w:val="18"/>
              </w:rPr>
              <w:t>; </w:t>
            </w:r>
            <w:r>
              <w:rPr>
                <w:rFonts w:ascii="宋体" w:hAnsi="宋体" w:cs="宋体" w:eastAsia="宋体" w:hint="default"/>
                <w:sz w:val="18"/>
                <w:szCs w:val="18"/>
              </w:rPr>
              <w:t>慧恒投资</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2" w:right="22" w:hanging="1249"/>
              <w:jc w:val="left"/>
              <w:rPr>
                <w:rFonts w:ascii="宋体" w:hAnsi="宋体" w:cs="宋体" w:eastAsia="宋体" w:hint="default"/>
                <w:sz w:val="18"/>
                <w:szCs w:val="18"/>
              </w:rPr>
            </w:pPr>
            <w:r>
              <w:rPr>
                <w:rFonts w:ascii="宋体" w:hAnsi="宋体" w:cs="宋体" w:eastAsia="宋体" w:hint="default"/>
                <w:spacing w:val="-2"/>
                <w:sz w:val="18"/>
                <w:szCs w:val="18"/>
              </w:rPr>
              <w:t>了解公司易购发展现状及未来规划、物流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建设规划</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2012.3.24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摩根资产管理公司</w:t>
            </w:r>
            <w:r>
              <w:rPr>
                <w:rFonts w:ascii="Times New Roman" w:hAnsi="Times New Roman" w:cs="Times New Roman" w:eastAsia="Times New Roman" w:hint="default"/>
                <w:sz w:val="18"/>
                <w:szCs w:val="18"/>
              </w:rPr>
              <w:t>;</w:t>
            </w:r>
          </w:p>
          <w:p>
            <w:pPr>
              <w:pStyle w:val="TableParagraph"/>
              <w:spacing w:line="242" w:lineRule="exact"/>
              <w:ind w:right="0"/>
              <w:jc w:val="center"/>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FPPA </w:t>
            </w:r>
            <w:r>
              <w:rPr>
                <w:rFonts w:ascii="宋体" w:hAnsi="宋体" w:cs="宋体" w:eastAsia="宋体" w:hint="default"/>
                <w:sz w:val="18"/>
                <w:szCs w:val="18"/>
              </w:rPr>
              <w:t>公司</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了解青岛地区主要店面销售及当地发展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w:t>
            </w: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2012.3.27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中国平安资产</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了解公司未来实体店布局规划及易购发</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展重点</w:t>
            </w:r>
          </w:p>
        </w:tc>
      </w:tr>
      <w:tr>
        <w:trPr>
          <w:trHeight w:val="48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2012.3.28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分公司门店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1"/>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
              <w:jc w:val="center"/>
              <w:rPr>
                <w:rFonts w:ascii="Times New Roman" w:hAnsi="Times New Roman" w:cs="Times New Roman" w:eastAsia="Times New Roman" w:hint="default"/>
                <w:sz w:val="18"/>
                <w:szCs w:val="18"/>
              </w:rPr>
            </w:pPr>
            <w:r>
              <w:rPr>
                <w:rFonts w:ascii="Times New Roman"/>
                <w:spacing w:val="-4"/>
                <w:sz w:val="18"/>
              </w:rPr>
              <w:t>Walter</w:t>
            </w:r>
            <w:r>
              <w:rPr>
                <w:rFonts w:ascii="Times New Roman"/>
                <w:spacing w:val="5"/>
                <w:sz w:val="18"/>
              </w:rPr>
              <w:t> </w:t>
            </w:r>
            <w:r>
              <w:rPr>
                <w:rFonts w:ascii="Times New Roman"/>
                <w:sz w:val="18"/>
              </w:rPr>
              <w:t>Scott</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了解重庆地区主要店面销售及当地发展</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情况</w:t>
            </w:r>
          </w:p>
        </w:tc>
      </w:tr>
    </w:tbl>
    <w:p>
      <w:pPr>
        <w:spacing w:after="0" w:line="240" w:lineRule="auto"/>
        <w:jc w:val="center"/>
        <w:rPr>
          <w:rFonts w:ascii="宋体" w:hAnsi="宋体" w:cs="宋体" w:eastAsia="宋体" w:hint="default"/>
          <w:sz w:val="18"/>
          <w:szCs w:val="18"/>
        </w:rPr>
        <w:sectPr>
          <w:pgSz w:w="11910" w:h="16840"/>
          <w:pgMar w:header="748" w:footer="706" w:top="980" w:bottom="900" w:left="1140" w:right="0"/>
        </w:sectPr>
      </w:pPr>
    </w:p>
    <w:p>
      <w:pPr>
        <w:spacing w:line="240" w:lineRule="auto" w:before="2"/>
        <w:rPr>
          <w:rFonts w:ascii="Times New Roman" w:hAnsi="Times New Roman" w:cs="Times New Roman" w:eastAsia="Times New Roman" w:hint="default"/>
          <w:sz w:val="3"/>
          <w:szCs w:val="3"/>
        </w:rPr>
      </w:pPr>
    </w:p>
    <w:p>
      <w:pPr>
        <w:spacing w:line="20" w:lineRule="exact"/>
        <w:ind w:left="29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75pt;height:.75pt;mso-position-horizontal-relative:char;mso-position-vertical-relative:line" coordorigin="0,0" coordsize="8815,15">
            <v:group style="position:absolute;left:7;top:7;width:8800;height:2" coordorigin="7,7" coordsize="8800,2">
              <v:shape style="position:absolute;left:7;top:7;width:8800;height:2" coordorigin="7,7" coordsize="8800,0" path="m7,7l88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1279" w:val="left" w:leader="none"/>
        </w:tabs>
        <w:spacing w:line="240" w:lineRule="auto" w:before="176"/>
        <w:ind w:right="467"/>
        <w:jc w:val="center"/>
        <w:rPr>
          <w:b w:val="0"/>
          <w:bCs w:val="0"/>
        </w:rPr>
      </w:pPr>
      <w:bookmarkStart w:name="_TOC_250001" w:id="10"/>
      <w:r>
        <w:rPr>
          <w:w w:val="95"/>
        </w:rPr>
        <w:t>第十节</w:t>
        <w:tab/>
      </w:r>
      <w:r>
        <w:rPr/>
        <w:t>财务报告</w:t>
      </w:r>
      <w:bookmarkEnd w:id="10"/>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26"/>
        <w:ind w:left="328" w:right="0"/>
        <w:jc w:val="left"/>
      </w:pPr>
      <w:r>
        <w:rPr/>
        <w:t>一、审计报告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8735"/>
      </w:tblGrid>
      <w:tr>
        <w:trPr>
          <w:trHeight w:val="548"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center"/>
              <w:rPr>
                <w:rFonts w:ascii="黑体" w:hAnsi="黑体" w:cs="黑体" w:eastAsia="黑体" w:hint="default"/>
                <w:sz w:val="24"/>
                <w:szCs w:val="24"/>
              </w:rPr>
            </w:pPr>
            <w:r>
              <w:rPr>
                <w:rFonts w:ascii="黑体" w:hAnsi="黑体" w:cs="黑体" w:eastAsia="黑体" w:hint="default"/>
                <w:sz w:val="24"/>
                <w:szCs w:val="24"/>
              </w:rPr>
              <w:t>审计报告</w:t>
            </w:r>
          </w:p>
        </w:tc>
      </w:tr>
      <w:tr>
        <w:trPr>
          <w:trHeight w:val="589"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40"/>
              <w:jc w:val="right"/>
              <w:rPr>
                <w:rFonts w:ascii="宋体" w:hAnsi="宋体" w:cs="宋体" w:eastAsia="宋体" w:hint="default"/>
                <w:sz w:val="24"/>
                <w:szCs w:val="24"/>
              </w:rPr>
            </w:pPr>
            <w:r>
              <w:rPr>
                <w:rFonts w:ascii="宋体" w:hAnsi="宋体" w:cs="宋体" w:eastAsia="宋体" w:hint="default"/>
                <w:sz w:val="24"/>
                <w:szCs w:val="24"/>
              </w:rPr>
              <w:t>普华永道中天审字</w:t>
            </w:r>
            <w:r>
              <w:rPr>
                <w:rFonts w:ascii="Georgia" w:hAnsi="Georgia" w:cs="Georgia" w:eastAsia="Georgia" w:hint="default"/>
                <w:sz w:val="24"/>
                <w:szCs w:val="24"/>
              </w:rPr>
              <w:t>(2012)</w:t>
            </w: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Georgia" w:hAnsi="Georgia" w:cs="Georgia" w:eastAsia="Georgia" w:hint="default"/>
                <w:sz w:val="24"/>
                <w:szCs w:val="24"/>
              </w:rPr>
              <w:t>10045 </w:t>
            </w:r>
            <w:r>
              <w:rPr>
                <w:rFonts w:ascii="宋体" w:hAnsi="宋体" w:cs="宋体" w:eastAsia="宋体" w:hint="default"/>
                <w:sz w:val="24"/>
                <w:szCs w:val="24"/>
              </w:rPr>
              <w:t>号</w:t>
            </w:r>
          </w:p>
        </w:tc>
      </w:tr>
      <w:tr>
        <w:trPr>
          <w:trHeight w:val="415"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56" w:lineRule="exact"/>
              <w:ind w:right="335"/>
              <w:jc w:val="right"/>
              <w:rPr>
                <w:rFonts w:ascii="Georgia" w:hAnsi="Georgia" w:cs="Georgia" w:eastAsia="Georgia" w:hint="default"/>
                <w:sz w:val="21"/>
                <w:szCs w:val="21"/>
              </w:rPr>
            </w:pPr>
            <w:r>
              <w:rPr>
                <w:rFonts w:ascii="Georgia" w:hAnsi="Georgia" w:cs="Georgia" w:eastAsia="Georgia" w:hint="default"/>
                <w:spacing w:val="-2"/>
                <w:sz w:val="21"/>
                <w:szCs w:val="21"/>
              </w:rPr>
              <w:t>(</w:t>
            </w:r>
            <w:r>
              <w:rPr>
                <w:rFonts w:ascii="宋体" w:hAnsi="宋体" w:cs="宋体" w:eastAsia="宋体" w:hint="default"/>
                <w:spacing w:val="-2"/>
                <w:sz w:val="21"/>
                <w:szCs w:val="21"/>
              </w:rPr>
              <w:t>第一页，共二页</w:t>
            </w:r>
            <w:r>
              <w:rPr>
                <w:rFonts w:ascii="Georgia" w:hAnsi="Georgia" w:cs="Georgia" w:eastAsia="Georgia" w:hint="default"/>
                <w:spacing w:val="-2"/>
                <w:sz w:val="21"/>
                <w:szCs w:val="21"/>
              </w:rPr>
              <w:t>)</w:t>
            </w:r>
          </w:p>
        </w:tc>
      </w:tr>
      <w:tr>
        <w:trPr>
          <w:trHeight w:val="576"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6" w:right="0"/>
              <w:jc w:val="left"/>
              <w:rPr>
                <w:rFonts w:ascii="宋体" w:hAnsi="宋体" w:cs="宋体" w:eastAsia="宋体" w:hint="default"/>
                <w:sz w:val="24"/>
                <w:szCs w:val="24"/>
              </w:rPr>
            </w:pPr>
            <w:r>
              <w:rPr>
                <w:rFonts w:ascii="宋体" w:hAnsi="宋体" w:cs="宋体" w:eastAsia="宋体" w:hint="default"/>
                <w:sz w:val="24"/>
                <w:szCs w:val="24"/>
              </w:rPr>
              <w:t>苏宁电器股份有限公司全体股东：</w:t>
            </w:r>
          </w:p>
        </w:tc>
      </w:tr>
      <w:tr>
        <w:trPr>
          <w:trHeight w:val="1208"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312" w:lineRule="exact" w:before="128"/>
              <w:ind w:left="216" w:right="198"/>
              <w:jc w:val="both"/>
              <w:rPr>
                <w:rFonts w:ascii="宋体" w:hAnsi="宋体" w:cs="宋体" w:eastAsia="宋体" w:hint="default"/>
                <w:sz w:val="24"/>
                <w:szCs w:val="24"/>
              </w:rPr>
            </w:pPr>
            <w:r>
              <w:rPr>
                <w:rFonts w:ascii="宋体" w:hAnsi="宋体" w:cs="宋体" w:eastAsia="宋体" w:hint="default"/>
                <w:sz w:val="24"/>
                <w:szCs w:val="24"/>
              </w:rPr>
              <w:t>我们审计了后附的苏宁电器股份有限公司 </w:t>
            </w:r>
            <w:r>
              <w:rPr>
                <w:rFonts w:ascii="Georgia" w:hAnsi="Georgia" w:cs="Georgia" w:eastAsia="Georgia" w:hint="default"/>
                <w:sz w:val="24"/>
                <w:szCs w:val="24"/>
              </w:rPr>
              <w:t>(</w:t>
            </w:r>
            <w:r>
              <w:rPr>
                <w:rFonts w:ascii="宋体" w:hAnsi="宋体" w:cs="宋体" w:eastAsia="宋体" w:hint="default"/>
                <w:sz w:val="24"/>
                <w:szCs w:val="24"/>
              </w:rPr>
              <w:t>以下简称“贵公司”</w:t>
            </w:r>
            <w:r>
              <w:rPr>
                <w:rFonts w:ascii="Georgia" w:hAnsi="Georgia" w:cs="Georgia" w:eastAsia="Georgia" w:hint="default"/>
                <w:sz w:val="24"/>
                <w:szCs w:val="24"/>
              </w:rPr>
              <w:t>)</w:t>
            </w:r>
            <w:r>
              <w:rPr>
                <w:rFonts w:ascii="宋体" w:hAnsi="宋体" w:cs="宋体" w:eastAsia="宋体" w:hint="default"/>
                <w:sz w:val="24"/>
                <w:szCs w:val="24"/>
              </w:rPr>
              <w:t>的财务报表， 包括</w:t>
            </w:r>
            <w:r>
              <w:rPr>
                <w:rFonts w:ascii="宋体" w:hAnsi="宋体" w:cs="宋体" w:eastAsia="宋体" w:hint="default"/>
                <w:spacing w:val="-49"/>
                <w:sz w:val="24"/>
                <w:szCs w:val="24"/>
              </w:rPr>
              <w:t> </w:t>
            </w:r>
            <w:r>
              <w:rPr>
                <w:rFonts w:ascii="Georgia" w:hAnsi="Georgia" w:cs="Georgia" w:eastAsia="Georgia" w:hint="default"/>
                <w:sz w:val="24"/>
                <w:szCs w:val="24"/>
              </w:rPr>
              <w:t>2011</w:t>
            </w:r>
            <w:r>
              <w:rPr>
                <w:rFonts w:ascii="Georgia" w:hAnsi="Georgia" w:cs="Georgia" w:eastAsia="Georgia"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Georgia" w:hAnsi="Georgia" w:cs="Georgia" w:eastAsia="Georgia" w:hint="default"/>
                <w:sz w:val="24"/>
                <w:szCs w:val="24"/>
              </w:rPr>
              <w:t>12</w:t>
            </w:r>
            <w:r>
              <w:rPr>
                <w:rFonts w:ascii="Georgia" w:hAnsi="Georgia" w:cs="Georgia" w:eastAsia="Georgia"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Georgia" w:hAnsi="Georgia" w:cs="Georgia" w:eastAsia="Georgia" w:hint="default"/>
                <w:sz w:val="24"/>
                <w:szCs w:val="24"/>
              </w:rPr>
              <w:t>31</w:t>
            </w:r>
            <w:r>
              <w:rPr>
                <w:rFonts w:ascii="Georgia" w:hAnsi="Georgia" w:cs="Georgia" w:eastAsia="Georgia" w:hint="default"/>
                <w:spacing w:val="16"/>
                <w:sz w:val="24"/>
                <w:szCs w:val="24"/>
              </w:rPr>
              <w:t> </w:t>
            </w:r>
            <w:r>
              <w:rPr>
                <w:rFonts w:ascii="宋体" w:hAnsi="宋体" w:cs="宋体" w:eastAsia="宋体" w:hint="default"/>
                <w:sz w:val="24"/>
                <w:szCs w:val="24"/>
              </w:rPr>
              <w:t>日的合并及公司资产负债表，</w:t>
            </w:r>
            <w:r>
              <w:rPr>
                <w:rFonts w:ascii="Georgia" w:hAnsi="Georgia" w:cs="Georgia" w:eastAsia="Georgia" w:hint="default"/>
                <w:sz w:val="24"/>
                <w:szCs w:val="24"/>
              </w:rPr>
              <w:t>2011</w:t>
            </w:r>
            <w:r>
              <w:rPr>
                <w:rFonts w:ascii="Georgia" w:hAnsi="Georgia" w:cs="Georgia" w:eastAsia="Georgia" w:hint="default"/>
                <w:spacing w:val="14"/>
                <w:sz w:val="24"/>
                <w:szCs w:val="24"/>
              </w:rPr>
              <w:t> </w:t>
            </w:r>
            <w:r>
              <w:rPr>
                <w:rFonts w:ascii="宋体" w:hAnsi="宋体" w:cs="宋体" w:eastAsia="宋体" w:hint="default"/>
                <w:sz w:val="24"/>
                <w:szCs w:val="24"/>
              </w:rPr>
              <w:t>年度的合并及公司利 </w:t>
            </w:r>
            <w:r>
              <w:rPr>
                <w:rFonts w:ascii="宋体" w:hAnsi="宋体" w:cs="宋体" w:eastAsia="宋体" w:hint="default"/>
                <w:spacing w:val="-3"/>
                <w:sz w:val="24"/>
                <w:szCs w:val="24"/>
              </w:rPr>
              <w:t>润表、合并及公司股东权益变动表和合并及公司现金流量表以及财务报表附注。</w:t>
            </w:r>
          </w:p>
        </w:tc>
      </w:tr>
      <w:tr>
        <w:trPr>
          <w:trHeight w:val="2105"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6" w:right="0"/>
              <w:jc w:val="left"/>
              <w:rPr>
                <w:rFonts w:ascii="宋体" w:hAnsi="宋体" w:cs="宋体" w:eastAsia="宋体" w:hint="default"/>
                <w:sz w:val="24"/>
                <w:szCs w:val="24"/>
              </w:rPr>
            </w:pPr>
            <w:r>
              <w:rPr>
                <w:rFonts w:ascii="宋体" w:hAnsi="宋体" w:cs="宋体" w:eastAsia="宋体" w:hint="default"/>
                <w:sz w:val="24"/>
                <w:szCs w:val="24"/>
              </w:rPr>
              <w:t>一、管理层对财务报表的责任</w:t>
            </w:r>
          </w:p>
          <w:p>
            <w:pPr>
              <w:pStyle w:val="TableParagraph"/>
              <w:spacing w:line="240" w:lineRule="auto" w:before="7"/>
              <w:ind w:right="0"/>
              <w:jc w:val="left"/>
              <w:rPr>
                <w:rFonts w:ascii="宋体" w:hAnsi="宋体" w:cs="宋体" w:eastAsia="宋体" w:hint="default"/>
                <w:sz w:val="20"/>
                <w:szCs w:val="20"/>
              </w:rPr>
            </w:pPr>
          </w:p>
          <w:p>
            <w:pPr>
              <w:pStyle w:val="TableParagraph"/>
              <w:spacing w:line="313" w:lineRule="exact"/>
              <w:ind w:left="216" w:right="0"/>
              <w:jc w:val="left"/>
              <w:rPr>
                <w:rFonts w:ascii="宋体" w:hAnsi="宋体" w:cs="宋体" w:eastAsia="宋体" w:hint="default"/>
                <w:sz w:val="24"/>
                <w:szCs w:val="24"/>
              </w:rPr>
            </w:pPr>
            <w:r>
              <w:rPr>
                <w:rFonts w:ascii="宋体" w:hAnsi="宋体" w:cs="宋体" w:eastAsia="宋体" w:hint="default"/>
                <w:sz w:val="24"/>
                <w:szCs w:val="24"/>
              </w:rPr>
              <w:t>编制和公允列报财务报表是贵公司管理层的责任。这种责任包括：</w:t>
            </w:r>
          </w:p>
          <w:p>
            <w:pPr>
              <w:pStyle w:val="TableParagraph"/>
              <w:tabs>
                <w:tab w:pos="742" w:val="left" w:leader="none"/>
              </w:tabs>
              <w:spacing w:line="322" w:lineRule="exact"/>
              <w:ind w:left="216" w:right="0"/>
              <w:jc w:val="left"/>
              <w:rPr>
                <w:rFonts w:ascii="宋体" w:hAnsi="宋体" w:cs="宋体" w:eastAsia="宋体" w:hint="default"/>
                <w:sz w:val="24"/>
                <w:szCs w:val="24"/>
              </w:rPr>
            </w:pPr>
            <w:r>
              <w:rPr>
                <w:rFonts w:ascii="Georgia" w:hAnsi="Georgia" w:cs="Georgia" w:eastAsia="Georgia" w:hint="default"/>
                <w:sz w:val="24"/>
                <w:szCs w:val="24"/>
              </w:rPr>
              <w:t>(1)</w:t>
              <w:tab/>
            </w:r>
            <w:r>
              <w:rPr>
                <w:rFonts w:ascii="宋体" w:hAnsi="宋体" w:cs="宋体" w:eastAsia="宋体" w:hint="default"/>
                <w:sz w:val="24"/>
                <w:szCs w:val="24"/>
              </w:rPr>
              <w:t>按照企业会计准则的规定编制财务报表，并使其实现公允反映；</w:t>
            </w:r>
          </w:p>
          <w:p>
            <w:pPr>
              <w:pStyle w:val="TableParagraph"/>
              <w:spacing w:line="312" w:lineRule="exact" w:before="20"/>
              <w:ind w:left="622" w:right="327" w:hanging="423"/>
              <w:jc w:val="left"/>
              <w:rPr>
                <w:rFonts w:ascii="宋体" w:hAnsi="宋体" w:cs="宋体" w:eastAsia="宋体" w:hint="default"/>
                <w:sz w:val="24"/>
                <w:szCs w:val="24"/>
              </w:rPr>
            </w:pPr>
            <w:r>
              <w:rPr>
                <w:rFonts w:ascii="Georgia" w:hAnsi="Georgia" w:cs="Georgia" w:eastAsia="Georgia" w:hint="default"/>
                <w:sz w:val="24"/>
                <w:szCs w:val="24"/>
              </w:rPr>
              <w:t>(2)</w:t>
            </w:r>
            <w:r>
              <w:rPr>
                <w:rFonts w:ascii="Georgia" w:hAnsi="Georgia" w:cs="Georgia" w:eastAsia="Georgia" w:hint="default"/>
                <w:spacing w:val="20"/>
                <w:sz w:val="24"/>
                <w:szCs w:val="24"/>
              </w:rPr>
              <w:t> </w:t>
            </w:r>
            <w:r>
              <w:rPr>
                <w:rFonts w:ascii="宋体" w:hAnsi="宋体" w:cs="宋体" w:eastAsia="宋体" w:hint="default"/>
                <w:spacing w:val="2"/>
                <w:sz w:val="24"/>
                <w:szCs w:val="24"/>
              </w:rPr>
              <w:t>设计、执行和维护必要的内部控制，以使财务报表不存在由于舞弊或错误</w:t>
            </w:r>
            <w:r>
              <w:rPr>
                <w:rFonts w:ascii="宋体" w:hAnsi="宋体" w:cs="宋体" w:eastAsia="宋体" w:hint="default"/>
                <w:sz w:val="24"/>
                <w:szCs w:val="24"/>
              </w:rPr>
              <w:t> 导致的重大错报。</w:t>
            </w:r>
          </w:p>
        </w:tc>
      </w:tr>
      <w:tr>
        <w:trPr>
          <w:trHeight w:val="1934" w:hRule="exact"/>
        </w:trPr>
        <w:tc>
          <w:tcPr>
            <w:tcW w:w="87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6" w:right="0"/>
              <w:jc w:val="both"/>
              <w:rPr>
                <w:rFonts w:ascii="宋体" w:hAnsi="宋体" w:cs="宋体" w:eastAsia="宋体" w:hint="default"/>
                <w:sz w:val="24"/>
                <w:szCs w:val="24"/>
              </w:rPr>
            </w:pPr>
            <w:r>
              <w:rPr>
                <w:rFonts w:ascii="宋体" w:hAnsi="宋体" w:cs="宋体" w:eastAsia="宋体" w:hint="default"/>
                <w:sz w:val="24"/>
                <w:szCs w:val="24"/>
              </w:rPr>
              <w:t>二、注册会计师的责任</w:t>
            </w:r>
          </w:p>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16" w:right="316"/>
              <w:jc w:val="both"/>
              <w:rPr>
                <w:rFonts w:ascii="宋体" w:hAnsi="宋体" w:cs="宋体" w:eastAsia="宋体" w:hint="default"/>
                <w:sz w:val="24"/>
                <w:szCs w:val="24"/>
              </w:rPr>
            </w:pPr>
            <w:r>
              <w:rPr>
                <w:rFonts w:ascii="宋体" w:hAnsi="宋体" w:cs="宋体" w:eastAsia="宋体" w:hint="default"/>
                <w:sz w:val="24"/>
                <w:szCs w:val="24"/>
              </w:rPr>
              <w:t>我们的责任是在执行审计工作的基础上对财务报表发表审计意见。我们按照中</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国注册会计师审计准则的规定执行了审计工作。中国注册会计师审计准则要求</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我们遵守中国注册会计师职业道德守则，计划和执行审计工作以对财务报表是</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否不存在重大错报获取合理保证。</w:t>
            </w:r>
          </w:p>
        </w:tc>
      </w:tr>
    </w:tbl>
    <w:p>
      <w:pPr>
        <w:spacing w:after="0" w:line="312" w:lineRule="exact"/>
        <w:jc w:val="both"/>
        <w:rPr>
          <w:rFonts w:ascii="宋体" w:hAnsi="宋体" w:cs="宋体" w:eastAsia="宋体" w:hint="default"/>
          <w:sz w:val="24"/>
          <w:szCs w:val="24"/>
        </w:rPr>
        <w:sectPr>
          <w:headerReference w:type="default" r:id="rId64"/>
          <w:footerReference w:type="default" r:id="rId65"/>
          <w:pgSz w:w="11910" w:h="16840"/>
          <w:pgMar w:header="738" w:footer="955" w:top="920" w:bottom="1140" w:left="1400" w:right="0"/>
          <w:pgNumType w:start="9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308" w:type="dxa"/>
        <w:tblLayout w:type="fixed"/>
        <w:tblCellMar>
          <w:top w:w="0" w:type="dxa"/>
          <w:left w:w="0" w:type="dxa"/>
          <w:bottom w:w="0" w:type="dxa"/>
          <w:right w:w="0" w:type="dxa"/>
        </w:tblCellMar>
        <w:tblLook w:val="01E0"/>
      </w:tblPr>
      <w:tblGrid>
        <w:gridCol w:w="3233"/>
        <w:gridCol w:w="2166"/>
        <w:gridCol w:w="3379"/>
      </w:tblGrid>
      <w:tr>
        <w:trPr>
          <w:trHeight w:val="280" w:hRule="exact"/>
        </w:trPr>
        <w:tc>
          <w:tcPr>
            <w:tcW w:w="8778" w:type="dxa"/>
            <w:gridSpan w:val="3"/>
            <w:tcBorders>
              <w:top w:val="nil" w:sz="6" w:space="0" w:color="auto"/>
              <w:left w:val="nil" w:sz="6" w:space="0" w:color="auto"/>
              <w:bottom w:val="nil" w:sz="6" w:space="0" w:color="auto"/>
              <w:right w:val="nil" w:sz="6" w:space="0" w:color="auto"/>
            </w:tcBorders>
          </w:tcPr>
          <w:p>
            <w:pPr>
              <w:pStyle w:val="TableParagraph"/>
              <w:spacing w:line="259" w:lineRule="exact"/>
              <w:ind w:left="4528" w:right="0"/>
              <w:jc w:val="left"/>
              <w:rPr>
                <w:rFonts w:ascii="宋体" w:hAnsi="宋体" w:cs="宋体" w:eastAsia="宋体" w:hint="default"/>
                <w:sz w:val="24"/>
                <w:szCs w:val="24"/>
              </w:rPr>
            </w:pPr>
            <w:r>
              <w:rPr>
                <w:rFonts w:ascii="宋体" w:hAnsi="宋体" w:cs="宋体" w:eastAsia="宋体" w:hint="default"/>
                <w:sz w:val="24"/>
                <w:szCs w:val="24"/>
              </w:rPr>
              <w:t>普华永道中天审字</w:t>
            </w:r>
            <w:r>
              <w:rPr>
                <w:rFonts w:ascii="Georgia" w:hAnsi="Georgia" w:cs="Georgia" w:eastAsia="Georgia" w:hint="default"/>
                <w:sz w:val="24"/>
                <w:szCs w:val="24"/>
              </w:rPr>
              <w:t>(2012)</w:t>
            </w: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Georgia" w:hAnsi="Georgia" w:cs="Georgia" w:eastAsia="Georgia" w:hint="default"/>
                <w:sz w:val="24"/>
                <w:szCs w:val="24"/>
              </w:rPr>
              <w:t>10045 </w:t>
            </w:r>
            <w:r>
              <w:rPr>
                <w:rFonts w:ascii="宋体" w:hAnsi="宋体" w:cs="宋体" w:eastAsia="宋体" w:hint="default"/>
                <w:sz w:val="24"/>
                <w:szCs w:val="24"/>
              </w:rPr>
              <w:t>号</w:t>
            </w:r>
          </w:p>
        </w:tc>
      </w:tr>
      <w:tr>
        <w:trPr>
          <w:trHeight w:val="413" w:hRule="exact"/>
        </w:trPr>
        <w:tc>
          <w:tcPr>
            <w:tcW w:w="3233"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nil" w:sz="6" w:space="0" w:color="auto"/>
            </w:tcBorders>
          </w:tcPr>
          <w:p>
            <w:pPr/>
          </w:p>
        </w:tc>
        <w:tc>
          <w:tcPr>
            <w:tcW w:w="3379" w:type="dxa"/>
            <w:tcBorders>
              <w:top w:val="nil" w:sz="6" w:space="0" w:color="auto"/>
              <w:left w:val="nil" w:sz="6" w:space="0" w:color="auto"/>
              <w:bottom w:val="nil" w:sz="6" w:space="0" w:color="auto"/>
              <w:right w:val="nil" w:sz="6" w:space="0" w:color="auto"/>
            </w:tcBorders>
          </w:tcPr>
          <w:p>
            <w:pPr>
              <w:pStyle w:val="TableParagraph"/>
              <w:spacing w:line="255" w:lineRule="exact"/>
              <w:ind w:left="1383" w:right="0"/>
              <w:jc w:val="left"/>
              <w:rPr>
                <w:rFonts w:ascii="Georgia" w:hAnsi="Georgia" w:cs="Georgia" w:eastAsia="Georgia" w:hint="default"/>
                <w:sz w:val="21"/>
                <w:szCs w:val="21"/>
              </w:rPr>
            </w:pPr>
            <w:r>
              <w:rPr>
                <w:rFonts w:ascii="Georgia" w:hAnsi="Georgia" w:cs="Georgia" w:eastAsia="Georgia" w:hint="default"/>
                <w:sz w:val="21"/>
                <w:szCs w:val="21"/>
              </w:rPr>
              <w:t>(</w:t>
            </w:r>
            <w:r>
              <w:rPr>
                <w:rFonts w:ascii="宋体" w:hAnsi="宋体" w:cs="宋体" w:eastAsia="宋体" w:hint="default"/>
                <w:sz w:val="21"/>
                <w:szCs w:val="21"/>
              </w:rPr>
              <w:t>第二页，共二页</w:t>
            </w:r>
            <w:r>
              <w:rPr>
                <w:rFonts w:ascii="Georgia" w:hAnsi="Georgia" w:cs="Georgia" w:eastAsia="Georgia" w:hint="default"/>
                <w:sz w:val="21"/>
                <w:szCs w:val="21"/>
              </w:rPr>
              <w:t>)</w:t>
            </w:r>
          </w:p>
        </w:tc>
      </w:tr>
      <w:tr>
        <w:trPr>
          <w:trHeight w:val="2135" w:hRule="exact"/>
        </w:trPr>
        <w:tc>
          <w:tcPr>
            <w:tcW w:w="8778"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92"/>
              <w:ind w:left="200" w:right="324"/>
              <w:jc w:val="both"/>
              <w:rPr>
                <w:rFonts w:ascii="宋体" w:hAnsi="宋体" w:cs="宋体" w:eastAsia="宋体" w:hint="default"/>
                <w:sz w:val="24"/>
                <w:szCs w:val="24"/>
              </w:rPr>
            </w:pPr>
            <w:r>
              <w:rPr>
                <w:rFonts w:ascii="宋体" w:hAnsi="宋体" w:cs="宋体" w:eastAsia="宋体" w:hint="default"/>
                <w:spacing w:val="2"/>
                <w:sz w:val="24"/>
                <w:szCs w:val="24"/>
              </w:rPr>
              <w:t>审计工作涉及实施审计程序，以获取有关财务报表金额和披露的审计证据。选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2"/>
                <w:sz w:val="24"/>
                <w:szCs w:val="24"/>
              </w:rPr>
              <w:t>择的审计程序取决于注册会计师的判断，包括对由于舞弊或错误导致的财务报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表重大错报风险的评估。在进行风险评估时，注册会计师考虑与财务报表编制</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和公允列报相关的内部控制，以设计恰当的审计程序。审计工作还包括评价管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理层选用会计政策的恰当性和作出会计估计的合理性，以及评价财务报表的总</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体列报。</w:t>
            </w:r>
          </w:p>
        </w:tc>
      </w:tr>
      <w:tr>
        <w:trPr>
          <w:trHeight w:val="584" w:hRule="exact"/>
        </w:trPr>
        <w:tc>
          <w:tcPr>
            <w:tcW w:w="87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tc>
      </w:tr>
      <w:tr>
        <w:trPr>
          <w:trHeight w:val="2203" w:hRule="exact"/>
        </w:trPr>
        <w:tc>
          <w:tcPr>
            <w:tcW w:w="87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both"/>
              <w:rPr>
                <w:rFonts w:ascii="宋体" w:hAnsi="宋体" w:cs="宋体" w:eastAsia="宋体" w:hint="default"/>
                <w:sz w:val="24"/>
                <w:szCs w:val="24"/>
              </w:rPr>
            </w:pPr>
            <w:r>
              <w:rPr>
                <w:rFonts w:ascii="宋体" w:hAnsi="宋体" w:cs="宋体" w:eastAsia="宋体" w:hint="default"/>
                <w:sz w:val="24"/>
                <w:szCs w:val="24"/>
              </w:rPr>
              <w:t>三、审计意见</w:t>
            </w: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200" w:right="316"/>
              <w:jc w:val="both"/>
              <w:rPr>
                <w:rFonts w:ascii="宋体" w:hAnsi="宋体" w:cs="宋体" w:eastAsia="宋体" w:hint="default"/>
                <w:sz w:val="24"/>
                <w:szCs w:val="24"/>
              </w:rPr>
            </w:pPr>
            <w:r>
              <w:rPr>
                <w:rFonts w:ascii="宋体" w:hAnsi="宋体" w:cs="宋体" w:eastAsia="宋体" w:hint="default"/>
                <w:spacing w:val="2"/>
                <w:sz w:val="24"/>
                <w:szCs w:val="24"/>
              </w:rPr>
              <w:t>我们认为，上述贵公司的财务报表在所有重大方面按照企业会计准则的规定编</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制，公允反映了贵公司</w:t>
            </w:r>
            <w:r>
              <w:rPr>
                <w:rFonts w:ascii="Georgia" w:hAnsi="Georgia" w:cs="Georgia" w:eastAsia="Georgia" w:hint="default"/>
                <w:sz w:val="24"/>
                <w:szCs w:val="24"/>
              </w:rPr>
              <w:t>2011</w:t>
            </w:r>
            <w:r>
              <w:rPr>
                <w:rFonts w:ascii="宋体" w:hAnsi="宋体" w:cs="宋体" w:eastAsia="宋体" w:hint="default"/>
                <w:sz w:val="24"/>
                <w:szCs w:val="24"/>
              </w:rPr>
              <w:t>年</w:t>
            </w:r>
            <w:r>
              <w:rPr>
                <w:rFonts w:ascii="Georgia" w:hAnsi="Georgia" w:cs="Georgia" w:eastAsia="Georgia" w:hint="default"/>
                <w:sz w:val="24"/>
                <w:szCs w:val="24"/>
              </w:rPr>
              <w:t>12</w:t>
            </w:r>
            <w:r>
              <w:rPr>
                <w:rFonts w:ascii="宋体" w:hAnsi="宋体" w:cs="宋体" w:eastAsia="宋体" w:hint="default"/>
                <w:sz w:val="24"/>
                <w:szCs w:val="24"/>
              </w:rPr>
              <w:t>月</w:t>
            </w:r>
            <w:r>
              <w:rPr>
                <w:rFonts w:ascii="Georgia" w:hAnsi="Georgia" w:cs="Georgia" w:eastAsia="Georgia" w:hint="default"/>
                <w:sz w:val="24"/>
                <w:szCs w:val="24"/>
              </w:rPr>
              <w:t>31</w:t>
            </w:r>
            <w:r>
              <w:rPr>
                <w:rFonts w:ascii="宋体" w:hAnsi="宋体" w:cs="宋体" w:eastAsia="宋体" w:hint="default"/>
                <w:sz w:val="24"/>
                <w:szCs w:val="24"/>
              </w:rPr>
              <w:t>日的合并及公司财务状况以及</w:t>
            </w:r>
            <w:r>
              <w:rPr>
                <w:rFonts w:ascii="Georgia" w:hAnsi="Georgia" w:cs="Georgia" w:eastAsia="Georgia" w:hint="default"/>
                <w:sz w:val="24"/>
                <w:szCs w:val="24"/>
              </w:rPr>
              <w:t>2011</w:t>
            </w:r>
            <w:r>
              <w:rPr>
                <w:rFonts w:ascii="宋体" w:hAnsi="宋体" w:cs="宋体" w:eastAsia="宋体" w:hint="default"/>
                <w:sz w:val="24"/>
                <w:szCs w:val="24"/>
              </w:rPr>
              <w:t>年度的</w:t>
            </w:r>
            <w:r>
              <w:rPr>
                <w:rFonts w:ascii="宋体" w:hAnsi="宋体" w:cs="宋体" w:eastAsia="宋体" w:hint="default"/>
                <w:spacing w:val="-44"/>
                <w:sz w:val="24"/>
                <w:szCs w:val="24"/>
              </w:rPr>
              <w:t> </w:t>
            </w:r>
            <w:r>
              <w:rPr>
                <w:rFonts w:ascii="宋体" w:hAnsi="宋体" w:cs="宋体" w:eastAsia="宋体" w:hint="default"/>
                <w:sz w:val="24"/>
                <w:szCs w:val="24"/>
              </w:rPr>
              <w:t>合并及公司经营成果和现金流量。</w:t>
            </w:r>
          </w:p>
        </w:tc>
      </w:tr>
      <w:tr>
        <w:trPr>
          <w:trHeight w:val="2588"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exact"/>
              <w:ind w:left="200" w:right="630"/>
              <w:jc w:val="left"/>
              <w:rPr>
                <w:rFonts w:ascii="宋体" w:hAnsi="宋体" w:cs="宋体" w:eastAsia="宋体" w:hint="default"/>
                <w:sz w:val="24"/>
                <w:szCs w:val="24"/>
              </w:rPr>
            </w:pPr>
            <w:r>
              <w:rPr>
                <w:rFonts w:ascii="宋体" w:hAnsi="宋体" w:cs="宋体" w:eastAsia="宋体" w:hint="default"/>
                <w:sz w:val="24"/>
                <w:szCs w:val="24"/>
              </w:rPr>
              <w:t>普华永道中天 会计师事务所有限公司</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2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Georgia" w:hAnsi="Georgia" w:cs="Georgia" w:eastAsia="Georgia" w:hint="default"/>
                <w:sz w:val="24"/>
                <w:szCs w:val="24"/>
              </w:rPr>
              <w:t>•</w:t>
            </w:r>
            <w:r>
              <w:rPr>
                <w:rFonts w:ascii="宋体" w:hAnsi="宋体" w:cs="宋体" w:eastAsia="宋体" w:hint="default"/>
                <w:sz w:val="24"/>
                <w:szCs w:val="24"/>
              </w:rPr>
              <w:t>上海市</w:t>
            </w:r>
          </w:p>
          <w:p>
            <w:pPr>
              <w:pStyle w:val="TableParagraph"/>
              <w:spacing w:line="322" w:lineRule="exact"/>
              <w:ind w:left="200" w:right="0"/>
              <w:jc w:val="left"/>
              <w:rPr>
                <w:rFonts w:ascii="宋体" w:hAnsi="宋体" w:cs="宋体" w:eastAsia="宋体" w:hint="default"/>
                <w:sz w:val="24"/>
                <w:szCs w:val="24"/>
              </w:rPr>
            </w:pPr>
            <w:r>
              <w:rPr>
                <w:rFonts w:ascii="Georgia" w:hAnsi="Georgia" w:cs="Georgia" w:eastAsia="Georgia" w:hint="default"/>
                <w:sz w:val="24"/>
                <w:szCs w:val="24"/>
              </w:rPr>
              <w:t>2012</w:t>
            </w:r>
            <w:r>
              <w:rPr>
                <w:rFonts w:ascii="Georgia" w:hAnsi="Georgia" w:cs="Georgia" w:eastAsia="Georgia"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Georgia" w:hAnsi="Georgia" w:cs="Georgia" w:eastAsia="Georgia" w:hint="default"/>
                <w:sz w:val="24"/>
                <w:szCs w:val="24"/>
              </w:rPr>
              <w:t>3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Georgia" w:hAnsi="Georgia" w:cs="Georgia" w:eastAsia="Georgia" w:hint="default"/>
                <w:sz w:val="24"/>
                <w:szCs w:val="24"/>
              </w:rPr>
              <w:t>29</w:t>
            </w:r>
            <w:r>
              <w:rPr>
                <w:rFonts w:ascii="Georgia" w:hAnsi="Georgia" w:cs="Georgia" w:eastAsia="Georgia" w:hint="default"/>
                <w:spacing w:val="2"/>
                <w:sz w:val="24"/>
                <w:szCs w:val="24"/>
              </w:rPr>
              <w:t> </w:t>
            </w:r>
            <w:r>
              <w:rPr>
                <w:rFonts w:ascii="宋体" w:hAnsi="宋体" w:cs="宋体" w:eastAsia="宋体" w:hint="default"/>
                <w:sz w:val="24"/>
                <w:szCs w:val="24"/>
              </w:rPr>
              <w:t>日</w:t>
            </w:r>
          </w:p>
        </w:tc>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32" w:right="0"/>
              <w:jc w:val="left"/>
              <w:rPr>
                <w:rFonts w:ascii="宋体" w:hAnsi="宋体" w:cs="宋体" w:eastAsia="宋体" w:hint="default"/>
                <w:sz w:val="24"/>
                <w:szCs w:val="24"/>
              </w:rPr>
            </w:pPr>
            <w:r>
              <w:rPr>
                <w:rFonts w:ascii="宋体" w:hAnsi="宋体" w:cs="宋体" w:eastAsia="宋体" w:hint="default"/>
                <w:sz w:val="24"/>
                <w:szCs w:val="24"/>
              </w:rPr>
              <w:t>注册会计师</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632" w:right="0"/>
              <w:jc w:val="left"/>
              <w:rPr>
                <w:rFonts w:ascii="宋体" w:hAnsi="宋体" w:cs="宋体" w:eastAsia="宋体" w:hint="default"/>
                <w:sz w:val="24"/>
                <w:szCs w:val="24"/>
              </w:rPr>
            </w:pPr>
            <w:r>
              <w:rPr>
                <w:rFonts w:ascii="宋体" w:hAnsi="宋体" w:cs="宋体" w:eastAsia="宋体" w:hint="default"/>
                <w:sz w:val="24"/>
                <w:szCs w:val="24"/>
              </w:rPr>
              <w:t>注册会计师</w:t>
            </w:r>
          </w:p>
        </w:tc>
        <w:tc>
          <w:tcPr>
            <w:tcW w:w="33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tabs>
                <w:tab w:pos="813" w:val="left" w:leader="none"/>
                <w:tab w:pos="1294" w:val="left" w:leader="none"/>
              </w:tabs>
              <w:spacing w:line="240" w:lineRule="auto"/>
              <w:ind w:left="333" w:right="0"/>
              <w:jc w:val="left"/>
              <w:rPr>
                <w:rFonts w:ascii="宋体" w:hAnsi="宋体" w:cs="宋体" w:eastAsia="宋体" w:hint="default"/>
                <w:sz w:val="24"/>
                <w:szCs w:val="24"/>
              </w:rPr>
            </w:pPr>
            <w:r>
              <w:rPr>
                <w:rFonts w:ascii="宋体" w:hAnsi="宋体" w:cs="宋体" w:eastAsia="宋体" w:hint="default"/>
                <w:sz w:val="24"/>
                <w:szCs w:val="24"/>
              </w:rPr>
              <w:t>柯</w:t>
              <w:tab/>
              <w:t>镇</w:t>
              <w:tab/>
              <w:t>洪</w:t>
            </w:r>
          </w:p>
          <w:p>
            <w:pPr>
              <w:pStyle w:val="TableParagraph"/>
              <w:spacing w:line="240" w:lineRule="auto" w:before="36"/>
              <w:ind w:left="333" w:right="0"/>
              <w:jc w:val="left"/>
              <w:rPr>
                <w:rFonts w:ascii="Georgia" w:hAnsi="Georgia" w:cs="Georgia" w:eastAsia="Georgia" w:hint="default"/>
                <w:sz w:val="24"/>
                <w:szCs w:val="24"/>
              </w:rPr>
            </w:pPr>
            <w:r>
              <w:rPr>
                <w:rFonts w:ascii="Georgia" w:hAnsi="Georgia" w:cs="Georgia" w:eastAsia="Georgia" w:hint="default"/>
                <w:sz w:val="24"/>
                <w:szCs w:val="24"/>
              </w:rPr>
              <w:t>————————</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tabs>
                <w:tab w:pos="1054" w:val="left" w:leader="none"/>
              </w:tabs>
              <w:spacing w:line="240" w:lineRule="auto"/>
              <w:ind w:left="333" w:right="0"/>
              <w:jc w:val="left"/>
              <w:rPr>
                <w:rFonts w:ascii="宋体" w:hAnsi="宋体" w:cs="宋体" w:eastAsia="宋体" w:hint="default"/>
                <w:sz w:val="24"/>
                <w:szCs w:val="24"/>
              </w:rPr>
            </w:pPr>
            <w:r>
              <w:rPr>
                <w:rFonts w:ascii="宋体" w:hAnsi="宋体" w:cs="宋体" w:eastAsia="宋体" w:hint="default"/>
                <w:sz w:val="24"/>
                <w:szCs w:val="24"/>
              </w:rPr>
              <w:t>曹</w:t>
              <w:tab/>
              <w:t>婕</w:t>
            </w:r>
          </w:p>
          <w:p>
            <w:pPr>
              <w:pStyle w:val="TableParagraph"/>
              <w:spacing w:line="240" w:lineRule="auto" w:before="36"/>
              <w:ind w:left="333" w:right="0"/>
              <w:jc w:val="left"/>
              <w:rPr>
                <w:rFonts w:ascii="Georgia" w:hAnsi="Georgia" w:cs="Georgia" w:eastAsia="Georgia" w:hint="default"/>
                <w:sz w:val="24"/>
                <w:szCs w:val="24"/>
              </w:rPr>
            </w:pPr>
            <w:r>
              <w:rPr>
                <w:rFonts w:ascii="Georgia" w:hAnsi="Georgia" w:cs="Georgia" w:eastAsia="Georgia" w:hint="default"/>
                <w:sz w:val="24"/>
                <w:szCs w:val="24"/>
              </w:rPr>
              <w:t>————————</w:t>
            </w:r>
          </w:p>
        </w:tc>
      </w:tr>
    </w:tbl>
    <w:p>
      <w:pPr>
        <w:spacing w:after="0" w:line="240" w:lineRule="auto"/>
        <w:jc w:val="left"/>
        <w:rPr>
          <w:rFonts w:ascii="Georgia" w:hAnsi="Georgia" w:cs="Georgia" w:eastAsia="Georgia" w:hint="default"/>
          <w:sz w:val="24"/>
          <w:szCs w:val="24"/>
        </w:rPr>
        <w:sectPr>
          <w:headerReference w:type="default" r:id="rId66"/>
          <w:pgSz w:w="11910" w:h="16840"/>
          <w:pgMar w:header="748" w:footer="955" w:top="980" w:bottom="1140" w:left="1580" w:right="0"/>
        </w:sectPr>
      </w:pPr>
    </w:p>
    <w:p>
      <w:pPr>
        <w:spacing w:line="240" w:lineRule="auto" w:before="8"/>
        <w:rPr>
          <w:rFonts w:ascii="Times New Roman" w:hAnsi="Times New Roman" w:cs="Times New Roman" w:eastAsia="Times New Roman" w:hint="default"/>
          <w:sz w:val="24"/>
          <w:szCs w:val="24"/>
        </w:rPr>
      </w:pPr>
    </w:p>
    <w:p>
      <w:pPr>
        <w:pStyle w:val="Heading2"/>
        <w:spacing w:line="323" w:lineRule="exact"/>
        <w:ind w:left="648" w:right="0"/>
        <w:jc w:val="left"/>
        <w:rPr>
          <w:b w:val="0"/>
          <w:bCs w:val="0"/>
        </w:rPr>
      </w:pPr>
      <w:r>
        <w:rPr>
          <w:rFonts w:ascii="Arial" w:hAnsi="Arial" w:cs="Arial" w:eastAsia="Arial" w:hint="default"/>
          <w:spacing w:val="-4"/>
        </w:rPr>
        <w:t>2011</w:t>
      </w:r>
      <w:r>
        <w:rPr>
          <w:rFonts w:ascii="Arial" w:hAnsi="Arial" w:cs="Arial" w:eastAsia="Arial" w:hint="default"/>
          <w:spacing w:val="-12"/>
        </w:rPr>
        <w:t> </w:t>
      </w:r>
      <w:r>
        <w:rPr/>
        <w:t>年</w:t>
      </w:r>
      <w:r>
        <w:rPr>
          <w:spacing w:val="-62"/>
        </w:rPr>
        <w:t> </w:t>
      </w:r>
      <w:r>
        <w:rPr>
          <w:rFonts w:ascii="Arial" w:hAnsi="Arial" w:cs="Arial" w:eastAsia="Arial" w:hint="default"/>
        </w:rPr>
        <w:t>12</w:t>
      </w:r>
      <w:r>
        <w:rPr>
          <w:rFonts w:ascii="Arial" w:hAnsi="Arial" w:cs="Arial" w:eastAsia="Arial" w:hint="default"/>
          <w:spacing w:val="-12"/>
        </w:rPr>
        <w:t> </w:t>
      </w:r>
      <w:r>
        <w:rPr/>
        <w:t>月</w:t>
      </w:r>
      <w:r>
        <w:rPr>
          <w:spacing w:val="-62"/>
        </w:rPr>
        <w:t> </w:t>
      </w:r>
      <w:r>
        <w:rPr>
          <w:rFonts w:ascii="Arial" w:hAnsi="Arial" w:cs="Arial" w:eastAsia="Arial" w:hint="default"/>
        </w:rPr>
        <w:t>31</w:t>
      </w:r>
      <w:r>
        <w:rPr>
          <w:rFonts w:ascii="Arial" w:hAnsi="Arial" w:cs="Arial" w:eastAsia="Arial" w:hint="default"/>
          <w:spacing w:val="-12"/>
        </w:rPr>
        <w:t> </w:t>
      </w:r>
      <w:r>
        <w:rPr/>
        <w:t>日合并及公司资产负债表</w:t>
      </w:r>
      <w:r>
        <w:rPr>
          <w:b w:val="0"/>
          <w:bCs w:val="0"/>
        </w:rPr>
      </w:r>
    </w:p>
    <w:p>
      <w:pPr>
        <w:pStyle w:val="BodyText"/>
        <w:spacing w:line="323" w:lineRule="exact" w:before="0"/>
        <w:ind w:left="648"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6"/>
        <w:rPr>
          <w:rFonts w:ascii="Arial" w:hAnsi="Arial" w:cs="Arial" w:eastAsia="Arial" w:hint="default"/>
          <w:sz w:val="3"/>
          <w:szCs w:val="3"/>
        </w:rPr>
      </w:pPr>
    </w:p>
    <w:p>
      <w:pPr>
        <w:spacing w:line="20" w:lineRule="exact"/>
        <w:ind w:left="612" w:right="0" w:firstLine="0"/>
        <w:rPr>
          <w:rFonts w:ascii="Arial" w:hAnsi="Arial" w:cs="Arial" w:eastAsia="Arial" w:hint="default"/>
          <w:sz w:val="2"/>
          <w:szCs w:val="2"/>
        </w:rPr>
      </w:pPr>
      <w:r>
        <w:rPr>
          <w:rFonts w:ascii="Arial" w:hAnsi="Arial" w:cs="Arial" w:eastAsia="Arial" w:hint="default"/>
          <w:sz w:val="2"/>
          <w:szCs w:val="2"/>
        </w:rPr>
        <w:pict>
          <v:group style="width:440.75pt;height:.75pt;mso-position-horizontal-relative:char;mso-position-vertical-relative:line" coordorigin="0,0" coordsize="8815,15">
            <v:group style="position:absolute;left:7;top:7;width:8800;height:2" coordorigin="7,7" coordsize="8800,2">
              <v:shape style="position:absolute;left:7;top:7;width:8800;height:2" coordorigin="7,7" coordsize="8800,0" path="m7,7l8807,7e" filled="false" stroked="true" strokeweight=".72pt" strokecolor="#000000">
                <v:path arrowok="t"/>
              </v:shape>
            </v:group>
          </v:group>
        </w:pict>
      </w:r>
      <w:r>
        <w:rPr>
          <w:rFonts w:ascii="Arial" w:hAnsi="Arial" w:cs="Arial" w:eastAsia="Arial" w:hint="default"/>
          <w:sz w:val="2"/>
          <w:szCs w:val="2"/>
        </w:rPr>
      </w:r>
    </w:p>
    <w:p>
      <w:pPr>
        <w:spacing w:line="240" w:lineRule="auto" w:before="4"/>
        <w:rPr>
          <w:rFonts w:ascii="Arial" w:hAnsi="Arial" w:cs="Arial" w:eastAsia="Arial"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1858"/>
        <w:gridCol w:w="1402"/>
        <w:gridCol w:w="1666"/>
        <w:gridCol w:w="1646"/>
        <w:gridCol w:w="1645"/>
        <w:gridCol w:w="1580"/>
      </w:tblGrid>
      <w:tr>
        <w:trPr>
          <w:trHeight w:val="478"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tabs>
                <w:tab w:pos="1286" w:val="left" w:leader="none"/>
              </w:tabs>
              <w:spacing w:line="240" w:lineRule="auto" w:before="87"/>
              <w:ind w:left="384" w:right="0"/>
              <w:jc w:val="left"/>
              <w:rPr>
                <w:rFonts w:ascii="黑体" w:hAnsi="黑体" w:cs="黑体" w:eastAsia="黑体" w:hint="default"/>
                <w:sz w:val="18"/>
                <w:szCs w:val="18"/>
              </w:rPr>
            </w:pPr>
            <w:r>
              <w:rPr>
                <w:rFonts w:ascii="黑体" w:hAnsi="黑体" w:cs="黑体" w:eastAsia="黑体" w:hint="default"/>
                <w:sz w:val="18"/>
                <w:szCs w:val="18"/>
              </w:rPr>
              <w:t>资</w:t>
              <w:tab/>
              <w:t>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8"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5"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6"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10"/>
                <w:sz w:val="18"/>
                <w:szCs w:val="18"/>
              </w:rPr>
              <w:t> </w:t>
            </w:r>
            <w:r>
              <w:rPr>
                <w:rFonts w:ascii="宋体" w:hAnsi="宋体" w:cs="宋体" w:eastAsia="宋体" w:hint="default"/>
                <w:sz w:val="18"/>
                <w:szCs w:val="18"/>
              </w:rPr>
              <w:t>日</w:t>
            </w:r>
          </w:p>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1"/>
                <w:sz w:val="18"/>
              </w:rPr>
              <w:t>22,740,084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19,351,838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15,885,801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13,156,780</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w w:val="95"/>
                <w:sz w:val="18"/>
              </w:rPr>
              <w:t>7,265</w:t>
            </w:r>
            <w:r>
              <w:rPr>
                <w:rFonts w:ascii="Arial"/>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w w:val="95"/>
                <w:sz w:val="18"/>
              </w:rPr>
              <w:t>2,505</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w w:val="95"/>
                <w:sz w:val="18"/>
              </w:rPr>
              <w:t>7,265</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w:t>
            </w:r>
            <w:r>
              <w:rPr>
                <w:rFonts w:ascii="宋体" w:hAnsi="宋体" w:cs="宋体" w:eastAsia="宋体" w:hint="default"/>
                <w:sz w:val="18"/>
                <w:szCs w:val="18"/>
              </w:rPr>
              <w:t>、十三</w:t>
            </w:r>
            <w:r>
              <w:rPr>
                <w:rFonts w:ascii="Arial" w:hAnsi="Arial" w:cs="Arial" w:eastAsia="Arial" w:hint="default"/>
                <w:sz w:val="18"/>
                <w:szCs w:val="18"/>
              </w:rPr>
              <w:t>.1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1,841,778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2"/>
                <w:sz w:val="18"/>
              </w:rPr>
              <w:t>1,104,611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10,767,455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2,578,887</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3,643,209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2,741,405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1,557,972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1,439,210</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74,821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sz w:val="18"/>
              </w:rPr>
              <w:t>31,385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59,271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18,793</w:t>
            </w:r>
          </w:p>
        </w:tc>
      </w:tr>
      <w:tr>
        <w:trPr>
          <w:trHeight w:val="29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w:hAnsi="Arial" w:cs="Arial" w:eastAsia="Arial" w:hint="default"/>
                <w:sz w:val="18"/>
                <w:szCs w:val="18"/>
              </w:rPr>
            </w:pPr>
            <w:r>
              <w:rPr>
                <w:rFonts w:ascii="Arial"/>
                <w:w w:val="99"/>
                <w:sz w:val="18"/>
              </w:rPr>
              <w:t>-</w:t>
            </w:r>
            <w:r>
              <w:rPr>
                <w:rFonts w:ascii="Arial"/>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9"/>
              <w:jc w:val="right"/>
              <w:rPr>
                <w:rFonts w:ascii="Arial" w:hAnsi="Arial" w:cs="Arial" w:eastAsia="Arial" w:hint="default"/>
                <w:sz w:val="18"/>
                <w:szCs w:val="18"/>
              </w:rPr>
            </w:pPr>
            <w:r>
              <w:rPr>
                <w:rFonts w:ascii="Arial"/>
                <w:spacing w:val="-1"/>
                <w:sz w:val="18"/>
              </w:rPr>
              <w:t>17,089</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w:t>
            </w:r>
            <w:r>
              <w:rPr>
                <w:rFonts w:ascii="宋体" w:hAnsi="宋体" w:cs="宋体" w:eastAsia="宋体" w:hint="default"/>
                <w:sz w:val="18"/>
                <w:szCs w:val="18"/>
              </w:rPr>
              <w:t>、十三</w:t>
            </w:r>
            <w:r>
              <w:rPr>
                <w:rFonts w:ascii="Arial" w:hAnsi="Arial" w:cs="Arial" w:eastAsia="Arial" w:hint="default"/>
                <w:sz w:val="18"/>
                <w:szCs w:val="18"/>
              </w:rPr>
              <w:t>.2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382,375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975,737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2"/>
                <w:sz w:val="18"/>
              </w:rPr>
              <w:t>2,203,115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1,084,191</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Arial" w:hAnsi="Arial" w:cs="Arial" w:eastAsia="Arial" w:hint="default"/>
                <w:sz w:val="18"/>
                <w:szCs w:val="18"/>
              </w:rPr>
            </w:pPr>
            <w:r>
              <w:rPr>
                <w:rFonts w:ascii="Arial"/>
                <w:spacing w:val="-1"/>
                <w:sz w:val="18"/>
              </w:rPr>
              <w:t>13,426,741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9,474,449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10,005,021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8,104,804</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1,309,062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793,656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31,063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29,959</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43,425,335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spacing w:val="-1"/>
                <w:sz w:val="18"/>
              </w:rPr>
              <w:t>34,475,586</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spacing w:val="-1"/>
                <w:sz w:val="18"/>
              </w:rPr>
              <w:t>40,516,963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26,429,713</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17"/>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Arial" w:hAnsi="Arial" w:cs="Arial" w:eastAsia="Arial" w:hint="default"/>
                <w:sz w:val="18"/>
                <w:szCs w:val="18"/>
              </w:rPr>
            </w:pPr>
            <w:r>
              <w:rPr>
                <w:rFonts w:ascii="宋体" w:hAnsi="宋体" w:cs="宋体" w:eastAsia="宋体" w:hint="default"/>
                <w:sz w:val="18"/>
                <w:szCs w:val="18"/>
              </w:rPr>
              <w:t>十一</w:t>
            </w:r>
            <w:r>
              <w:rPr>
                <w:rFonts w:ascii="Arial" w:hAnsi="Arial" w:cs="Arial" w:eastAsia="Arial" w:hint="default"/>
                <w:sz w:val="18"/>
                <w:szCs w:val="18"/>
              </w:rPr>
              <w:t>.4(b)</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w w:val="95"/>
                <w:sz w:val="18"/>
              </w:rPr>
              <w:t>1,764</w:t>
            </w:r>
            <w:r>
              <w:rPr>
                <w:rFonts w:ascii="Arial"/>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476,564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130,768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.9</w:t>
            </w:r>
            <w:r>
              <w:rPr>
                <w:rFonts w:ascii="宋体" w:hAnsi="宋体" w:cs="宋体" w:eastAsia="宋体" w:hint="default"/>
                <w:sz w:val="18"/>
                <w:szCs w:val="18"/>
              </w:rPr>
              <w:t>、十三</w:t>
            </w:r>
            <w:r>
              <w:rPr>
                <w:rFonts w:ascii="Arial" w:hAnsi="Arial" w:cs="Arial" w:eastAsia="Arial" w:hint="default"/>
                <w:sz w:val="18"/>
                <w:szCs w:val="18"/>
              </w:rPr>
              <w:t>.3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554,793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792,896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8,720,525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6,486,786</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684,420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387,134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Arial" w:hAnsi="Arial" w:cs="Arial" w:eastAsia="Arial" w:hint="default"/>
                <w:sz w:val="18"/>
                <w:szCs w:val="18"/>
              </w:rPr>
            </w:pPr>
            <w:r>
              <w:rPr>
                <w:rFonts w:ascii="宋体" w:hAnsi="宋体" w:cs="宋体" w:eastAsia="宋体" w:hint="default"/>
                <w:spacing w:val="-4"/>
                <w:sz w:val="18"/>
                <w:szCs w:val="18"/>
              </w:rPr>
              <w:t>五</w:t>
            </w:r>
            <w:r>
              <w:rPr>
                <w:rFonts w:ascii="Arial" w:hAnsi="Arial" w:cs="Arial" w:eastAsia="Arial" w:hint="default"/>
                <w:spacing w:val="-4"/>
                <w:sz w:val="18"/>
                <w:szCs w:val="18"/>
              </w:rPr>
              <w:t>.11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7,347,467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3,914,317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2,544,958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778,685</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1,251,501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2,061,752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290,359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1,345,650</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w w:val="95"/>
                <w:sz w:val="18"/>
              </w:rPr>
              <w:t>2,002</w:t>
            </w:r>
            <w:r>
              <w:rPr>
                <w:rFonts w:ascii="Arial"/>
                <w:sz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5"/>
                <w:sz w:val="18"/>
              </w:rPr>
              <w:t>65</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4,368,264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1,309,337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436,977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390,253</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93,898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sz w:val="18"/>
              </w:rPr>
              <w:t>22,125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75,713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22,125</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226,623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5"/>
                <w:sz w:val="18"/>
              </w:rPr>
              <w:t>616</w:t>
            </w:r>
            <w:r>
              <w:rPr>
                <w:rFonts w:ascii="Arial"/>
                <w:sz w:val="18"/>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w:t>
            </w:r>
            <w:r>
              <w:rPr>
                <w:rFonts w:ascii="Arial"/>
                <w:sz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841,692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529,531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226,981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167,409</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512,150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283,320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Arial" w:hAnsi="Arial" w:cs="Arial" w:eastAsia="Arial" w:hint="default"/>
                <w:sz w:val="18"/>
                <w:szCs w:val="18"/>
              </w:rPr>
            </w:pPr>
            <w:r>
              <w:rPr>
                <w:rFonts w:ascii="Arial"/>
                <w:spacing w:val="-1"/>
                <w:sz w:val="18"/>
              </w:rPr>
              <w:t>46,232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38,504</w:t>
            </w: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1"/>
                <w:sz w:val="18"/>
              </w:rPr>
              <w:t>16,361,138</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9,431,796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12,341,810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9,229,412</w:t>
            </w:r>
          </w:p>
        </w:tc>
      </w:tr>
      <w:tr>
        <w:trPr>
          <w:trHeight w:val="295"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Arial" w:hAnsi="Arial" w:cs="Arial" w:eastAsia="Arial" w:hint="default"/>
                <w:sz w:val="18"/>
                <w:szCs w:val="18"/>
              </w:rPr>
            </w:pPr>
            <w:r>
              <w:rPr>
                <w:rFonts w:ascii="Arial"/>
                <w:spacing w:val="-1"/>
                <w:sz w:val="18"/>
              </w:rPr>
              <w:t>59,786,473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43,907,382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52,858,773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35,659,125</w:t>
            </w:r>
          </w:p>
        </w:tc>
      </w:tr>
    </w:tbl>
    <w:p>
      <w:pPr>
        <w:spacing w:after="0" w:line="240" w:lineRule="auto"/>
        <w:jc w:val="right"/>
        <w:rPr>
          <w:rFonts w:ascii="Arial" w:hAnsi="Arial" w:cs="Arial" w:eastAsia="Arial" w:hint="default"/>
          <w:sz w:val="18"/>
          <w:szCs w:val="18"/>
        </w:rPr>
        <w:sectPr>
          <w:headerReference w:type="default" r:id="rId67"/>
          <w:footerReference w:type="default" r:id="rId68"/>
          <w:pgSz w:w="11910" w:h="16840"/>
          <w:pgMar w:header="754" w:footer="955" w:top="980" w:bottom="1140" w:left="1080" w:right="0"/>
        </w:sectPr>
      </w:pPr>
    </w:p>
    <w:p>
      <w:pPr>
        <w:spacing w:line="240" w:lineRule="auto" w:before="8"/>
        <w:rPr>
          <w:rFonts w:ascii="Arial" w:hAnsi="Arial" w:cs="Arial" w:eastAsia="Arial" w:hint="default"/>
          <w:sz w:val="24"/>
          <w:szCs w:val="24"/>
        </w:rPr>
      </w:pPr>
    </w:p>
    <w:p>
      <w:pPr>
        <w:pStyle w:val="Heading2"/>
        <w:spacing w:line="322" w:lineRule="exact"/>
        <w:ind w:left="668" w:right="0"/>
        <w:jc w:val="left"/>
        <w:rPr>
          <w:b w:val="0"/>
          <w:bCs w:val="0"/>
        </w:rPr>
      </w:pPr>
      <w:r>
        <w:rPr>
          <w:rFonts w:ascii="Arial" w:hAnsi="Arial" w:cs="Arial" w:eastAsia="Arial" w:hint="default"/>
          <w:spacing w:val="-4"/>
        </w:rPr>
        <w:t>2011</w:t>
      </w:r>
      <w:r>
        <w:rPr>
          <w:rFonts w:ascii="Arial" w:hAnsi="Arial" w:cs="Arial" w:eastAsia="Arial" w:hint="default"/>
          <w:spacing w:val="-12"/>
        </w:rPr>
        <w:t> </w:t>
      </w:r>
      <w:r>
        <w:rPr/>
        <w:t>年</w:t>
      </w:r>
      <w:r>
        <w:rPr>
          <w:spacing w:val="-62"/>
        </w:rPr>
        <w:t> </w:t>
      </w:r>
      <w:r>
        <w:rPr>
          <w:rFonts w:ascii="Arial" w:hAnsi="Arial" w:cs="Arial" w:eastAsia="Arial" w:hint="default"/>
        </w:rPr>
        <w:t>12</w:t>
      </w:r>
      <w:r>
        <w:rPr>
          <w:rFonts w:ascii="Arial" w:hAnsi="Arial" w:cs="Arial" w:eastAsia="Arial" w:hint="default"/>
          <w:spacing w:val="-12"/>
        </w:rPr>
        <w:t> </w:t>
      </w:r>
      <w:r>
        <w:rPr/>
        <w:t>月</w:t>
      </w:r>
      <w:r>
        <w:rPr>
          <w:spacing w:val="-62"/>
        </w:rPr>
        <w:t> </w:t>
      </w:r>
      <w:r>
        <w:rPr>
          <w:rFonts w:ascii="Arial" w:hAnsi="Arial" w:cs="Arial" w:eastAsia="Arial" w:hint="default"/>
        </w:rPr>
        <w:t>31</w:t>
      </w:r>
      <w:r>
        <w:rPr>
          <w:rFonts w:ascii="Arial" w:hAnsi="Arial" w:cs="Arial" w:eastAsia="Arial" w:hint="default"/>
          <w:spacing w:val="-12"/>
        </w:rPr>
        <w:t> </w:t>
      </w:r>
      <w:r>
        <w:rPr/>
        <w:t>日合并及公司资产负债表（续）</w:t>
      </w:r>
      <w:r>
        <w:rPr>
          <w:b w:val="0"/>
          <w:bCs w:val="0"/>
        </w:rPr>
      </w:r>
    </w:p>
    <w:p>
      <w:pPr>
        <w:pStyle w:val="BodyText"/>
        <w:spacing w:line="322" w:lineRule="exact" w:before="0"/>
        <w:ind w:left="668"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8"/>
        <w:rPr>
          <w:rFonts w:ascii="Arial" w:hAnsi="Arial" w:cs="Arial" w:eastAsia="Arial" w:hint="default"/>
          <w:sz w:val="21"/>
          <w:szCs w:val="21"/>
        </w:rPr>
      </w:pPr>
    </w:p>
    <w:p>
      <w:pPr>
        <w:spacing w:line="20" w:lineRule="exact"/>
        <w:ind w:left="632" w:right="0" w:firstLine="0"/>
        <w:rPr>
          <w:rFonts w:ascii="Arial" w:hAnsi="Arial" w:cs="Arial" w:eastAsia="Arial" w:hint="default"/>
          <w:sz w:val="2"/>
          <w:szCs w:val="2"/>
        </w:rPr>
      </w:pPr>
      <w:r>
        <w:rPr>
          <w:rFonts w:ascii="Arial" w:hAnsi="Arial" w:cs="Arial" w:eastAsia="Arial" w:hint="default"/>
          <w:sz w:val="2"/>
          <w:szCs w:val="2"/>
        </w:rPr>
        <w:pict>
          <v:group style="width:440.75pt;height:.75pt;mso-position-horizontal-relative:char;mso-position-vertical-relative:line" coordorigin="0,0" coordsize="8815,15">
            <v:group style="position:absolute;left:7;top:7;width:8800;height:2" coordorigin="7,7" coordsize="8800,2">
              <v:shape style="position:absolute;left:7;top:7;width:8800;height:2" coordorigin="7,7" coordsize="8800,0" path="m7,7l8807,7e" filled="false" stroked="true" strokeweight=".72pt" strokecolor="#000000">
                <v:path arrowok="t"/>
              </v:shape>
            </v:group>
          </v:group>
        </w:pict>
      </w:r>
      <w:r>
        <w:rPr>
          <w:rFonts w:ascii="Arial" w:hAnsi="Arial" w:cs="Arial" w:eastAsia="Arial" w:hint="default"/>
          <w:sz w:val="2"/>
          <w:szCs w:val="2"/>
        </w:rPr>
      </w:r>
    </w:p>
    <w:p>
      <w:pPr>
        <w:spacing w:line="240" w:lineRule="auto" w:before="4"/>
        <w:rPr>
          <w:rFonts w:ascii="Arial" w:hAnsi="Arial" w:cs="Arial" w:eastAsia="Arial"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2603"/>
        <w:gridCol w:w="706"/>
        <w:gridCol w:w="1659"/>
        <w:gridCol w:w="1642"/>
        <w:gridCol w:w="1635"/>
        <w:gridCol w:w="1596"/>
      </w:tblGrid>
      <w:tr>
        <w:trPr>
          <w:trHeight w:val="478"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黑体" w:hAnsi="黑体" w:cs="黑体" w:eastAsia="黑体" w:hint="default"/>
                <w:sz w:val="18"/>
                <w:szCs w:val="18"/>
              </w:rPr>
            </w:pPr>
            <w:r>
              <w:rPr>
                <w:rFonts w:ascii="黑体" w:hAnsi="黑体" w:cs="黑体" w:eastAsia="黑体" w:hint="default"/>
                <w:sz w:val="18"/>
                <w:szCs w:val="18"/>
              </w:rPr>
              <w:t>负 债 及 股 东 权 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2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229" w:lineRule="exact"/>
              <w:ind w:left="49"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left="129"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9"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spacing w:val="-1"/>
                <w:sz w:val="18"/>
              </w:rPr>
              <w:t>1,665,686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317,789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772,686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20,617,593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14,277,320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16,334,152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10,355,474</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spacing w:val="-1"/>
                <w:sz w:val="18"/>
              </w:rPr>
              <w:t>8,525,857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6,839,024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6,240,028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4,791,271</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350,051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393,820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2"/>
                <w:sz w:val="18"/>
              </w:rPr>
              <w:t>11,879,395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6,003,987</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273,558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201,295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sz w:val="18"/>
              </w:rPr>
              <w:t>41,151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35,936</w:t>
            </w:r>
          </w:p>
        </w:tc>
      </w:tr>
      <w:tr>
        <w:trPr>
          <w:trHeight w:val="296"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76"/>
              <w:jc w:val="right"/>
              <w:rPr>
                <w:rFonts w:ascii="Arial" w:hAnsi="Arial" w:cs="Arial" w:eastAsia="Arial" w:hint="default"/>
                <w:sz w:val="18"/>
                <w:szCs w:val="18"/>
              </w:rPr>
            </w:pPr>
            <w:r>
              <w:rPr>
                <w:rFonts w:ascii="Arial"/>
                <w:spacing w:val="-1"/>
                <w:sz w:val="18"/>
              </w:rPr>
              <w:t>790,756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525,750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sz w:val="18"/>
              </w:rPr>
              <w:t>323,986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w:hAnsi="Arial" w:cs="Arial" w:eastAsia="Arial" w:hint="default"/>
                <w:sz w:val="18"/>
                <w:szCs w:val="18"/>
              </w:rPr>
            </w:pPr>
            <w:r>
              <w:rPr>
                <w:rFonts w:ascii="Arial"/>
                <w:spacing w:val="-1"/>
                <w:sz w:val="18"/>
              </w:rPr>
              <w:t>210,518</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w w:val="95"/>
                <w:sz w:val="18"/>
              </w:rPr>
              <w:t>5,305</w:t>
            </w:r>
            <w:r>
              <w:rPr>
                <w:rFonts w:ascii="Arial"/>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6"/>
                <w:sz w:val="18"/>
              </w:rPr>
              <w:t>3,111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4"/>
              <w:jc w:val="right"/>
              <w:rPr>
                <w:rFonts w:ascii="Arial" w:hAnsi="Arial" w:cs="Arial" w:eastAsia="Arial" w:hint="default"/>
                <w:sz w:val="18"/>
                <w:szCs w:val="18"/>
              </w:rPr>
            </w:pPr>
            <w:r>
              <w:rPr>
                <w:rFonts w:ascii="Arial"/>
                <w:w w:val="99"/>
                <w:sz w:val="18"/>
              </w:rPr>
              <w:t>-</w:t>
            </w:r>
            <w:r>
              <w:rPr>
                <w:rFonts w:ascii="Arial"/>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w w:val="95"/>
                <w:sz w:val="18"/>
              </w:rPr>
              <w:t>9,397</w:t>
            </w:r>
            <w:r>
              <w:rPr>
                <w:rFonts w:ascii="Arial"/>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spacing w:val="-1"/>
                <w:sz w:val="18"/>
              </w:rPr>
              <w:t>2,743,925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1,539,020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1,142,037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438,553</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0"/>
              <w:jc w:val="right"/>
              <w:rPr>
                <w:rFonts w:ascii="宋体" w:hAnsi="宋体" w:cs="宋体" w:eastAsia="宋体" w:hint="default"/>
                <w:sz w:val="18"/>
                <w:szCs w:val="18"/>
              </w:rPr>
            </w:pPr>
            <w:r>
              <w:rPr>
                <w:rFonts w:ascii="宋体" w:hAnsi="宋体" w:cs="宋体" w:eastAsia="宋体" w:hint="default"/>
                <w:spacing w:val="-1"/>
                <w:sz w:val="18"/>
                <w:szCs w:val="18"/>
              </w:rPr>
              <w:t>一年内到期的非流动负债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120,029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2"/>
                <w:w w:val="95"/>
                <w:sz w:val="18"/>
              </w:rPr>
              <w:t>112,178</w:t>
            </w:r>
            <w:r>
              <w:rPr>
                <w:rFonts w:ascii="Arial"/>
                <w:spacing w:val="-2"/>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spacing w:val="-1"/>
                <w:sz w:val="18"/>
              </w:rPr>
              <w:t>25,622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16,057</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545,502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318,755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spacing w:val="-1"/>
                <w:sz w:val="18"/>
              </w:rPr>
              <w:t>18,590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w w:val="95"/>
                <w:sz w:val="18"/>
              </w:rPr>
              <w:t>8,808</w:t>
            </w:r>
            <w:r>
              <w:rPr>
                <w:rFonts w:ascii="Arial"/>
                <w:sz w:val="18"/>
              </w:rPr>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4"/>
              <w:jc w:val="right"/>
              <w:rPr>
                <w:rFonts w:ascii="Arial" w:hAnsi="Arial" w:cs="Arial" w:eastAsia="Arial" w:hint="default"/>
                <w:sz w:val="18"/>
                <w:szCs w:val="18"/>
              </w:rPr>
            </w:pPr>
            <w:r>
              <w:rPr>
                <w:rFonts w:ascii="Arial"/>
                <w:spacing w:val="-1"/>
                <w:sz w:val="18"/>
              </w:rPr>
              <w:t>35,638,262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24,534,348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36,780,758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21,860,604</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.29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101,135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6"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.16</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183,239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34,395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w w:val="99"/>
                <w:sz w:val="18"/>
              </w:rPr>
              <w:t>-</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833,299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493,248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672,756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469,320</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2"/>
                <w:sz w:val="18"/>
              </w:rPr>
              <w:t>1,117,673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527,643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672,756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469,320</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36,755,935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25,061,991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37,453,514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22,329,924</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spacing w:val="-1"/>
                <w:sz w:val="18"/>
              </w:rPr>
              <w:t>6,996,212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6,996,212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6,996,212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w:hAnsi="Arial" w:cs="Arial" w:eastAsia="Arial" w:hint="default"/>
                <w:sz w:val="18"/>
                <w:szCs w:val="18"/>
              </w:rPr>
            </w:pPr>
            <w:r>
              <w:rPr>
                <w:rFonts w:ascii="Arial"/>
                <w:spacing w:val="-1"/>
                <w:sz w:val="18"/>
              </w:rPr>
              <w:t>6,996,212</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517,074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655,288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863,397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693,732</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4"/>
              <w:jc w:val="right"/>
              <w:rPr>
                <w:rFonts w:ascii="Arial" w:hAnsi="Arial" w:cs="Arial" w:eastAsia="Arial" w:hint="default"/>
                <w:sz w:val="18"/>
                <w:szCs w:val="18"/>
              </w:rPr>
            </w:pPr>
            <w:r>
              <w:rPr>
                <w:rFonts w:ascii="Arial"/>
                <w:spacing w:val="-1"/>
                <w:sz w:val="18"/>
              </w:rPr>
              <w:t>1,007,130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746,529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spacing w:val="-1"/>
                <w:sz w:val="18"/>
              </w:rPr>
              <w:t>1,007,130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746,529</w:t>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13,793,238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9,932,866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6,538,520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4,892,728</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14,680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w w:val="95"/>
                <w:sz w:val="18"/>
              </w:rPr>
              <w:t>7,294</w:t>
            </w:r>
            <w:r>
              <w:rPr>
                <w:rFonts w:ascii="Arial"/>
                <w:sz w:val="18"/>
              </w:rPr>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8"/>
              <w:jc w:val="right"/>
              <w:rPr>
                <w:rFonts w:ascii="黑体" w:hAnsi="黑体" w:cs="黑体" w:eastAsia="黑体" w:hint="default"/>
                <w:sz w:val="18"/>
                <w:szCs w:val="18"/>
              </w:rPr>
            </w:pPr>
            <w:r>
              <w:rPr>
                <w:rFonts w:ascii="黑体" w:hAnsi="黑体" w:cs="黑体" w:eastAsia="黑体" w:hint="default"/>
                <w:sz w:val="18"/>
                <w:szCs w:val="18"/>
              </w:rPr>
              <w:t>归属于母公司股东权益合计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22,328,334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18,338,189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Arial" w:hAnsi="Arial" w:cs="Arial" w:eastAsia="Arial" w:hint="default"/>
                <w:sz w:val="18"/>
                <w:szCs w:val="18"/>
              </w:rPr>
            </w:pPr>
            <w:r>
              <w:rPr>
                <w:rFonts w:ascii="Arial"/>
                <w:spacing w:val="-1"/>
                <w:sz w:val="18"/>
              </w:rPr>
              <w:t>15,405,259</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13,329,201</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2"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702,204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507,202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Arial" w:hAnsi="Arial" w:cs="Arial" w:eastAsia="Arial" w:hint="default"/>
                <w:sz w:val="18"/>
                <w:szCs w:val="18"/>
              </w:rPr>
            </w:pPr>
            <w:r>
              <w:rPr>
                <w:rFonts w:ascii="Arial"/>
                <w:w w:val="99"/>
                <w:sz w:val="18"/>
              </w:rPr>
              <w:t>-</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23,030,538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18,845,391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Arial" w:hAnsi="Arial" w:cs="Arial" w:eastAsia="Arial" w:hint="default"/>
                <w:sz w:val="18"/>
                <w:szCs w:val="18"/>
              </w:rPr>
            </w:pPr>
            <w:r>
              <w:rPr>
                <w:rFonts w:ascii="Arial"/>
                <w:spacing w:val="-1"/>
                <w:sz w:val="18"/>
              </w:rPr>
              <w:t>15,405,259</w:t>
            </w:r>
            <w:r>
              <w:rPr>
                <w:rFonts w:ascii="Arial"/>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13,329,201</w:t>
            </w:r>
          </w:p>
        </w:tc>
      </w:tr>
      <w:tr>
        <w:trPr>
          <w:trHeight w:val="293" w:hRule="exact"/>
        </w:trPr>
        <w:tc>
          <w:tcPr>
            <w:tcW w:w="260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706"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6"/>
              <w:jc w:val="right"/>
              <w:rPr>
                <w:rFonts w:ascii="Arial" w:hAnsi="Arial" w:cs="Arial" w:eastAsia="Arial" w:hint="default"/>
                <w:sz w:val="18"/>
                <w:szCs w:val="18"/>
              </w:rPr>
            </w:pPr>
            <w:r>
              <w:rPr>
                <w:rFonts w:ascii="Arial"/>
                <w:spacing w:val="-1"/>
                <w:sz w:val="18"/>
              </w:rPr>
              <w:t>59,786,473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43,907,382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7"/>
              <w:jc w:val="right"/>
              <w:rPr>
                <w:rFonts w:ascii="Arial" w:hAnsi="Arial" w:cs="Arial" w:eastAsia="Arial" w:hint="default"/>
                <w:sz w:val="18"/>
                <w:szCs w:val="18"/>
              </w:rPr>
            </w:pPr>
            <w:r>
              <w:rPr>
                <w:rFonts w:ascii="Arial"/>
                <w:spacing w:val="-1"/>
                <w:sz w:val="18"/>
              </w:rPr>
              <w:t>52,858,773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Arial" w:hAnsi="Arial" w:cs="Arial" w:eastAsia="Arial" w:hint="default"/>
                <w:sz w:val="18"/>
                <w:szCs w:val="18"/>
              </w:rPr>
            </w:pPr>
            <w:r>
              <w:rPr>
                <w:rFonts w:ascii="Arial"/>
                <w:spacing w:val="-1"/>
                <w:sz w:val="18"/>
              </w:rPr>
              <w:t>35,659,125</w:t>
            </w:r>
          </w:p>
        </w:tc>
      </w:tr>
    </w:tbl>
    <w:p>
      <w:pPr>
        <w:spacing w:line="240" w:lineRule="auto" w:before="11"/>
        <w:rPr>
          <w:rFonts w:ascii="Arial" w:hAnsi="Arial" w:cs="Arial" w:eastAsia="Arial" w:hint="default"/>
          <w:sz w:val="14"/>
          <w:szCs w:val="14"/>
        </w:rPr>
      </w:pPr>
    </w:p>
    <w:p>
      <w:pPr>
        <w:spacing w:before="36"/>
        <w:ind w:left="668"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505" w:val="left" w:leader="none"/>
          <w:tab w:pos="7077" w:val="left" w:leader="none"/>
        </w:tabs>
        <w:spacing w:before="0"/>
        <w:ind w:left="668" w:right="0" w:firstLine="0"/>
        <w:jc w:val="left"/>
        <w:rPr>
          <w:rFonts w:ascii="宋体" w:hAnsi="宋体" w:cs="宋体" w:eastAsia="宋体" w:hint="default"/>
          <w:sz w:val="21"/>
          <w:szCs w:val="21"/>
        </w:rPr>
      </w:pPr>
      <w:r>
        <w:rPr>
          <w:rFonts w:ascii="宋体" w:hAnsi="宋体" w:cs="宋体" w:eastAsia="宋体" w:hint="default"/>
          <w:sz w:val="21"/>
          <w:szCs w:val="21"/>
        </w:rPr>
        <w:t>企业负责人：</w:t>
      </w:r>
      <w:r>
        <w:rPr>
          <w:rFonts w:ascii="宋体" w:hAnsi="宋体" w:cs="宋体" w:eastAsia="宋体" w:hint="default"/>
          <w:spacing w:val="-2"/>
          <w:sz w:val="21"/>
          <w:szCs w:val="21"/>
        </w:rPr>
        <w:t> </w:t>
      </w:r>
      <w:r>
        <w:rPr>
          <w:rFonts w:ascii="宋体" w:hAnsi="宋体" w:cs="宋体" w:eastAsia="宋体" w:hint="default"/>
          <w:sz w:val="21"/>
          <w:szCs w:val="21"/>
        </w:rPr>
        <w:t>张近东</w:t>
        <w:tab/>
        <w:t>主管会计工作的负责人：</w:t>
      </w:r>
      <w:r>
        <w:rPr>
          <w:rFonts w:ascii="宋体" w:hAnsi="宋体" w:cs="宋体" w:eastAsia="宋体" w:hint="default"/>
          <w:spacing w:val="-2"/>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footerReference w:type="default" r:id="rId69"/>
          <w:pgSz w:w="11910" w:h="16840"/>
          <w:pgMar w:footer="881" w:header="754" w:top="980" w:bottom="1080" w:left="1060" w:right="0"/>
          <w:pgNumType w:start="101"/>
        </w:sectPr>
      </w:pPr>
    </w:p>
    <w:p>
      <w:pPr>
        <w:spacing w:line="240" w:lineRule="auto" w:before="10"/>
        <w:rPr>
          <w:rFonts w:ascii="宋体" w:hAnsi="宋体" w:cs="宋体" w:eastAsia="宋体" w:hint="default"/>
          <w:sz w:val="21"/>
          <w:szCs w:val="21"/>
        </w:rPr>
      </w:pPr>
    </w:p>
    <w:p>
      <w:pPr>
        <w:pStyle w:val="Heading2"/>
        <w:spacing w:line="323" w:lineRule="exact"/>
        <w:ind w:left="728" w:right="0"/>
        <w:jc w:val="left"/>
        <w:rPr>
          <w:b w:val="0"/>
          <w:bCs w:val="0"/>
        </w:rPr>
      </w:pPr>
      <w:r>
        <w:rPr>
          <w:rFonts w:ascii="Arial" w:hAnsi="Arial" w:cs="Arial" w:eastAsia="Arial" w:hint="default"/>
          <w:spacing w:val="-4"/>
        </w:rPr>
        <w:t>2011</w:t>
      </w:r>
      <w:r>
        <w:rPr>
          <w:rFonts w:ascii="Arial" w:hAnsi="Arial" w:cs="Arial" w:eastAsia="Arial" w:hint="default"/>
          <w:spacing w:val="-15"/>
        </w:rPr>
        <w:t> </w:t>
      </w:r>
      <w:r>
        <w:rPr/>
        <w:t>年度合并及公司利润表</w:t>
      </w:r>
      <w:r>
        <w:rPr>
          <w:b w:val="0"/>
          <w:bCs w:val="0"/>
        </w:rPr>
      </w:r>
    </w:p>
    <w:p>
      <w:pPr>
        <w:pStyle w:val="BodyText"/>
        <w:spacing w:line="323" w:lineRule="exact" w:before="0"/>
        <w:ind w:left="728"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6"/>
        <w:rPr>
          <w:rFonts w:ascii="Arial" w:hAnsi="Arial" w:cs="Arial" w:eastAsia="Arial" w:hint="default"/>
          <w:sz w:val="3"/>
          <w:szCs w:val="3"/>
        </w:rPr>
      </w:pPr>
    </w:p>
    <w:p>
      <w:pPr>
        <w:spacing w:line="20" w:lineRule="exact"/>
        <w:ind w:left="692" w:right="0" w:firstLine="0"/>
        <w:rPr>
          <w:rFonts w:ascii="Arial" w:hAnsi="Arial" w:cs="Arial" w:eastAsia="Arial" w:hint="default"/>
          <w:sz w:val="2"/>
          <w:szCs w:val="2"/>
        </w:rPr>
      </w:pPr>
      <w:r>
        <w:rPr>
          <w:rFonts w:ascii="Arial" w:hAnsi="Arial" w:cs="Arial" w:eastAsia="Arial" w:hint="default"/>
          <w:sz w:val="2"/>
          <w:szCs w:val="2"/>
        </w:rPr>
        <w:pict>
          <v:group style="width:440.75pt;height:.75pt;mso-position-horizontal-relative:char;mso-position-vertical-relative:line" coordorigin="0,0" coordsize="8815,15">
            <v:group style="position:absolute;left:7;top:7;width:8800;height:2" coordorigin="7,7" coordsize="8800,2">
              <v:shape style="position:absolute;left:7;top:7;width:8800;height:2" coordorigin="7,7" coordsize="8800,0" path="m7,7l8807,7e" filled="false" stroked="true" strokeweight=".72pt" strokecolor="#000000">
                <v:path arrowok="t"/>
              </v:shape>
            </v:group>
          </v:group>
        </w:pict>
      </w:r>
      <w:r>
        <w:rPr>
          <w:rFonts w:ascii="Arial" w:hAnsi="Arial" w:cs="Arial" w:eastAsia="Arial" w:hint="default"/>
          <w:sz w:val="2"/>
          <w:szCs w:val="2"/>
        </w:rPr>
      </w:r>
    </w:p>
    <w:p>
      <w:pPr>
        <w:spacing w:line="240" w:lineRule="auto" w:before="4"/>
        <w:rPr>
          <w:rFonts w:ascii="Arial" w:hAnsi="Arial" w:cs="Arial" w:eastAsia="Arial"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3188"/>
        <w:gridCol w:w="1234"/>
        <w:gridCol w:w="1500"/>
        <w:gridCol w:w="1438"/>
        <w:gridCol w:w="1318"/>
        <w:gridCol w:w="1272"/>
      </w:tblGrid>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1951" w:val="left" w:leader="none"/>
              </w:tabs>
              <w:spacing w:line="240" w:lineRule="auto" w:before="87"/>
              <w:ind w:left="1049"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8"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42"/>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p>
            <w:pPr>
              <w:pStyle w:val="TableParagraph"/>
              <w:spacing w:line="229" w:lineRule="exact"/>
              <w:ind w:right="144"/>
              <w:jc w:val="center"/>
              <w:rPr>
                <w:rFonts w:ascii="宋体" w:hAnsi="宋体" w:cs="宋体" w:eastAsia="宋体" w:hint="default"/>
                <w:sz w:val="18"/>
                <w:szCs w:val="18"/>
              </w:rPr>
            </w:pPr>
            <w:r>
              <w:rPr>
                <w:rFonts w:ascii="宋体" w:hAnsi="宋体" w:cs="宋体" w:eastAsia="宋体" w:hint="default"/>
                <w:sz w:val="18"/>
                <w:szCs w:val="18"/>
              </w:rPr>
              <w:t>合并</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3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p>
            <w:pPr>
              <w:pStyle w:val="TableParagraph"/>
              <w:spacing w:line="229" w:lineRule="exact"/>
              <w:ind w:right="34"/>
              <w:jc w:val="center"/>
              <w:rPr>
                <w:rFonts w:ascii="宋体" w:hAnsi="宋体" w:cs="宋体" w:eastAsia="宋体" w:hint="default"/>
                <w:sz w:val="18"/>
                <w:szCs w:val="18"/>
              </w:rPr>
            </w:pPr>
            <w:r>
              <w:rPr>
                <w:rFonts w:ascii="宋体" w:hAnsi="宋体" w:cs="宋体" w:eastAsia="宋体" w:hint="default"/>
                <w:sz w:val="18"/>
                <w:szCs w:val="18"/>
              </w:rPr>
              <w:t>合并</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r>
              <w:rPr>
                <w:rFonts w:ascii="宋体" w:hAnsi="宋体" w:cs="宋体" w:eastAsia="宋体" w:hint="default"/>
                <w:sz w:val="18"/>
                <w:szCs w:val="18"/>
              </w:rPr>
              <w:t>、十三</w:t>
            </w:r>
            <w:r>
              <w:rPr>
                <w:rFonts w:ascii="Arial" w:hAnsi="Arial" w:cs="Arial" w:eastAsia="Arial" w:hint="default"/>
                <w:sz w:val="18"/>
                <w:szCs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8"/>
              <w:jc w:val="right"/>
              <w:rPr>
                <w:rFonts w:ascii="Arial" w:hAnsi="Arial" w:cs="Arial" w:eastAsia="Arial" w:hint="default"/>
                <w:sz w:val="18"/>
                <w:szCs w:val="18"/>
              </w:rPr>
            </w:pPr>
            <w:r>
              <w:rPr>
                <w:rFonts w:ascii="Arial"/>
                <w:spacing w:val="-1"/>
                <w:sz w:val="18"/>
              </w:rPr>
              <w:t>93,888,580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3" w:right="0"/>
              <w:jc w:val="left"/>
              <w:rPr>
                <w:rFonts w:ascii="Arial" w:hAnsi="Arial" w:cs="Arial" w:eastAsia="Arial" w:hint="default"/>
                <w:sz w:val="18"/>
                <w:szCs w:val="18"/>
              </w:rPr>
            </w:pPr>
            <w:r>
              <w:rPr>
                <w:rFonts w:ascii="Arial"/>
                <w:sz w:val="18"/>
              </w:rPr>
              <w:t>75,504,739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Arial" w:hAnsi="Arial" w:cs="Arial" w:eastAsia="Arial" w:hint="default"/>
                <w:sz w:val="18"/>
                <w:szCs w:val="18"/>
              </w:rPr>
            </w:pPr>
            <w:r>
              <w:rPr>
                <w:rFonts w:ascii="Arial"/>
                <w:spacing w:val="-1"/>
                <w:sz w:val="18"/>
              </w:rPr>
              <w:t>67,539,448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Arial" w:hAnsi="Arial" w:cs="Arial" w:eastAsia="Arial" w:hint="default"/>
                <w:sz w:val="18"/>
                <w:szCs w:val="18"/>
              </w:rPr>
            </w:pPr>
            <w:r>
              <w:rPr>
                <w:rFonts w:ascii="Arial"/>
                <w:spacing w:val="-1"/>
                <w:sz w:val="18"/>
              </w:rPr>
              <w:t>54,634,190</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.36</w:t>
            </w:r>
            <w:r>
              <w:rPr>
                <w:rFonts w:ascii="宋体" w:hAnsi="宋体" w:cs="宋体" w:eastAsia="宋体" w:hint="default"/>
                <w:sz w:val="18"/>
                <w:szCs w:val="18"/>
              </w:rPr>
              <w:t>、十三</w:t>
            </w:r>
            <w:r>
              <w:rPr>
                <w:rFonts w:ascii="Arial" w:hAnsi="Arial" w:cs="Arial" w:eastAsia="Arial" w:hint="default"/>
                <w:sz w:val="18"/>
                <w:szCs w:val="18"/>
              </w:rPr>
              <w:t>.4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6"/>
              <w:jc w:val="right"/>
              <w:rPr>
                <w:rFonts w:ascii="Arial" w:hAnsi="Arial" w:cs="Arial" w:eastAsia="Arial" w:hint="default"/>
                <w:sz w:val="18"/>
                <w:szCs w:val="18"/>
              </w:rPr>
            </w:pPr>
            <w:r>
              <w:rPr>
                <w:rFonts w:ascii="Arial"/>
                <w:spacing w:val="-1"/>
                <w:sz w:val="18"/>
              </w:rPr>
              <w:t>(76,104,656)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9"/>
              <w:jc w:val="right"/>
              <w:rPr>
                <w:rFonts w:ascii="Arial" w:hAnsi="Arial" w:cs="Arial" w:eastAsia="Arial" w:hint="default"/>
                <w:sz w:val="18"/>
                <w:szCs w:val="18"/>
              </w:rPr>
            </w:pPr>
            <w:r>
              <w:rPr>
                <w:rFonts w:ascii="Arial"/>
                <w:spacing w:val="-1"/>
                <w:sz w:val="18"/>
              </w:rPr>
              <w:t>(62,040,712)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7"/>
              <w:jc w:val="right"/>
              <w:rPr>
                <w:rFonts w:ascii="Arial" w:hAnsi="Arial" w:cs="Arial" w:eastAsia="Arial" w:hint="default"/>
                <w:sz w:val="18"/>
                <w:szCs w:val="18"/>
              </w:rPr>
            </w:pPr>
            <w:r>
              <w:rPr>
                <w:rFonts w:ascii="Arial"/>
                <w:spacing w:val="-1"/>
                <w:sz w:val="18"/>
              </w:rPr>
              <w:t>(62,539,367)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5"/>
              <w:jc w:val="right"/>
              <w:rPr>
                <w:rFonts w:ascii="Arial" w:hAnsi="Arial" w:cs="Arial" w:eastAsia="Arial" w:hint="default"/>
                <w:sz w:val="18"/>
                <w:szCs w:val="18"/>
              </w:rPr>
            </w:pPr>
            <w:r>
              <w:rPr>
                <w:rFonts w:ascii="Arial"/>
                <w:spacing w:val="-1"/>
                <w:sz w:val="18"/>
              </w:rPr>
              <w:t>(50,757,571)</w:t>
            </w:r>
          </w:p>
        </w:tc>
      </w:tr>
      <w:tr>
        <w:trPr>
          <w:trHeight w:val="4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0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75"/>
              <w:jc w:val="right"/>
              <w:rPr>
                <w:rFonts w:ascii="Arial" w:hAnsi="Arial" w:cs="Arial" w:eastAsia="Arial" w:hint="default"/>
                <w:sz w:val="18"/>
                <w:szCs w:val="18"/>
              </w:rPr>
            </w:pPr>
            <w:r>
              <w:rPr>
                <w:rFonts w:ascii="Arial"/>
                <w:spacing w:val="-1"/>
                <w:sz w:val="18"/>
              </w:rPr>
              <w:t>(369,751)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69"/>
              <w:jc w:val="right"/>
              <w:rPr>
                <w:rFonts w:ascii="Arial" w:hAnsi="Arial" w:cs="Arial" w:eastAsia="Arial" w:hint="default"/>
                <w:sz w:val="18"/>
                <w:szCs w:val="18"/>
              </w:rPr>
            </w:pPr>
            <w:r>
              <w:rPr>
                <w:rFonts w:ascii="Arial"/>
                <w:spacing w:val="-1"/>
                <w:sz w:val="18"/>
              </w:rPr>
              <w:t>(268,129)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37"/>
              <w:jc w:val="right"/>
              <w:rPr>
                <w:rFonts w:ascii="Arial" w:hAnsi="Arial" w:cs="Arial" w:eastAsia="Arial" w:hint="default"/>
                <w:sz w:val="18"/>
                <w:szCs w:val="18"/>
              </w:rPr>
            </w:pPr>
            <w:r>
              <w:rPr>
                <w:rFonts w:ascii="Arial"/>
                <w:spacing w:val="-1"/>
                <w:sz w:val="18"/>
              </w:rPr>
              <w:t>(69,924)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(59,157)</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5"/>
              <w:jc w:val="right"/>
              <w:rPr>
                <w:rFonts w:ascii="Arial" w:hAnsi="Arial" w:cs="Arial" w:eastAsia="Arial" w:hint="default"/>
                <w:sz w:val="18"/>
                <w:szCs w:val="18"/>
              </w:rPr>
            </w:pPr>
            <w:r>
              <w:rPr>
                <w:rFonts w:ascii="Arial"/>
                <w:spacing w:val="-1"/>
                <w:sz w:val="18"/>
              </w:rPr>
              <w:t>(9,367,346)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9"/>
              <w:jc w:val="right"/>
              <w:rPr>
                <w:rFonts w:ascii="Arial" w:hAnsi="Arial" w:cs="Arial" w:eastAsia="Arial" w:hint="default"/>
                <w:sz w:val="18"/>
                <w:szCs w:val="18"/>
              </w:rPr>
            </w:pPr>
            <w:r>
              <w:rPr>
                <w:rFonts w:ascii="Arial"/>
                <w:spacing w:val="-1"/>
                <w:sz w:val="18"/>
              </w:rPr>
              <w:t>(6,809,109)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7"/>
              <w:jc w:val="right"/>
              <w:rPr>
                <w:rFonts w:ascii="Arial" w:hAnsi="Arial" w:cs="Arial" w:eastAsia="Arial" w:hint="default"/>
                <w:sz w:val="18"/>
                <w:szCs w:val="18"/>
              </w:rPr>
            </w:pPr>
            <w:r>
              <w:rPr>
                <w:rFonts w:ascii="Arial"/>
                <w:spacing w:val="-2"/>
                <w:sz w:val="18"/>
              </w:rPr>
              <w:t>(990,114)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5"/>
              <w:jc w:val="right"/>
              <w:rPr>
                <w:rFonts w:ascii="Arial" w:hAnsi="Arial" w:cs="Arial" w:eastAsia="Arial" w:hint="default"/>
                <w:sz w:val="18"/>
                <w:szCs w:val="18"/>
              </w:rPr>
            </w:pPr>
            <w:r>
              <w:rPr>
                <w:rFonts w:ascii="Arial"/>
                <w:spacing w:val="-1"/>
                <w:sz w:val="18"/>
              </w:rPr>
              <w:t>(728,231)</w:t>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5"/>
              <w:jc w:val="right"/>
              <w:rPr>
                <w:rFonts w:ascii="Arial" w:hAnsi="Arial" w:cs="Arial" w:eastAsia="Arial" w:hint="default"/>
                <w:sz w:val="18"/>
                <w:szCs w:val="18"/>
              </w:rPr>
            </w:pPr>
            <w:r>
              <w:rPr>
                <w:rFonts w:ascii="Arial"/>
                <w:spacing w:val="-1"/>
                <w:sz w:val="18"/>
              </w:rPr>
              <w:t>(2,088,637)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9"/>
              <w:jc w:val="right"/>
              <w:rPr>
                <w:rFonts w:ascii="Arial" w:hAnsi="Arial" w:cs="Arial" w:eastAsia="Arial" w:hint="default"/>
                <w:sz w:val="18"/>
                <w:szCs w:val="18"/>
              </w:rPr>
            </w:pPr>
            <w:r>
              <w:rPr>
                <w:rFonts w:ascii="Arial"/>
                <w:spacing w:val="-2"/>
                <w:sz w:val="18"/>
              </w:rPr>
              <w:t>(1,250,311)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Arial" w:hAnsi="Arial" w:cs="Arial" w:eastAsia="Arial" w:hint="default"/>
                <w:sz w:val="18"/>
                <w:szCs w:val="18"/>
              </w:rPr>
            </w:pPr>
            <w:r>
              <w:rPr>
                <w:rFonts w:ascii="Arial"/>
                <w:spacing w:val="-1"/>
                <w:sz w:val="18"/>
              </w:rPr>
              <w:t>(990,957)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4"/>
              <w:jc w:val="right"/>
              <w:rPr>
                <w:rFonts w:ascii="Arial" w:hAnsi="Arial" w:cs="Arial" w:eastAsia="Arial" w:hint="default"/>
                <w:sz w:val="18"/>
                <w:szCs w:val="18"/>
              </w:rPr>
            </w:pPr>
            <w:r>
              <w:rPr>
                <w:rFonts w:ascii="Arial"/>
                <w:spacing w:val="-1"/>
                <w:sz w:val="18"/>
              </w:rPr>
              <w:t>(530,534)</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加：财务收入</w:t>
            </w:r>
            <w:r>
              <w:rPr>
                <w:rFonts w:ascii="Arial" w:hAnsi="Arial" w:cs="Arial" w:eastAsia="Arial" w:hint="default"/>
                <w:sz w:val="18"/>
                <w:szCs w:val="18"/>
              </w:rPr>
              <w:t>-</w:t>
            </w:r>
            <w:r>
              <w:rPr>
                <w:rFonts w:ascii="宋体" w:hAnsi="宋体" w:cs="宋体" w:eastAsia="宋体" w:hint="default"/>
                <w:sz w:val="18"/>
                <w:szCs w:val="18"/>
              </w:rPr>
              <w:t>净额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8"/>
              <w:jc w:val="right"/>
              <w:rPr>
                <w:rFonts w:ascii="Arial" w:hAnsi="Arial" w:cs="Arial" w:eastAsia="Arial" w:hint="default"/>
                <w:sz w:val="18"/>
                <w:szCs w:val="18"/>
              </w:rPr>
            </w:pPr>
            <w:r>
              <w:rPr>
                <w:rFonts w:ascii="Arial"/>
                <w:spacing w:val="-1"/>
                <w:sz w:val="18"/>
              </w:rPr>
              <w:t>403,236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4"/>
              <w:jc w:val="right"/>
              <w:rPr>
                <w:rFonts w:ascii="Arial" w:hAnsi="Arial" w:cs="Arial" w:eastAsia="Arial" w:hint="default"/>
                <w:sz w:val="18"/>
                <w:szCs w:val="18"/>
              </w:rPr>
            </w:pPr>
            <w:r>
              <w:rPr>
                <w:rFonts w:ascii="Arial"/>
                <w:spacing w:val="-1"/>
                <w:sz w:val="18"/>
              </w:rPr>
              <w:t>360,769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5"/>
              <w:jc w:val="right"/>
              <w:rPr>
                <w:rFonts w:ascii="Arial" w:hAnsi="Arial" w:cs="Arial" w:eastAsia="Arial" w:hint="default"/>
                <w:sz w:val="18"/>
                <w:szCs w:val="18"/>
              </w:rPr>
            </w:pPr>
            <w:r>
              <w:rPr>
                <w:rFonts w:ascii="Arial"/>
                <w:spacing w:val="-1"/>
                <w:sz w:val="18"/>
              </w:rPr>
              <w:t>614,888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3"/>
              <w:jc w:val="right"/>
              <w:rPr>
                <w:rFonts w:ascii="Arial" w:hAnsi="Arial" w:cs="Arial" w:eastAsia="Arial" w:hint="default"/>
                <w:sz w:val="18"/>
                <w:szCs w:val="18"/>
              </w:rPr>
            </w:pPr>
            <w:r>
              <w:rPr>
                <w:rFonts w:ascii="Arial"/>
                <w:spacing w:val="-1"/>
                <w:sz w:val="18"/>
              </w:rPr>
              <w:t>509,406</w:t>
            </w:r>
          </w:p>
        </w:tc>
      </w:tr>
      <w:tr>
        <w:trPr>
          <w:trHeight w:val="29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减：资产减值损失</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.17</w:t>
            </w:r>
            <w:r>
              <w:rPr>
                <w:rFonts w:ascii="宋体" w:hAnsi="宋体" w:cs="宋体" w:eastAsia="宋体" w:hint="default"/>
                <w:sz w:val="18"/>
                <w:szCs w:val="18"/>
              </w:rPr>
              <w:t>、五</w:t>
            </w:r>
            <w:r>
              <w:rPr>
                <w:rFonts w:ascii="Arial" w:hAnsi="Arial" w:cs="Arial" w:eastAsia="Arial" w:hint="default"/>
                <w:sz w:val="18"/>
                <w:szCs w:val="18"/>
              </w:rPr>
              <w:t>.42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75"/>
              <w:jc w:val="right"/>
              <w:rPr>
                <w:rFonts w:ascii="Arial" w:hAnsi="Arial" w:cs="Arial" w:eastAsia="Arial" w:hint="default"/>
                <w:sz w:val="18"/>
                <w:szCs w:val="18"/>
              </w:rPr>
            </w:pPr>
            <w:r>
              <w:rPr>
                <w:rFonts w:ascii="Arial"/>
                <w:spacing w:val="-1"/>
                <w:sz w:val="18"/>
              </w:rPr>
              <w:t>(69,537)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68"/>
              <w:jc w:val="right"/>
              <w:rPr>
                <w:rFonts w:ascii="Arial" w:hAnsi="Arial" w:cs="Arial" w:eastAsia="Arial" w:hint="default"/>
                <w:sz w:val="18"/>
                <w:szCs w:val="18"/>
              </w:rPr>
            </w:pPr>
            <w:r>
              <w:rPr>
                <w:rFonts w:ascii="Arial"/>
                <w:spacing w:val="-1"/>
                <w:sz w:val="18"/>
              </w:rPr>
              <w:t>(75,924)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1"/>
              <w:jc w:val="right"/>
              <w:rPr>
                <w:rFonts w:ascii="Arial" w:hAnsi="Arial" w:cs="Arial" w:eastAsia="Arial" w:hint="default"/>
                <w:sz w:val="18"/>
                <w:szCs w:val="18"/>
              </w:rPr>
            </w:pPr>
            <w:r>
              <w:rPr>
                <w:rFonts w:ascii="Arial"/>
                <w:spacing w:val="-1"/>
                <w:sz w:val="18"/>
              </w:rPr>
              <w:t>(38,133)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5"/>
              <w:jc w:val="right"/>
              <w:rPr>
                <w:rFonts w:ascii="Arial" w:hAnsi="Arial" w:cs="Arial" w:eastAsia="Arial" w:hint="default"/>
                <w:sz w:val="18"/>
                <w:szCs w:val="18"/>
              </w:rPr>
            </w:pPr>
            <w:r>
              <w:rPr>
                <w:rFonts w:ascii="Arial"/>
                <w:spacing w:val="-1"/>
                <w:sz w:val="18"/>
              </w:rPr>
              <w:t>(45,347)</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加：公允价值变动损益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7"/>
              <w:jc w:val="right"/>
              <w:rPr>
                <w:rFonts w:ascii="Arial" w:hAnsi="Arial" w:cs="Arial" w:eastAsia="Arial" w:hint="default"/>
                <w:sz w:val="18"/>
                <w:szCs w:val="18"/>
              </w:rPr>
            </w:pPr>
            <w:r>
              <w:rPr>
                <w:rFonts w:ascii="Arial"/>
                <w:w w:val="99"/>
                <w:sz w:val="18"/>
              </w:rPr>
              <w:t>-</w:t>
            </w:r>
            <w:r>
              <w:rPr>
                <w:rFonts w:ascii="Arial"/>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5"/>
              <w:jc w:val="right"/>
              <w:rPr>
                <w:rFonts w:ascii="Arial" w:hAnsi="Arial" w:cs="Arial" w:eastAsia="Arial" w:hint="default"/>
                <w:sz w:val="18"/>
                <w:szCs w:val="18"/>
              </w:rPr>
            </w:pPr>
            <w:r>
              <w:rPr>
                <w:rFonts w:ascii="Arial"/>
                <w:w w:val="99"/>
                <w:sz w:val="18"/>
              </w:rPr>
              <w:t>-</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Arial" w:hAnsi="Arial" w:cs="Arial" w:eastAsia="Arial" w:hint="default"/>
                <w:sz w:val="18"/>
                <w:szCs w:val="18"/>
              </w:rPr>
            </w:pPr>
            <w:r>
              <w:rPr>
                <w:rFonts w:ascii="Arial"/>
                <w:w w:val="99"/>
                <w:sz w:val="18"/>
              </w:rPr>
              <w:t>-</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.41</w:t>
            </w:r>
            <w:r>
              <w:rPr>
                <w:rFonts w:ascii="宋体" w:hAnsi="宋体" w:cs="宋体" w:eastAsia="宋体" w:hint="default"/>
                <w:sz w:val="18"/>
                <w:szCs w:val="18"/>
              </w:rPr>
              <w:t>、十三</w:t>
            </w:r>
            <w:r>
              <w:rPr>
                <w:rFonts w:ascii="Arial" w:hAnsi="Arial" w:cs="Arial" w:eastAsia="Arial" w:hint="default"/>
                <w:sz w:val="18"/>
                <w:szCs w:val="18"/>
              </w:rPr>
              <w:t>.5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6"/>
              <w:jc w:val="right"/>
              <w:rPr>
                <w:rFonts w:ascii="Arial" w:hAnsi="Arial" w:cs="Arial" w:eastAsia="Arial" w:hint="default"/>
                <w:sz w:val="18"/>
                <w:szCs w:val="18"/>
              </w:rPr>
            </w:pPr>
            <w:r>
              <w:rPr>
                <w:rFonts w:ascii="Arial"/>
                <w:spacing w:val="-1"/>
                <w:sz w:val="18"/>
              </w:rPr>
              <w:t>152,192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spacing w:val="-1"/>
                <w:sz w:val="18"/>
              </w:rPr>
              <w:t>10,625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Arial" w:hAnsi="Arial" w:cs="Arial" w:eastAsia="Arial" w:hint="default"/>
                <w:sz w:val="18"/>
                <w:szCs w:val="18"/>
              </w:rPr>
            </w:pPr>
            <w:r>
              <w:rPr>
                <w:rFonts w:ascii="Arial"/>
                <w:spacing w:val="-1"/>
                <w:sz w:val="18"/>
              </w:rPr>
              <w:t>17,974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3"/>
              <w:jc w:val="right"/>
              <w:rPr>
                <w:rFonts w:ascii="Arial" w:hAnsi="Arial" w:cs="Arial" w:eastAsia="Arial" w:hint="default"/>
                <w:sz w:val="18"/>
                <w:szCs w:val="18"/>
              </w:rPr>
            </w:pPr>
            <w:r>
              <w:rPr>
                <w:rFonts w:ascii="Arial"/>
                <w:spacing w:val="-1"/>
                <w:sz w:val="18"/>
              </w:rPr>
              <w:t>53,846</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其中：对联营企业的投资</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收益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3"/>
              <w:jc w:val="right"/>
              <w:rPr>
                <w:rFonts w:ascii="Arial" w:hAnsi="Arial" w:cs="Arial" w:eastAsia="Arial" w:hint="default"/>
                <w:sz w:val="18"/>
                <w:szCs w:val="18"/>
              </w:rPr>
            </w:pPr>
            <w:r>
              <w:rPr>
                <w:rFonts w:ascii="Arial"/>
                <w:spacing w:val="-1"/>
                <w:sz w:val="18"/>
              </w:rPr>
              <w:t>140,192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2"/>
              <w:jc w:val="right"/>
              <w:rPr>
                <w:rFonts w:ascii="Arial" w:hAnsi="Arial" w:cs="Arial" w:eastAsia="Arial" w:hint="default"/>
                <w:sz w:val="18"/>
                <w:szCs w:val="18"/>
              </w:rPr>
            </w:pPr>
            <w:r>
              <w:rPr>
                <w:rFonts w:ascii="Arial"/>
                <w:w w:val="95"/>
                <w:sz w:val="18"/>
              </w:rPr>
              <w:t>4,967</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Arial" w:hAnsi="Arial" w:cs="Arial" w:eastAsia="Arial" w:hint="default"/>
                <w:sz w:val="18"/>
                <w:szCs w:val="18"/>
              </w:rPr>
            </w:pPr>
            <w:r>
              <w:rPr>
                <w:rFonts w:ascii="Arial"/>
                <w:w w:val="99"/>
                <w:sz w:val="18"/>
              </w:rPr>
              <w:t>-</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二、营业利润</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6"/>
              <w:jc w:val="right"/>
              <w:rPr>
                <w:rFonts w:ascii="Arial" w:hAnsi="Arial" w:cs="Arial" w:eastAsia="Arial" w:hint="default"/>
                <w:sz w:val="18"/>
                <w:szCs w:val="18"/>
              </w:rPr>
            </w:pPr>
            <w:r>
              <w:rPr>
                <w:rFonts w:ascii="Arial"/>
                <w:spacing w:val="-1"/>
                <w:sz w:val="18"/>
              </w:rPr>
              <w:t>6,444,081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2"/>
              <w:jc w:val="right"/>
              <w:rPr>
                <w:rFonts w:ascii="Arial" w:hAnsi="Arial" w:cs="Arial" w:eastAsia="Arial" w:hint="default"/>
                <w:sz w:val="18"/>
                <w:szCs w:val="18"/>
              </w:rPr>
            </w:pPr>
            <w:r>
              <w:rPr>
                <w:rFonts w:ascii="Arial"/>
                <w:spacing w:val="-1"/>
                <w:sz w:val="18"/>
              </w:rPr>
              <w:t>5,431,948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2"/>
              <w:jc w:val="right"/>
              <w:rPr>
                <w:rFonts w:ascii="Arial" w:hAnsi="Arial" w:cs="Arial" w:eastAsia="Arial" w:hint="default"/>
                <w:sz w:val="18"/>
                <w:szCs w:val="18"/>
              </w:rPr>
            </w:pPr>
            <w:r>
              <w:rPr>
                <w:rFonts w:ascii="Arial"/>
                <w:spacing w:val="-1"/>
                <w:sz w:val="18"/>
              </w:rPr>
              <w:t>3,543,815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spacing w:val="-1"/>
                <w:sz w:val="18"/>
              </w:rPr>
              <w:t>3,076,602</w:t>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6"/>
              <w:jc w:val="right"/>
              <w:rPr>
                <w:rFonts w:ascii="Arial" w:hAnsi="Arial" w:cs="Arial" w:eastAsia="Arial" w:hint="default"/>
                <w:sz w:val="18"/>
                <w:szCs w:val="18"/>
              </w:rPr>
            </w:pPr>
            <w:r>
              <w:rPr>
                <w:rFonts w:ascii="Arial"/>
                <w:spacing w:val="-2"/>
                <w:w w:val="95"/>
                <w:sz w:val="18"/>
              </w:rPr>
              <w:t>117,555</w:t>
            </w:r>
            <w:r>
              <w:rPr>
                <w:rFonts w:ascii="Arial"/>
                <w:spacing w:val="-2"/>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spacing w:val="-1"/>
                <w:sz w:val="18"/>
              </w:rPr>
              <w:t>72,465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Arial" w:hAnsi="Arial" w:cs="Arial" w:eastAsia="Arial" w:hint="default"/>
                <w:sz w:val="18"/>
                <w:szCs w:val="18"/>
              </w:rPr>
            </w:pPr>
            <w:r>
              <w:rPr>
                <w:rFonts w:ascii="Arial"/>
                <w:spacing w:val="-1"/>
                <w:sz w:val="18"/>
              </w:rPr>
              <w:t>12,516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3"/>
              <w:jc w:val="right"/>
              <w:rPr>
                <w:rFonts w:ascii="Arial" w:hAnsi="Arial" w:cs="Arial" w:eastAsia="Arial" w:hint="default"/>
                <w:sz w:val="18"/>
                <w:szCs w:val="18"/>
              </w:rPr>
            </w:pPr>
            <w:r>
              <w:rPr>
                <w:rFonts w:ascii="Arial"/>
                <w:spacing w:val="-1"/>
                <w:sz w:val="18"/>
              </w:rPr>
              <w:t>13,093</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5"/>
              <w:jc w:val="right"/>
              <w:rPr>
                <w:rFonts w:ascii="Arial" w:hAnsi="Arial" w:cs="Arial" w:eastAsia="Arial" w:hint="default"/>
                <w:sz w:val="18"/>
                <w:szCs w:val="18"/>
              </w:rPr>
            </w:pPr>
            <w:r>
              <w:rPr>
                <w:rFonts w:ascii="Arial"/>
                <w:spacing w:val="-1"/>
                <w:sz w:val="18"/>
              </w:rPr>
              <w:t>(88,410)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9"/>
              <w:jc w:val="right"/>
              <w:rPr>
                <w:rFonts w:ascii="Arial" w:hAnsi="Arial" w:cs="Arial" w:eastAsia="Arial" w:hint="default"/>
                <w:sz w:val="18"/>
                <w:szCs w:val="18"/>
              </w:rPr>
            </w:pPr>
            <w:r>
              <w:rPr>
                <w:rFonts w:ascii="Arial"/>
                <w:spacing w:val="-1"/>
                <w:sz w:val="18"/>
              </w:rPr>
              <w:t>(102,369)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9"/>
              <w:jc w:val="right"/>
              <w:rPr>
                <w:rFonts w:ascii="Arial" w:hAnsi="Arial" w:cs="Arial" w:eastAsia="Arial" w:hint="default"/>
                <w:sz w:val="18"/>
                <w:szCs w:val="18"/>
              </w:rPr>
            </w:pPr>
            <w:r>
              <w:rPr>
                <w:rFonts w:ascii="Arial"/>
                <w:spacing w:val="-1"/>
                <w:sz w:val="18"/>
              </w:rPr>
              <w:t>(19,932)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5"/>
              <w:jc w:val="right"/>
              <w:rPr>
                <w:rFonts w:ascii="Arial" w:hAnsi="Arial" w:cs="Arial" w:eastAsia="Arial" w:hint="default"/>
                <w:sz w:val="18"/>
                <w:szCs w:val="18"/>
              </w:rPr>
            </w:pPr>
            <w:r>
              <w:rPr>
                <w:rFonts w:ascii="Arial"/>
                <w:spacing w:val="-1"/>
                <w:sz w:val="18"/>
              </w:rPr>
              <w:t>(44,190)</w:t>
            </w:r>
          </w:p>
        </w:tc>
      </w:tr>
      <w:tr>
        <w:trPr>
          <w:trHeight w:val="4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16"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z w:val="18"/>
              </w:rPr>
              <w:t>(4,439)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69"/>
              <w:jc w:val="right"/>
              <w:rPr>
                <w:rFonts w:ascii="Arial" w:hAnsi="Arial" w:cs="Arial" w:eastAsia="Arial" w:hint="default"/>
                <w:sz w:val="18"/>
                <w:szCs w:val="18"/>
              </w:rPr>
            </w:pPr>
            <w:r>
              <w:rPr>
                <w:rFonts w:ascii="Arial"/>
                <w:w w:val="95"/>
                <w:sz w:val="18"/>
              </w:rPr>
              <w:t>(4,882)</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39"/>
              <w:jc w:val="right"/>
              <w:rPr>
                <w:rFonts w:ascii="Arial" w:hAnsi="Arial" w:cs="Arial" w:eastAsia="Arial" w:hint="default"/>
                <w:sz w:val="18"/>
                <w:szCs w:val="18"/>
              </w:rPr>
            </w:pPr>
            <w:r>
              <w:rPr>
                <w:rFonts w:ascii="Arial"/>
                <w:w w:val="95"/>
                <w:sz w:val="18"/>
              </w:rPr>
              <w:t>(435)</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w w:val="95"/>
                <w:sz w:val="18"/>
              </w:rPr>
              <w:t>(1,899)</w:t>
            </w:r>
            <w:r>
              <w:rPr>
                <w:rFonts w:ascii="Arial"/>
                <w:sz w:val="18"/>
              </w:rPr>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6"/>
              <w:jc w:val="right"/>
              <w:rPr>
                <w:rFonts w:ascii="Arial" w:hAnsi="Arial" w:cs="Arial" w:eastAsia="Arial" w:hint="default"/>
                <w:sz w:val="18"/>
                <w:szCs w:val="18"/>
              </w:rPr>
            </w:pPr>
            <w:r>
              <w:rPr>
                <w:rFonts w:ascii="Arial"/>
                <w:spacing w:val="-1"/>
                <w:sz w:val="18"/>
              </w:rPr>
              <w:t>6,473,226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2"/>
              <w:jc w:val="right"/>
              <w:rPr>
                <w:rFonts w:ascii="Arial" w:hAnsi="Arial" w:cs="Arial" w:eastAsia="Arial" w:hint="default"/>
                <w:sz w:val="18"/>
                <w:szCs w:val="18"/>
              </w:rPr>
            </w:pPr>
            <w:r>
              <w:rPr>
                <w:rFonts w:ascii="Arial"/>
                <w:spacing w:val="-1"/>
                <w:sz w:val="18"/>
              </w:rPr>
              <w:t>5,402,044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1"/>
              <w:jc w:val="right"/>
              <w:rPr>
                <w:rFonts w:ascii="Arial" w:hAnsi="Arial" w:cs="Arial" w:eastAsia="Arial" w:hint="default"/>
                <w:sz w:val="18"/>
                <w:szCs w:val="18"/>
              </w:rPr>
            </w:pPr>
            <w:r>
              <w:rPr>
                <w:rFonts w:ascii="Arial"/>
                <w:spacing w:val="-1"/>
                <w:sz w:val="18"/>
              </w:rPr>
              <w:t>3,536,399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spacing w:val="-1"/>
                <w:sz w:val="18"/>
              </w:rPr>
              <w:t>3,045,505</w:t>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5"/>
              <w:jc w:val="right"/>
              <w:rPr>
                <w:rFonts w:ascii="Arial" w:hAnsi="Arial" w:cs="Arial" w:eastAsia="Arial" w:hint="default"/>
                <w:sz w:val="18"/>
                <w:szCs w:val="18"/>
              </w:rPr>
            </w:pPr>
            <w:r>
              <w:rPr>
                <w:rFonts w:ascii="Arial"/>
                <w:spacing w:val="-1"/>
                <w:sz w:val="18"/>
              </w:rPr>
              <w:t>(1,587,220)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9"/>
              <w:jc w:val="right"/>
              <w:rPr>
                <w:rFonts w:ascii="Arial" w:hAnsi="Arial" w:cs="Arial" w:eastAsia="Arial" w:hint="default"/>
                <w:sz w:val="18"/>
                <w:szCs w:val="18"/>
              </w:rPr>
            </w:pPr>
            <w:r>
              <w:rPr>
                <w:rFonts w:ascii="Arial"/>
                <w:spacing w:val="-1"/>
                <w:sz w:val="18"/>
              </w:rPr>
              <w:t>(1,296,536)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9"/>
              <w:jc w:val="right"/>
              <w:rPr>
                <w:rFonts w:ascii="Arial" w:hAnsi="Arial" w:cs="Arial" w:eastAsia="Arial" w:hint="default"/>
                <w:sz w:val="18"/>
                <w:szCs w:val="18"/>
              </w:rPr>
            </w:pPr>
            <w:r>
              <w:rPr>
                <w:rFonts w:ascii="Arial"/>
                <w:spacing w:val="-1"/>
                <w:sz w:val="18"/>
              </w:rPr>
              <w:t>(930,385)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5"/>
              <w:jc w:val="right"/>
              <w:rPr>
                <w:rFonts w:ascii="Arial" w:hAnsi="Arial" w:cs="Arial" w:eastAsia="Arial" w:hint="default"/>
                <w:sz w:val="18"/>
                <w:szCs w:val="18"/>
              </w:rPr>
            </w:pPr>
            <w:r>
              <w:rPr>
                <w:rFonts w:ascii="Arial"/>
                <w:spacing w:val="-1"/>
                <w:sz w:val="18"/>
              </w:rPr>
              <w:t>(754,864)</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6"/>
              <w:jc w:val="right"/>
              <w:rPr>
                <w:rFonts w:ascii="Arial" w:hAnsi="Arial" w:cs="Arial" w:eastAsia="Arial" w:hint="default"/>
                <w:sz w:val="18"/>
                <w:szCs w:val="18"/>
              </w:rPr>
            </w:pPr>
            <w:r>
              <w:rPr>
                <w:rFonts w:ascii="Arial"/>
                <w:spacing w:val="-1"/>
                <w:sz w:val="18"/>
              </w:rPr>
              <w:t>4,886,006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2"/>
              <w:jc w:val="right"/>
              <w:rPr>
                <w:rFonts w:ascii="Arial" w:hAnsi="Arial" w:cs="Arial" w:eastAsia="Arial" w:hint="default"/>
                <w:sz w:val="18"/>
                <w:szCs w:val="18"/>
              </w:rPr>
            </w:pPr>
            <w:r>
              <w:rPr>
                <w:rFonts w:ascii="Arial"/>
                <w:spacing w:val="-1"/>
                <w:sz w:val="18"/>
              </w:rPr>
              <w:t>4,105,508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2"/>
              <w:jc w:val="right"/>
              <w:rPr>
                <w:rFonts w:ascii="Arial" w:hAnsi="Arial" w:cs="Arial" w:eastAsia="Arial" w:hint="default"/>
                <w:sz w:val="18"/>
                <w:szCs w:val="18"/>
              </w:rPr>
            </w:pPr>
            <w:r>
              <w:rPr>
                <w:rFonts w:ascii="Arial"/>
                <w:spacing w:val="-1"/>
                <w:sz w:val="18"/>
              </w:rPr>
              <w:t>2,606,014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spacing w:val="-1"/>
                <w:sz w:val="18"/>
              </w:rPr>
              <w:t>2,290,641</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7" w:right="0"/>
              <w:jc w:val="left"/>
              <w:rPr>
                <w:rFonts w:ascii="宋体" w:hAnsi="宋体" w:cs="宋体" w:eastAsia="宋体" w:hint="default"/>
                <w:sz w:val="18"/>
                <w:szCs w:val="18"/>
              </w:rPr>
            </w:pPr>
            <w:r>
              <w:rPr>
                <w:rFonts w:ascii="宋体" w:hAnsi="宋体" w:cs="宋体" w:eastAsia="宋体" w:hint="default"/>
                <w:sz w:val="18"/>
                <w:szCs w:val="18"/>
              </w:rPr>
              <w:t>归属于母公司股东的净利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2"/>
                <w:szCs w:val="22"/>
              </w:rPr>
            </w:pPr>
          </w:p>
          <w:p>
            <w:pPr>
              <w:pStyle w:val="TableParagraph"/>
              <w:spacing w:line="240" w:lineRule="auto"/>
              <w:ind w:right="136"/>
              <w:jc w:val="right"/>
              <w:rPr>
                <w:rFonts w:ascii="Arial" w:hAnsi="Arial" w:cs="Arial" w:eastAsia="Arial" w:hint="default"/>
                <w:sz w:val="18"/>
                <w:szCs w:val="18"/>
              </w:rPr>
            </w:pPr>
            <w:r>
              <w:rPr>
                <w:rFonts w:ascii="Arial"/>
                <w:spacing w:val="-1"/>
                <w:sz w:val="18"/>
              </w:rPr>
              <w:t>4,820,594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2"/>
                <w:szCs w:val="22"/>
              </w:rPr>
            </w:pPr>
          </w:p>
          <w:p>
            <w:pPr>
              <w:pStyle w:val="TableParagraph"/>
              <w:spacing w:line="240" w:lineRule="auto"/>
              <w:ind w:right="122"/>
              <w:jc w:val="right"/>
              <w:rPr>
                <w:rFonts w:ascii="Arial" w:hAnsi="Arial" w:cs="Arial" w:eastAsia="Arial" w:hint="default"/>
                <w:sz w:val="18"/>
                <w:szCs w:val="18"/>
              </w:rPr>
            </w:pPr>
            <w:r>
              <w:rPr>
                <w:rFonts w:ascii="Arial"/>
                <w:spacing w:val="-2"/>
                <w:sz w:val="18"/>
              </w:rPr>
              <w:t>4,011,820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2"/>
                <w:szCs w:val="22"/>
              </w:rPr>
            </w:pPr>
          </w:p>
          <w:p>
            <w:pPr>
              <w:pStyle w:val="TableParagraph"/>
              <w:spacing w:line="240" w:lineRule="auto"/>
              <w:ind w:right="92"/>
              <w:jc w:val="right"/>
              <w:rPr>
                <w:rFonts w:ascii="Arial" w:hAnsi="Arial" w:cs="Arial" w:eastAsia="Arial" w:hint="default"/>
                <w:sz w:val="18"/>
                <w:szCs w:val="18"/>
              </w:rPr>
            </w:pPr>
            <w:r>
              <w:rPr>
                <w:rFonts w:ascii="Arial"/>
                <w:spacing w:val="-1"/>
                <w:sz w:val="18"/>
              </w:rPr>
              <w:t>2,606,014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22"/>
                <w:szCs w:val="22"/>
              </w:rPr>
            </w:pPr>
          </w:p>
          <w:p>
            <w:pPr>
              <w:pStyle w:val="TableParagraph"/>
              <w:spacing w:line="240" w:lineRule="auto"/>
              <w:ind w:right="84"/>
              <w:jc w:val="right"/>
              <w:rPr>
                <w:rFonts w:ascii="Arial" w:hAnsi="Arial" w:cs="Arial" w:eastAsia="Arial" w:hint="default"/>
                <w:sz w:val="18"/>
                <w:szCs w:val="18"/>
              </w:rPr>
            </w:pPr>
            <w:r>
              <w:rPr>
                <w:rFonts w:ascii="Arial"/>
                <w:spacing w:val="-1"/>
                <w:sz w:val="18"/>
              </w:rPr>
              <w:t>2,290,641</w:t>
            </w: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9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8"/>
              <w:jc w:val="right"/>
              <w:rPr>
                <w:rFonts w:ascii="Arial" w:hAnsi="Arial" w:cs="Arial" w:eastAsia="Arial" w:hint="default"/>
                <w:sz w:val="18"/>
                <w:szCs w:val="18"/>
              </w:rPr>
            </w:pPr>
            <w:r>
              <w:rPr>
                <w:rFonts w:ascii="Arial"/>
                <w:spacing w:val="-1"/>
                <w:sz w:val="18"/>
              </w:rPr>
              <w:t>65,412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spacing w:val="-1"/>
                <w:sz w:val="18"/>
              </w:rPr>
              <w:t>93,688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Arial" w:hAnsi="Arial" w:cs="Arial" w:eastAsia="Arial" w:hint="default"/>
                <w:sz w:val="18"/>
                <w:szCs w:val="18"/>
              </w:rPr>
            </w:pPr>
            <w:r>
              <w:rPr>
                <w:rFonts w:ascii="Arial"/>
                <w:w w:val="99"/>
                <w:sz w:val="18"/>
              </w:rPr>
              <w:t>-</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五、每股收益</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9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Arial" w:hAnsi="Arial" w:cs="Arial" w:eastAsia="Arial" w:hint="default"/>
                <w:sz w:val="18"/>
                <w:szCs w:val="18"/>
              </w:rPr>
              <w:t>0.69</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Arial" w:hAnsi="Arial" w:cs="Arial" w:eastAsia="Arial" w:hint="default"/>
                <w:sz w:val="18"/>
                <w:szCs w:val="18"/>
              </w:rPr>
              <w:t>0.57</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4"/>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9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Arial" w:hAnsi="Arial" w:cs="Arial" w:eastAsia="Arial" w:hint="default"/>
                <w:sz w:val="18"/>
                <w:szCs w:val="18"/>
              </w:rPr>
              <w:t>0.69</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Arial" w:hAnsi="Arial" w:cs="Arial" w:eastAsia="Arial" w:hint="default"/>
                <w:sz w:val="18"/>
                <w:szCs w:val="18"/>
              </w:rPr>
              <w:t>0.57</w:t>
            </w:r>
            <w:r>
              <w:rPr>
                <w:rFonts w:ascii="Arial" w:hAnsi="Arial" w:cs="Arial" w:eastAsia="Arial" w:hint="default"/>
                <w:spacing w:val="-5"/>
                <w:sz w:val="18"/>
                <w:szCs w:val="18"/>
              </w:rPr>
              <w:t> </w:t>
            </w:r>
            <w:r>
              <w:rPr>
                <w:rFonts w:ascii="宋体" w:hAnsi="宋体" w:cs="宋体" w:eastAsia="宋体" w:hint="default"/>
                <w:sz w:val="18"/>
                <w:szCs w:val="18"/>
              </w:rPr>
              <w:t>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4"/>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六、其他综合收益</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5"/>
              <w:jc w:val="right"/>
              <w:rPr>
                <w:rFonts w:ascii="Arial" w:hAnsi="Arial" w:cs="Arial" w:eastAsia="Arial" w:hint="default"/>
                <w:sz w:val="18"/>
                <w:szCs w:val="18"/>
              </w:rPr>
            </w:pPr>
            <w:r>
              <w:rPr>
                <w:rFonts w:ascii="Arial"/>
                <w:w w:val="95"/>
                <w:sz w:val="18"/>
              </w:rPr>
              <w:t>(4,021)</w:t>
            </w:r>
            <w:r>
              <w:rPr>
                <w:rFonts w:ascii="Arial"/>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w w:val="95"/>
                <w:sz w:val="18"/>
              </w:rPr>
              <w:t>7,523</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Arial" w:hAnsi="Arial" w:cs="Arial" w:eastAsia="Arial" w:hint="default"/>
                <w:sz w:val="18"/>
                <w:szCs w:val="18"/>
              </w:rPr>
            </w:pPr>
            <w:r>
              <w:rPr>
                <w:rFonts w:ascii="Arial"/>
                <w:w w:val="99"/>
                <w:sz w:val="18"/>
              </w:rPr>
              <w:t>-</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黑体" w:hAnsi="黑体" w:cs="黑体" w:eastAsia="黑体" w:hint="default"/>
                <w:sz w:val="18"/>
                <w:szCs w:val="18"/>
              </w:rPr>
            </w:pPr>
            <w:r>
              <w:rPr>
                <w:rFonts w:ascii="黑体" w:hAnsi="黑体" w:cs="黑体" w:eastAsia="黑体" w:hint="default"/>
                <w:sz w:val="18"/>
                <w:szCs w:val="18"/>
              </w:rPr>
              <w:t>七、综合收益总额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6"/>
              <w:jc w:val="right"/>
              <w:rPr>
                <w:rFonts w:ascii="Arial" w:hAnsi="Arial" w:cs="Arial" w:eastAsia="Arial" w:hint="default"/>
                <w:sz w:val="18"/>
                <w:szCs w:val="18"/>
              </w:rPr>
            </w:pPr>
            <w:r>
              <w:rPr>
                <w:rFonts w:ascii="Arial"/>
                <w:spacing w:val="-1"/>
                <w:sz w:val="18"/>
              </w:rPr>
              <w:t>4,881,985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spacing w:val="-2"/>
                <w:sz w:val="18"/>
              </w:rPr>
              <w:t>4,113,031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2"/>
              <w:jc w:val="right"/>
              <w:rPr>
                <w:rFonts w:ascii="Arial" w:hAnsi="Arial" w:cs="Arial" w:eastAsia="Arial" w:hint="default"/>
                <w:sz w:val="18"/>
                <w:szCs w:val="18"/>
              </w:rPr>
            </w:pPr>
            <w:r>
              <w:rPr>
                <w:rFonts w:ascii="Arial"/>
                <w:spacing w:val="-1"/>
                <w:sz w:val="18"/>
              </w:rPr>
              <w:t>2,606,014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Arial" w:hAnsi="Arial" w:cs="Arial" w:eastAsia="Arial" w:hint="default"/>
                <w:sz w:val="18"/>
                <w:szCs w:val="18"/>
              </w:rPr>
            </w:pPr>
            <w:r>
              <w:rPr>
                <w:rFonts w:ascii="Arial"/>
                <w:spacing w:val="-1"/>
                <w:sz w:val="18"/>
              </w:rPr>
              <w:t>2,290,641</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5"/>
              <w:jc w:val="right"/>
              <w:rPr>
                <w:rFonts w:ascii="Arial" w:hAnsi="Arial" w:cs="Arial" w:eastAsia="Arial" w:hint="default"/>
                <w:sz w:val="18"/>
                <w:szCs w:val="18"/>
              </w:rPr>
            </w:pPr>
            <w:r>
              <w:rPr>
                <w:rFonts w:ascii="Arial"/>
                <w:spacing w:val="-1"/>
                <w:sz w:val="18"/>
              </w:rPr>
              <w:t>4,828,367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2"/>
              <w:jc w:val="right"/>
              <w:rPr>
                <w:rFonts w:ascii="Arial" w:hAnsi="Arial" w:cs="Arial" w:eastAsia="Arial" w:hint="default"/>
                <w:sz w:val="18"/>
                <w:szCs w:val="18"/>
              </w:rPr>
            </w:pPr>
            <w:r>
              <w:rPr>
                <w:rFonts w:ascii="Arial"/>
                <w:spacing w:val="-1"/>
                <w:sz w:val="18"/>
              </w:rPr>
              <w:t>4,019,343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2"/>
              <w:jc w:val="right"/>
              <w:rPr>
                <w:rFonts w:ascii="Arial" w:hAnsi="Arial" w:cs="Arial" w:eastAsia="Arial" w:hint="default"/>
                <w:sz w:val="18"/>
                <w:szCs w:val="18"/>
              </w:rPr>
            </w:pPr>
            <w:r>
              <w:rPr>
                <w:rFonts w:ascii="Arial"/>
                <w:spacing w:val="-1"/>
                <w:sz w:val="18"/>
              </w:rPr>
              <w:t>2,606,014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4"/>
              <w:jc w:val="right"/>
              <w:rPr>
                <w:rFonts w:ascii="Arial" w:hAnsi="Arial" w:cs="Arial" w:eastAsia="Arial" w:hint="default"/>
                <w:sz w:val="18"/>
                <w:szCs w:val="18"/>
              </w:rPr>
            </w:pPr>
            <w:r>
              <w:rPr>
                <w:rFonts w:ascii="Arial"/>
                <w:spacing w:val="-1"/>
                <w:sz w:val="18"/>
              </w:rPr>
              <w:t>2,290,641</w:t>
            </w:r>
          </w:p>
        </w:tc>
      </w:tr>
      <w:tr>
        <w:trPr>
          <w:trHeight w:val="29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3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7"/>
              <w:jc w:val="right"/>
              <w:rPr>
                <w:rFonts w:ascii="Arial" w:hAnsi="Arial" w:cs="Arial" w:eastAsia="Arial" w:hint="default"/>
                <w:sz w:val="18"/>
                <w:szCs w:val="18"/>
              </w:rPr>
            </w:pPr>
            <w:r>
              <w:rPr>
                <w:rFonts w:ascii="Arial"/>
                <w:spacing w:val="-1"/>
                <w:sz w:val="18"/>
              </w:rPr>
              <w:t>53,618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3"/>
              <w:jc w:val="right"/>
              <w:rPr>
                <w:rFonts w:ascii="Arial" w:hAnsi="Arial" w:cs="Arial" w:eastAsia="Arial" w:hint="default"/>
                <w:sz w:val="18"/>
                <w:szCs w:val="18"/>
              </w:rPr>
            </w:pPr>
            <w:r>
              <w:rPr>
                <w:rFonts w:ascii="Arial"/>
                <w:spacing w:val="-1"/>
                <w:sz w:val="18"/>
              </w:rPr>
              <w:t>93,688</w:t>
            </w:r>
            <w:r>
              <w:rPr>
                <w:rFonts w:ascii="Arial"/>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Arial" w:hAnsi="Arial" w:cs="Arial" w:eastAsia="Arial" w:hint="default"/>
                <w:sz w:val="18"/>
                <w:szCs w:val="18"/>
              </w:rPr>
            </w:pPr>
            <w:r>
              <w:rPr>
                <w:rFonts w:ascii="Arial"/>
                <w:w w:val="99"/>
                <w:sz w:val="18"/>
              </w:rPr>
              <w:t>-</w:t>
            </w:r>
            <w:r>
              <w:rPr>
                <w:rFonts w:ascii="Arial"/>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4"/>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1"/>
        <w:rPr>
          <w:rFonts w:ascii="Arial" w:hAnsi="Arial" w:cs="Arial" w:eastAsia="Arial" w:hint="default"/>
          <w:sz w:val="14"/>
          <w:szCs w:val="14"/>
        </w:rPr>
      </w:pPr>
    </w:p>
    <w:p>
      <w:pPr>
        <w:spacing w:before="36"/>
        <w:ind w:left="728"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565" w:val="left" w:leader="none"/>
          <w:tab w:pos="7137" w:val="left" w:leader="none"/>
        </w:tabs>
        <w:spacing w:before="0"/>
        <w:ind w:left="728" w:right="0" w:firstLine="0"/>
        <w:jc w:val="left"/>
        <w:rPr>
          <w:rFonts w:ascii="宋体" w:hAnsi="宋体" w:cs="宋体" w:eastAsia="宋体" w:hint="default"/>
          <w:sz w:val="21"/>
          <w:szCs w:val="21"/>
        </w:rPr>
      </w:pPr>
      <w:r>
        <w:rPr>
          <w:rFonts w:ascii="宋体" w:hAnsi="宋体" w:cs="宋体" w:eastAsia="宋体" w:hint="default"/>
          <w:sz w:val="21"/>
          <w:szCs w:val="21"/>
        </w:rPr>
        <w:t>企业负责人：</w:t>
      </w:r>
      <w:r>
        <w:rPr>
          <w:rFonts w:ascii="宋体" w:hAnsi="宋体" w:cs="宋体" w:eastAsia="宋体" w:hint="default"/>
          <w:spacing w:val="-2"/>
          <w:sz w:val="21"/>
          <w:szCs w:val="21"/>
        </w:rPr>
        <w:t> </w:t>
      </w:r>
      <w:r>
        <w:rPr>
          <w:rFonts w:ascii="宋体" w:hAnsi="宋体" w:cs="宋体" w:eastAsia="宋体" w:hint="default"/>
          <w:sz w:val="21"/>
          <w:szCs w:val="21"/>
        </w:rPr>
        <w:t>张近东</w:t>
        <w:tab/>
        <w:t>主管会计工作的负责人：</w:t>
      </w:r>
      <w:r>
        <w:rPr>
          <w:rFonts w:ascii="宋体" w:hAnsi="宋体" w:cs="宋体" w:eastAsia="宋体" w:hint="default"/>
          <w:spacing w:val="-2"/>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pgSz w:w="11910" w:h="16840"/>
          <w:pgMar w:header="754" w:footer="881" w:top="980" w:bottom="1140" w:left="1000" w:right="0"/>
        </w:sectPr>
      </w:pPr>
    </w:p>
    <w:p>
      <w:pPr>
        <w:spacing w:line="240" w:lineRule="auto" w:before="4"/>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3764"/>
        <w:gridCol w:w="1191"/>
        <w:gridCol w:w="1253"/>
        <w:gridCol w:w="1208"/>
        <w:gridCol w:w="1210"/>
        <w:gridCol w:w="1210"/>
      </w:tblGrid>
      <w:tr>
        <w:trPr>
          <w:trHeight w:val="478"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tabs>
                <w:tab w:pos="909" w:val="left" w:leader="none"/>
              </w:tabs>
              <w:spacing w:line="240" w:lineRule="auto" w:before="87"/>
              <w:ind w:left="7" w:right="0"/>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7"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9"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p>
            <w:pPr>
              <w:pStyle w:val="TableParagraph"/>
              <w:spacing w:line="229" w:lineRule="exact"/>
              <w:ind w:left="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1"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p>
            <w:pPr>
              <w:pStyle w:val="TableParagraph"/>
              <w:spacing w:line="229" w:lineRule="exact"/>
              <w:ind w:left="9"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6"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黑体" w:hAnsi="黑体" w:cs="黑体" w:eastAsia="黑体" w:hint="default"/>
                <w:sz w:val="18"/>
                <w:szCs w:val="18"/>
              </w:rPr>
            </w:pPr>
            <w:r>
              <w:rPr>
                <w:rFonts w:ascii="黑体" w:hAnsi="黑体" w:cs="黑体" w:eastAsia="黑体" w:hint="default"/>
                <w:sz w:val="18"/>
                <w:szCs w:val="18"/>
              </w:rPr>
              <w:t>一、经营活动产生的现金流量</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107,078,755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2"/>
                <w:sz w:val="18"/>
              </w:rPr>
              <w:t>86,811,064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Arial" w:hAnsi="Arial" w:cs="Arial" w:eastAsia="Arial" w:hint="default"/>
                <w:sz w:val="18"/>
                <w:szCs w:val="18"/>
              </w:rPr>
            </w:pPr>
            <w:r>
              <w:rPr>
                <w:rFonts w:ascii="Arial"/>
                <w:sz w:val="18"/>
              </w:rPr>
              <w:t>69,982,469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6" w:right="0"/>
              <w:jc w:val="left"/>
              <w:rPr>
                <w:rFonts w:ascii="Arial" w:hAnsi="Arial" w:cs="Arial" w:eastAsia="Arial" w:hint="default"/>
                <w:sz w:val="18"/>
                <w:szCs w:val="18"/>
              </w:rPr>
            </w:pPr>
            <w:r>
              <w:rPr>
                <w:rFonts w:ascii="Arial"/>
                <w:sz w:val="18"/>
              </w:rPr>
              <w:t>57,065,887</w:t>
            </w:r>
          </w:p>
        </w:tc>
      </w:tr>
      <w:tr>
        <w:trPr>
          <w:trHeight w:val="4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w w:val="95"/>
                <w:sz w:val="18"/>
              </w:rPr>
              <w:t>2,986</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1,164</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2,809,980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1,859,413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403,002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6" w:right="0"/>
              <w:jc w:val="left"/>
              <w:rPr>
                <w:rFonts w:ascii="Arial" w:hAnsi="Arial" w:cs="Arial" w:eastAsia="Arial" w:hint="default"/>
                <w:sz w:val="18"/>
                <w:szCs w:val="18"/>
              </w:rPr>
            </w:pPr>
            <w:r>
              <w:rPr>
                <w:rFonts w:ascii="Arial"/>
                <w:sz w:val="18"/>
              </w:rPr>
              <w:t>483,159</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黑体" w:hAnsi="黑体" w:cs="黑体" w:eastAsia="黑体" w:hint="default"/>
                <w:sz w:val="18"/>
                <w:szCs w:val="18"/>
              </w:rPr>
            </w:pPr>
            <w:r>
              <w:rPr>
                <w:rFonts w:ascii="黑体" w:hAnsi="黑体" w:cs="黑体" w:eastAsia="黑体" w:hint="default"/>
                <w:sz w:val="18"/>
                <w:szCs w:val="18"/>
              </w:rPr>
              <w:t>经营活动现金流入小计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Arial" w:hAnsi="Arial" w:cs="Arial" w:eastAsia="Arial" w:hint="default"/>
                <w:sz w:val="18"/>
                <w:szCs w:val="18"/>
              </w:rPr>
            </w:pPr>
            <w:r>
              <w:rPr>
                <w:rFonts w:ascii="Arial"/>
                <w:spacing w:val="-1"/>
                <w:sz w:val="18"/>
              </w:rPr>
              <w:t>109,891,721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88,671,641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Arial" w:hAnsi="Arial" w:cs="Arial" w:eastAsia="Arial" w:hint="default"/>
                <w:sz w:val="18"/>
                <w:szCs w:val="18"/>
              </w:rPr>
            </w:pPr>
            <w:r>
              <w:rPr>
                <w:rFonts w:ascii="Arial"/>
                <w:sz w:val="18"/>
              </w:rPr>
              <w:t>70,385,471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6" w:right="0"/>
              <w:jc w:val="left"/>
              <w:rPr>
                <w:rFonts w:ascii="Arial" w:hAnsi="Arial" w:cs="Arial" w:eastAsia="Arial" w:hint="default"/>
                <w:sz w:val="18"/>
                <w:szCs w:val="18"/>
              </w:rPr>
            </w:pPr>
            <w:r>
              <w:rPr>
                <w:rFonts w:ascii="Arial"/>
                <w:sz w:val="18"/>
              </w:rPr>
              <w:t>57,549,046</w:t>
            </w:r>
          </w:p>
        </w:tc>
      </w:tr>
      <w:tr>
        <w:trPr>
          <w:trHeight w:val="24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(86,764,974)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(72,265,161)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Arial" w:hAnsi="Arial" w:cs="Arial" w:eastAsia="Arial" w:hint="default"/>
                <w:sz w:val="18"/>
                <w:szCs w:val="18"/>
              </w:rPr>
            </w:pPr>
            <w:r>
              <w:rPr>
                <w:rFonts w:ascii="Arial"/>
                <w:spacing w:val="-1"/>
                <w:sz w:val="18"/>
              </w:rPr>
              <w:t>(63,335,490)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(53,136,940)</w:t>
            </w:r>
          </w:p>
        </w:tc>
      </w:tr>
      <w:tr>
        <w:trPr>
          <w:trHeight w:val="42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60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(3,923,252)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3"/>
                <w:sz w:val="18"/>
              </w:rPr>
              <w:t>(2,369,111)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sz w:val="18"/>
              </w:rPr>
              <w:t>(755,155)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4"/>
              <w:jc w:val="right"/>
              <w:rPr>
                <w:rFonts w:ascii="Arial" w:hAnsi="Arial" w:cs="Arial" w:eastAsia="Arial" w:hint="default"/>
                <w:sz w:val="18"/>
                <w:szCs w:val="18"/>
              </w:rPr>
            </w:pPr>
            <w:r>
              <w:rPr>
                <w:rFonts w:ascii="Arial"/>
                <w:spacing w:val="-1"/>
                <w:sz w:val="18"/>
              </w:rPr>
              <w:t>(367,446)</w:t>
            </w:r>
          </w:p>
        </w:tc>
      </w:tr>
      <w:tr>
        <w:trPr>
          <w:trHeight w:val="42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(4,250,251)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(3,256,178)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(1,343,536)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right"/>
              <w:rPr>
                <w:rFonts w:ascii="Arial" w:hAnsi="Arial" w:cs="Arial" w:eastAsia="Arial" w:hint="default"/>
                <w:sz w:val="18"/>
                <w:szCs w:val="18"/>
              </w:rPr>
            </w:pPr>
            <w:r>
              <w:rPr>
                <w:rFonts w:ascii="Arial"/>
                <w:spacing w:val="-1"/>
                <w:sz w:val="18"/>
              </w:rPr>
              <w:t>(1,402,233)</w:t>
            </w:r>
          </w:p>
        </w:tc>
      </w:tr>
      <w:tr>
        <w:trPr>
          <w:trHeight w:val="4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7"/>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(8,364,724)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(6,899,855)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(2,021,675)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right"/>
              <w:rPr>
                <w:rFonts w:ascii="Arial" w:hAnsi="Arial" w:cs="Arial" w:eastAsia="Arial" w:hint="default"/>
                <w:sz w:val="18"/>
                <w:szCs w:val="18"/>
              </w:rPr>
            </w:pPr>
            <w:r>
              <w:rPr>
                <w:rFonts w:ascii="Arial"/>
                <w:spacing w:val="-1"/>
                <w:sz w:val="18"/>
              </w:rPr>
              <w:t>(1,214,071)</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黑体" w:hAnsi="黑体" w:cs="黑体" w:eastAsia="黑体" w:hint="default"/>
                <w:sz w:val="18"/>
                <w:szCs w:val="18"/>
              </w:rPr>
            </w:pPr>
            <w:r>
              <w:rPr>
                <w:rFonts w:ascii="黑体" w:hAnsi="黑体" w:cs="黑体" w:eastAsia="黑体" w:hint="default"/>
                <w:sz w:val="18"/>
                <w:szCs w:val="18"/>
              </w:rPr>
              <w:t>经营活动现金流出小计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(103,303,201)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(84,790,305)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Arial" w:hAnsi="Arial" w:cs="Arial" w:eastAsia="Arial" w:hint="default"/>
                <w:sz w:val="18"/>
                <w:szCs w:val="18"/>
              </w:rPr>
            </w:pPr>
            <w:r>
              <w:rPr>
                <w:rFonts w:ascii="Arial"/>
                <w:spacing w:val="-1"/>
                <w:sz w:val="18"/>
              </w:rPr>
              <w:t>(67,455,856)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spacing w:val="-1"/>
                <w:sz w:val="18"/>
              </w:rPr>
              <w:t>(56,120,690)</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0"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7"/>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.49</w:t>
            </w:r>
            <w:r>
              <w:rPr>
                <w:rFonts w:ascii="宋体" w:hAnsi="宋体" w:cs="宋体" w:eastAsia="宋体" w:hint="default"/>
                <w:sz w:val="18"/>
                <w:szCs w:val="18"/>
              </w:rPr>
              <w:t>、十三</w:t>
            </w:r>
            <w:r>
              <w:rPr>
                <w:rFonts w:ascii="Arial" w:hAnsi="Arial" w:cs="Arial" w:eastAsia="Arial" w:hint="default"/>
                <w:sz w:val="18"/>
                <w:szCs w:val="18"/>
              </w:rPr>
              <w:t>.6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6,588,520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3,881,336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Arial" w:hAnsi="Arial" w:cs="Arial" w:eastAsia="Arial" w:hint="default"/>
                <w:sz w:val="18"/>
                <w:szCs w:val="18"/>
              </w:rPr>
            </w:pPr>
            <w:r>
              <w:rPr>
                <w:rFonts w:ascii="Arial"/>
                <w:sz w:val="18"/>
              </w:rPr>
              <w:t>2,929,615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5" w:right="0"/>
              <w:jc w:val="left"/>
              <w:rPr>
                <w:rFonts w:ascii="Arial" w:hAnsi="Arial" w:cs="Arial" w:eastAsia="Arial" w:hint="default"/>
                <w:sz w:val="18"/>
                <w:szCs w:val="18"/>
              </w:rPr>
            </w:pPr>
            <w:r>
              <w:rPr>
                <w:rFonts w:ascii="Arial"/>
                <w:sz w:val="18"/>
              </w:rPr>
              <w:t>1,428,356</w:t>
            </w:r>
          </w:p>
        </w:tc>
      </w:tr>
      <w:tr>
        <w:trPr>
          <w:trHeight w:val="216" w:hRule="exact"/>
        </w:trPr>
        <w:tc>
          <w:tcPr>
            <w:tcW w:w="376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黑体" w:hAnsi="黑体" w:cs="黑体" w:eastAsia="黑体" w:hint="default"/>
                <w:sz w:val="18"/>
                <w:szCs w:val="18"/>
              </w:rPr>
            </w:pPr>
            <w:r>
              <w:rPr>
                <w:rFonts w:ascii="黑体" w:hAnsi="黑体" w:cs="黑体" w:eastAsia="黑体" w:hint="default"/>
                <w:sz w:val="18"/>
                <w:szCs w:val="18"/>
              </w:rPr>
              <w:t>二、投资活动产生的现金流量</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700,000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706,070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713"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00" w:right="0"/>
              <w:jc w:val="left"/>
              <w:rPr>
                <w:rFonts w:ascii="宋体" w:hAnsi="宋体" w:cs="宋体" w:eastAsia="宋体" w:hint="default"/>
                <w:sz w:val="18"/>
                <w:szCs w:val="18"/>
              </w:rPr>
            </w:pPr>
            <w:r>
              <w:rPr>
                <w:rFonts w:ascii="宋体" w:hAnsi="宋体" w:cs="宋体" w:eastAsia="宋体" w:hint="default"/>
                <w:spacing w:val="9"/>
                <w:sz w:val="18"/>
                <w:szCs w:val="18"/>
              </w:rPr>
              <w:t>取得子公司及其他营业单位收到的现</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金</w:t>
            </w: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234,459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0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Arial" w:hAnsi="Arial" w:cs="Arial" w:eastAsia="Arial" w:hint="default"/>
                <w:sz w:val="18"/>
                <w:szCs w:val="18"/>
              </w:rPr>
            </w:pPr>
            <w:r>
              <w:rPr>
                <w:rFonts w:ascii="Arial"/>
                <w:spacing w:val="-1"/>
                <w:sz w:val="18"/>
              </w:rPr>
              <w:t>12,000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2"/>
              <w:jc w:val="right"/>
              <w:rPr>
                <w:rFonts w:ascii="Arial" w:hAnsi="Arial" w:cs="Arial" w:eastAsia="Arial" w:hint="default"/>
                <w:sz w:val="18"/>
                <w:szCs w:val="18"/>
              </w:rPr>
            </w:pPr>
            <w:r>
              <w:rPr>
                <w:rFonts w:ascii="Arial"/>
                <w:spacing w:val="-1"/>
                <w:sz w:val="18"/>
              </w:rPr>
              <w:t>32,991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18"/>
                <w:szCs w:val="18"/>
              </w:rPr>
            </w:pPr>
            <w:r>
              <w:rPr>
                <w:rFonts w:ascii="Arial"/>
                <w:spacing w:val="-1"/>
                <w:sz w:val="18"/>
              </w:rPr>
              <w:t>36,768</w:t>
            </w:r>
          </w:p>
        </w:tc>
      </w:tr>
      <w:tr>
        <w:trPr>
          <w:trHeight w:val="42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处置固定资产收回的现金净额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46,527</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2,695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14,205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852" w:right="0"/>
              <w:jc w:val="left"/>
              <w:rPr>
                <w:rFonts w:ascii="黑体" w:hAnsi="黑体" w:cs="黑体" w:eastAsia="黑体" w:hint="default"/>
                <w:sz w:val="18"/>
                <w:szCs w:val="18"/>
              </w:rPr>
            </w:pPr>
            <w:r>
              <w:rPr>
                <w:rFonts w:ascii="黑体" w:hAnsi="黑体" w:cs="黑体" w:eastAsia="黑体" w:hint="default"/>
                <w:sz w:val="18"/>
                <w:szCs w:val="18"/>
              </w:rPr>
              <w:t>投资活动现金流入小计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992,986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5"/>
                <w:sz w:val="18"/>
              </w:rPr>
              <w:t>2,695</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spacing w:val="-1"/>
                <w:sz w:val="18"/>
              </w:rPr>
              <w:t>753,266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36,768</w:t>
            </w:r>
          </w:p>
        </w:tc>
      </w:tr>
      <w:tr>
        <w:trPr>
          <w:trHeight w:val="478"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6"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w:t>
            </w: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2"/>
              <w:jc w:val="right"/>
              <w:rPr>
                <w:rFonts w:ascii="Arial" w:hAnsi="Arial" w:cs="Arial" w:eastAsia="Arial" w:hint="default"/>
                <w:sz w:val="18"/>
                <w:szCs w:val="18"/>
              </w:rPr>
            </w:pPr>
            <w:r>
              <w:rPr>
                <w:rFonts w:ascii="Arial"/>
                <w:spacing w:val="-1"/>
                <w:sz w:val="18"/>
              </w:rPr>
              <w:t>(6,093,596)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2"/>
              <w:jc w:val="right"/>
              <w:rPr>
                <w:rFonts w:ascii="Arial" w:hAnsi="Arial" w:cs="Arial" w:eastAsia="Arial" w:hint="default"/>
                <w:sz w:val="18"/>
                <w:szCs w:val="18"/>
              </w:rPr>
            </w:pPr>
            <w:r>
              <w:rPr>
                <w:rFonts w:ascii="Arial"/>
                <w:spacing w:val="-1"/>
                <w:sz w:val="18"/>
              </w:rPr>
              <w:t>(4,679,732)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(1,072,794)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5"/>
              <w:jc w:val="right"/>
              <w:rPr>
                <w:rFonts w:ascii="Arial" w:hAnsi="Arial" w:cs="Arial" w:eastAsia="Arial" w:hint="default"/>
                <w:sz w:val="18"/>
                <w:szCs w:val="18"/>
              </w:rPr>
            </w:pPr>
            <w:r>
              <w:rPr>
                <w:rFonts w:ascii="Arial"/>
                <w:spacing w:val="-1"/>
                <w:sz w:val="18"/>
              </w:rPr>
              <w:t>(1,094,606)</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处置固定资产支付的现金净额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4"/>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w w:val="95"/>
                <w:sz w:val="18"/>
              </w:rPr>
              <w:t>(532)</w:t>
            </w:r>
            <w:r>
              <w:rPr>
                <w:rFonts w:ascii="Arial"/>
                <w:sz w:val="18"/>
              </w:rPr>
            </w:r>
          </w:p>
        </w:tc>
      </w:tr>
      <w:tr>
        <w:trPr>
          <w:trHeight w:val="42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0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Arial" w:hAnsi="Arial" w:cs="Arial" w:eastAsia="Arial" w:hint="default"/>
                <w:sz w:val="18"/>
                <w:szCs w:val="18"/>
              </w:rPr>
            </w:pPr>
            <w:r>
              <w:rPr>
                <w:rFonts w:ascii="Arial"/>
                <w:spacing w:val="-1"/>
                <w:sz w:val="18"/>
              </w:rPr>
              <w:t>(889,837)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spacing w:val="-1"/>
                <w:sz w:val="18"/>
              </w:rPr>
              <w:t>(983,835)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spacing w:val="-1"/>
                <w:sz w:val="18"/>
              </w:rPr>
              <w:t>(2,237,739)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
              <w:jc w:val="right"/>
              <w:rPr>
                <w:rFonts w:ascii="Arial" w:hAnsi="Arial" w:cs="Arial" w:eastAsia="Arial" w:hint="default"/>
                <w:sz w:val="18"/>
                <w:szCs w:val="18"/>
              </w:rPr>
            </w:pPr>
            <w:r>
              <w:rPr>
                <w:rFonts w:ascii="Arial"/>
                <w:spacing w:val="-1"/>
                <w:sz w:val="18"/>
              </w:rPr>
              <w:t>(2,482,423)</w:t>
            </w:r>
          </w:p>
        </w:tc>
      </w:tr>
      <w:tr>
        <w:trPr>
          <w:trHeight w:val="24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黑体" w:hAnsi="黑体" w:cs="黑体" w:eastAsia="黑体" w:hint="default"/>
                <w:sz w:val="18"/>
                <w:szCs w:val="18"/>
              </w:rPr>
            </w:pPr>
            <w:r>
              <w:rPr>
                <w:rFonts w:ascii="黑体" w:hAnsi="黑体" w:cs="黑体" w:eastAsia="黑体" w:hint="default"/>
                <w:sz w:val="18"/>
                <w:szCs w:val="18"/>
              </w:rPr>
              <w:t>投资活动现金流出小计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(6,983,433)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
              <w:jc w:val="right"/>
              <w:rPr>
                <w:rFonts w:ascii="Arial" w:hAnsi="Arial" w:cs="Arial" w:eastAsia="Arial" w:hint="default"/>
                <w:sz w:val="18"/>
                <w:szCs w:val="18"/>
              </w:rPr>
            </w:pPr>
            <w:r>
              <w:rPr>
                <w:rFonts w:ascii="Arial"/>
                <w:spacing w:val="-1"/>
                <w:sz w:val="18"/>
              </w:rPr>
              <w:t>(5,663,567)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Arial" w:hAnsi="Arial" w:cs="Arial" w:eastAsia="Arial" w:hint="default"/>
                <w:sz w:val="18"/>
                <w:szCs w:val="18"/>
              </w:rPr>
            </w:pPr>
            <w:r>
              <w:rPr>
                <w:rFonts w:ascii="Arial"/>
                <w:spacing w:val="-1"/>
                <w:sz w:val="18"/>
              </w:rPr>
              <w:t>(3,310,533)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(3,577,561)</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0" w:right="0"/>
              <w:jc w:val="left"/>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(5,990,447)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1"/>
              <w:jc w:val="right"/>
              <w:rPr>
                <w:rFonts w:ascii="Arial" w:hAnsi="Arial" w:cs="Arial" w:eastAsia="Arial" w:hint="default"/>
                <w:sz w:val="18"/>
                <w:szCs w:val="18"/>
              </w:rPr>
            </w:pPr>
            <w:r>
              <w:rPr>
                <w:rFonts w:ascii="Arial"/>
                <w:spacing w:val="-1"/>
                <w:sz w:val="18"/>
              </w:rPr>
              <w:t>(5,660,872)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Arial" w:hAnsi="Arial" w:cs="Arial" w:eastAsia="Arial" w:hint="default"/>
                <w:sz w:val="18"/>
                <w:szCs w:val="18"/>
              </w:rPr>
            </w:pPr>
            <w:r>
              <w:rPr>
                <w:rFonts w:ascii="Arial"/>
                <w:spacing w:val="-1"/>
                <w:sz w:val="18"/>
              </w:rPr>
              <w:t>(2,557,267)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5"/>
              <w:jc w:val="right"/>
              <w:rPr>
                <w:rFonts w:ascii="Arial" w:hAnsi="Arial" w:cs="Arial" w:eastAsia="Arial" w:hint="default"/>
                <w:sz w:val="18"/>
                <w:szCs w:val="18"/>
              </w:rPr>
            </w:pPr>
            <w:r>
              <w:rPr>
                <w:rFonts w:ascii="Arial"/>
                <w:spacing w:val="-1"/>
                <w:sz w:val="18"/>
              </w:rPr>
              <w:t>(3,540,793)</w:t>
            </w:r>
          </w:p>
        </w:tc>
      </w:tr>
      <w:tr>
        <w:trPr>
          <w:trHeight w:val="216" w:hRule="exact"/>
        </w:trPr>
        <w:tc>
          <w:tcPr>
            <w:tcW w:w="376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黑体" w:hAnsi="黑体" w:cs="黑体" w:eastAsia="黑体" w:hint="default"/>
                <w:sz w:val="18"/>
                <w:szCs w:val="18"/>
              </w:rPr>
            </w:pPr>
            <w:r>
              <w:rPr>
                <w:rFonts w:ascii="黑体" w:hAnsi="黑体" w:cs="黑体" w:eastAsia="黑体" w:hint="default"/>
                <w:sz w:val="18"/>
                <w:szCs w:val="18"/>
              </w:rPr>
              <w:t>三、筹资活动产生的现金流量</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0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18"/>
                <w:szCs w:val="18"/>
              </w:rPr>
            </w:pPr>
            <w:r>
              <w:rPr>
                <w:rFonts w:ascii="Arial"/>
                <w:spacing w:val="-1"/>
                <w:sz w:val="18"/>
              </w:rPr>
              <w:t>48,138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Arial" w:hAnsi="Arial" w:cs="Arial" w:eastAsia="Arial" w:hint="default"/>
                <w:sz w:val="18"/>
                <w:szCs w:val="18"/>
              </w:rPr>
            </w:pPr>
            <w:r>
              <w:rPr>
                <w:rFonts w:ascii="Arial"/>
                <w:spacing w:val="-1"/>
                <w:sz w:val="18"/>
              </w:rPr>
              <w:t>41,226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0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w:t>
            </w:r>
          </w:p>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48,138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41,226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Arial" w:hAnsi="Arial" w:cs="Arial" w:eastAsia="Arial" w:hint="default"/>
                <w:sz w:val="18"/>
                <w:szCs w:val="18"/>
              </w:rPr>
            </w:pPr>
            <w:r>
              <w:rPr>
                <w:rFonts w:ascii="Arial"/>
                <w:spacing w:val="-1"/>
                <w:sz w:val="18"/>
              </w:rPr>
              <w:t>1,382,313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Arial" w:hAnsi="Arial" w:cs="Arial" w:eastAsia="Arial" w:hint="default"/>
                <w:sz w:val="18"/>
                <w:szCs w:val="18"/>
              </w:rPr>
            </w:pPr>
            <w:r>
              <w:rPr>
                <w:rFonts w:ascii="Arial"/>
                <w:spacing w:val="-1"/>
                <w:sz w:val="18"/>
              </w:rPr>
              <w:t>412,883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772,686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2" w:right="0"/>
              <w:jc w:val="left"/>
              <w:rPr>
                <w:rFonts w:ascii="黑体" w:hAnsi="黑体" w:cs="黑体" w:eastAsia="黑体" w:hint="default"/>
                <w:sz w:val="18"/>
                <w:szCs w:val="18"/>
              </w:rPr>
            </w:pPr>
            <w:r>
              <w:rPr>
                <w:rFonts w:ascii="黑体" w:hAnsi="黑体" w:cs="黑体" w:eastAsia="黑体" w:hint="default"/>
                <w:sz w:val="18"/>
                <w:szCs w:val="18"/>
              </w:rPr>
              <w:t>筹资活动现金流入小计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1,430,451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7"/>
              <w:jc w:val="right"/>
              <w:rPr>
                <w:rFonts w:ascii="Arial" w:hAnsi="Arial" w:cs="Arial" w:eastAsia="Arial" w:hint="default"/>
                <w:sz w:val="18"/>
                <w:szCs w:val="18"/>
              </w:rPr>
            </w:pPr>
            <w:r>
              <w:rPr>
                <w:rFonts w:ascii="Arial"/>
                <w:spacing w:val="-1"/>
                <w:sz w:val="18"/>
              </w:rPr>
              <w:t>454,109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2"/>
              <w:jc w:val="right"/>
              <w:rPr>
                <w:rFonts w:ascii="Arial" w:hAnsi="Arial" w:cs="Arial" w:eastAsia="Arial" w:hint="default"/>
                <w:sz w:val="18"/>
                <w:szCs w:val="18"/>
              </w:rPr>
            </w:pPr>
            <w:r>
              <w:rPr>
                <w:rFonts w:ascii="Arial"/>
                <w:spacing w:val="-1"/>
                <w:sz w:val="18"/>
              </w:rPr>
              <w:t>772,686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spacing w:val="-1"/>
                <w:sz w:val="18"/>
              </w:rPr>
              <w:t>(34,416)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0"/>
              <w:jc w:val="right"/>
              <w:rPr>
                <w:rFonts w:ascii="Arial" w:hAnsi="Arial" w:cs="Arial" w:eastAsia="Arial" w:hint="default"/>
                <w:sz w:val="18"/>
                <w:szCs w:val="18"/>
              </w:rPr>
            </w:pPr>
            <w:r>
              <w:rPr>
                <w:rFonts w:ascii="Arial"/>
                <w:spacing w:val="-1"/>
                <w:sz w:val="18"/>
              </w:rPr>
              <w:t>(95,094)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(716,634)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Arial" w:hAnsi="Arial" w:cs="Arial" w:eastAsia="Arial" w:hint="default"/>
                <w:sz w:val="18"/>
                <w:szCs w:val="18"/>
              </w:rPr>
            </w:pPr>
            <w:r>
              <w:rPr>
                <w:rFonts w:ascii="Arial"/>
                <w:spacing w:val="-1"/>
                <w:sz w:val="18"/>
              </w:rPr>
              <w:t>(235,565)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Arial" w:hAnsi="Arial" w:cs="Arial" w:eastAsia="Arial" w:hint="default"/>
                <w:sz w:val="18"/>
                <w:szCs w:val="18"/>
              </w:rPr>
            </w:pPr>
            <w:r>
              <w:rPr>
                <w:rFonts w:ascii="Arial"/>
                <w:spacing w:val="-1"/>
                <w:sz w:val="18"/>
              </w:rPr>
              <w:t>(700,715)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(233,207)</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2" w:right="0"/>
              <w:jc w:val="left"/>
              <w:rPr>
                <w:rFonts w:ascii="黑体" w:hAnsi="黑体" w:cs="黑体" w:eastAsia="黑体" w:hint="default"/>
                <w:sz w:val="18"/>
                <w:szCs w:val="18"/>
              </w:rPr>
            </w:pPr>
            <w:r>
              <w:rPr>
                <w:rFonts w:ascii="黑体" w:hAnsi="黑体" w:cs="黑体" w:eastAsia="黑体" w:hint="default"/>
                <w:sz w:val="18"/>
                <w:szCs w:val="18"/>
              </w:rPr>
              <w:t>筹资活动现金流出小计</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spacing w:val="-1"/>
                <w:sz w:val="18"/>
              </w:rPr>
              <w:t>(751,050)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
              <w:jc w:val="right"/>
              <w:rPr>
                <w:rFonts w:ascii="Arial" w:hAnsi="Arial" w:cs="Arial" w:eastAsia="Arial" w:hint="default"/>
                <w:sz w:val="18"/>
                <w:szCs w:val="18"/>
              </w:rPr>
            </w:pPr>
            <w:r>
              <w:rPr>
                <w:rFonts w:ascii="Arial"/>
                <w:spacing w:val="-1"/>
                <w:sz w:val="18"/>
              </w:rPr>
              <w:t>(330,659)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Arial" w:hAnsi="Arial" w:cs="Arial" w:eastAsia="Arial" w:hint="default"/>
                <w:sz w:val="18"/>
                <w:szCs w:val="18"/>
              </w:rPr>
            </w:pPr>
            <w:r>
              <w:rPr>
                <w:rFonts w:ascii="Arial"/>
                <w:spacing w:val="-1"/>
                <w:sz w:val="18"/>
              </w:rPr>
              <w:t>(700,715)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spacing w:val="-1"/>
                <w:sz w:val="18"/>
              </w:rPr>
              <w:t>(233,207)</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0" w:right="0"/>
              <w:jc w:val="lef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679,401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7"/>
              <w:jc w:val="right"/>
              <w:rPr>
                <w:rFonts w:ascii="Arial" w:hAnsi="Arial" w:cs="Arial" w:eastAsia="Arial" w:hint="default"/>
                <w:sz w:val="18"/>
                <w:szCs w:val="18"/>
              </w:rPr>
            </w:pPr>
            <w:r>
              <w:rPr>
                <w:rFonts w:ascii="Arial"/>
                <w:spacing w:val="-1"/>
                <w:sz w:val="18"/>
              </w:rPr>
              <w:t>123,450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71,971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(233,207)</w:t>
            </w:r>
          </w:p>
        </w:tc>
      </w:tr>
      <w:tr>
        <w:trPr>
          <w:trHeight w:val="216" w:hRule="exact"/>
        </w:trPr>
        <w:tc>
          <w:tcPr>
            <w:tcW w:w="376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黑体" w:hAnsi="黑体" w:cs="黑体" w:eastAsia="黑体" w:hint="default"/>
                <w:sz w:val="18"/>
                <w:szCs w:val="18"/>
              </w:rPr>
            </w:pPr>
            <w:r>
              <w:rPr>
                <w:rFonts w:ascii="黑体" w:hAnsi="黑体" w:cs="黑体" w:eastAsia="黑体" w:hint="default"/>
                <w:sz w:val="18"/>
                <w:szCs w:val="18"/>
              </w:rPr>
              <w:t>四、汇率变动对现金及现金等价物的影响</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sz w:val="18"/>
              </w:rPr>
              <w:t>(4,781)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5"/>
                <w:sz w:val="18"/>
              </w:rPr>
              <w:t>7,523</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1"/>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0"/>
              <w:jc w:val="right"/>
              <w:rPr>
                <w:rFonts w:ascii="Arial" w:hAnsi="Arial" w:cs="Arial" w:eastAsia="Arial" w:hint="default"/>
                <w:sz w:val="18"/>
                <w:szCs w:val="18"/>
              </w:rPr>
            </w:pPr>
            <w:r>
              <w:rPr>
                <w:rFonts w:ascii="Arial"/>
                <w:w w:val="99"/>
                <w:sz w:val="18"/>
              </w:rPr>
              <w:t>-</w:t>
            </w:r>
            <w:r>
              <w:rPr>
                <w:rFonts w:ascii="Arial"/>
                <w:sz w:val="18"/>
              </w:rPr>
            </w:r>
          </w:p>
        </w:tc>
      </w:tr>
      <w:tr>
        <w:trPr>
          <w:trHeight w:val="216" w:hRule="exact"/>
        </w:trPr>
        <w:tc>
          <w:tcPr>
            <w:tcW w:w="376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6"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w:t>
            </w:r>
            <w:r>
              <w:rPr>
                <w:rFonts w:ascii="Arial" w:hAnsi="Arial" w:cs="Arial" w:eastAsia="Arial" w:hint="default"/>
                <w:sz w:val="18"/>
                <w:szCs w:val="18"/>
              </w:rPr>
              <w:t>/(</w:t>
            </w:r>
            <w:r>
              <w:rPr>
                <w:rFonts w:ascii="黑体" w:hAnsi="黑体" w:cs="黑体" w:eastAsia="黑体" w:hint="default"/>
                <w:sz w:val="18"/>
                <w:szCs w:val="18"/>
              </w:rPr>
              <w:t>减少</w:t>
            </w:r>
            <w:r>
              <w:rPr>
                <w:rFonts w:ascii="Arial" w:hAnsi="Arial" w:cs="Arial" w:eastAsia="Arial" w:hint="default"/>
                <w:sz w:val="18"/>
                <w:szCs w:val="18"/>
              </w:rPr>
              <w:t>)</w:t>
            </w:r>
            <w:r>
              <w:rPr>
                <w:rFonts w:ascii="黑体" w:hAnsi="黑体" w:cs="黑体" w:eastAsia="黑体" w:hint="default"/>
                <w:sz w:val="18"/>
                <w:szCs w:val="18"/>
              </w:rPr>
              <w:t>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7"/>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.49</w:t>
            </w:r>
            <w:r>
              <w:rPr>
                <w:rFonts w:ascii="宋体" w:hAnsi="宋体" w:cs="宋体" w:eastAsia="宋体" w:hint="default"/>
                <w:sz w:val="18"/>
                <w:szCs w:val="18"/>
              </w:rPr>
              <w:t>、十三</w:t>
            </w:r>
            <w:r>
              <w:rPr>
                <w:rFonts w:ascii="Arial" w:hAnsi="Arial" w:cs="Arial" w:eastAsia="Arial" w:hint="default"/>
                <w:sz w:val="18"/>
                <w:szCs w:val="18"/>
              </w:rPr>
              <w:t>.6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1,272,693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(1,648,563)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2"/>
              <w:jc w:val="right"/>
              <w:rPr>
                <w:rFonts w:ascii="Arial" w:hAnsi="Arial" w:cs="Arial" w:eastAsia="Arial" w:hint="default"/>
                <w:sz w:val="18"/>
                <w:szCs w:val="18"/>
              </w:rPr>
            </w:pPr>
            <w:r>
              <w:rPr>
                <w:rFonts w:ascii="Arial"/>
                <w:spacing w:val="-1"/>
                <w:sz w:val="18"/>
              </w:rPr>
              <w:t>444,319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spacing w:val="-1"/>
                <w:sz w:val="18"/>
              </w:rPr>
              <w:t>(2,345,644)</w:t>
            </w: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70"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18"/>
                <w:szCs w:val="18"/>
              </w:rPr>
            </w:pPr>
            <w:r>
              <w:rPr>
                <w:rFonts w:ascii="Arial"/>
                <w:spacing w:val="-2"/>
                <w:sz w:val="18"/>
              </w:rPr>
              <w:t>11,676,465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Arial" w:hAnsi="Arial" w:cs="Arial" w:eastAsia="Arial" w:hint="default"/>
                <w:sz w:val="18"/>
                <w:szCs w:val="18"/>
              </w:rPr>
            </w:pPr>
            <w:r>
              <w:rPr>
                <w:rFonts w:ascii="Arial"/>
                <w:spacing w:val="-1"/>
                <w:sz w:val="18"/>
              </w:rPr>
              <w:t>13,325,028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04" w:right="0"/>
              <w:jc w:val="left"/>
              <w:rPr>
                <w:rFonts w:ascii="Arial" w:hAnsi="Arial" w:cs="Arial" w:eastAsia="Arial" w:hint="default"/>
                <w:sz w:val="18"/>
                <w:szCs w:val="18"/>
              </w:rPr>
            </w:pPr>
            <w:r>
              <w:rPr>
                <w:rFonts w:ascii="Arial"/>
                <w:sz w:val="18"/>
              </w:rPr>
              <w:t>8,181,699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Arial" w:hAnsi="Arial" w:cs="Arial" w:eastAsia="Arial" w:hint="default"/>
                <w:sz w:val="18"/>
                <w:szCs w:val="18"/>
              </w:rPr>
            </w:pPr>
            <w:r>
              <w:rPr>
                <w:rFonts w:ascii="Arial"/>
                <w:sz w:val="18"/>
              </w:rPr>
              <w:t>10,527,343</w:t>
            </w:r>
          </w:p>
        </w:tc>
      </w:tr>
      <w:tr>
        <w:trPr>
          <w:trHeight w:val="216" w:hRule="exact"/>
        </w:trPr>
        <w:tc>
          <w:tcPr>
            <w:tcW w:w="376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12,949,158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2"/>
                <w:sz w:val="18"/>
              </w:rPr>
              <w:t>11,676,465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Arial" w:hAnsi="Arial" w:cs="Arial" w:eastAsia="Arial" w:hint="default"/>
                <w:sz w:val="18"/>
                <w:szCs w:val="18"/>
              </w:rPr>
            </w:pPr>
            <w:r>
              <w:rPr>
                <w:rFonts w:ascii="Arial"/>
                <w:sz w:val="18"/>
              </w:rPr>
              <w:t>8,626,018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5" w:right="0"/>
              <w:jc w:val="left"/>
              <w:rPr>
                <w:rFonts w:ascii="Arial" w:hAnsi="Arial" w:cs="Arial" w:eastAsia="Arial" w:hint="default"/>
                <w:sz w:val="18"/>
                <w:szCs w:val="18"/>
              </w:rPr>
            </w:pPr>
            <w:r>
              <w:rPr>
                <w:rFonts w:ascii="Arial"/>
                <w:sz w:val="18"/>
              </w:rPr>
              <w:t>8,181,699</w:t>
            </w:r>
          </w:p>
        </w:tc>
      </w:tr>
    </w:tbl>
    <w:p>
      <w:pPr>
        <w:spacing w:line="240" w:lineRule="auto" w:before="13"/>
        <w:rPr>
          <w:rFonts w:ascii="宋体" w:hAnsi="宋体" w:cs="宋体" w:eastAsia="宋体" w:hint="default"/>
          <w:sz w:val="12"/>
          <w:szCs w:val="12"/>
        </w:rPr>
      </w:pPr>
    </w:p>
    <w:p>
      <w:pPr>
        <w:spacing w:before="36"/>
        <w:ind w:left="668"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6"/>
        <w:rPr>
          <w:rFonts w:ascii="宋体" w:hAnsi="宋体" w:cs="宋体" w:eastAsia="宋体" w:hint="default"/>
          <w:sz w:val="18"/>
          <w:szCs w:val="18"/>
        </w:rPr>
      </w:pPr>
    </w:p>
    <w:p>
      <w:pPr>
        <w:tabs>
          <w:tab w:pos="3505" w:val="left" w:leader="none"/>
          <w:tab w:pos="7077" w:val="left" w:leader="none"/>
        </w:tabs>
        <w:spacing w:before="0"/>
        <w:ind w:left="668" w:right="0" w:firstLine="0"/>
        <w:jc w:val="left"/>
        <w:rPr>
          <w:rFonts w:ascii="宋体" w:hAnsi="宋体" w:cs="宋体" w:eastAsia="宋体" w:hint="default"/>
          <w:sz w:val="21"/>
          <w:szCs w:val="21"/>
        </w:rPr>
      </w:pPr>
      <w:r>
        <w:rPr>
          <w:rFonts w:ascii="宋体" w:hAnsi="宋体" w:cs="宋体" w:eastAsia="宋体" w:hint="default"/>
          <w:sz w:val="21"/>
          <w:szCs w:val="21"/>
        </w:rPr>
        <w:t>企业负责人：</w:t>
      </w:r>
      <w:r>
        <w:rPr>
          <w:rFonts w:ascii="宋体" w:hAnsi="宋体" w:cs="宋体" w:eastAsia="宋体" w:hint="default"/>
          <w:spacing w:val="-2"/>
          <w:sz w:val="21"/>
          <w:szCs w:val="21"/>
        </w:rPr>
        <w:t> </w:t>
      </w:r>
      <w:r>
        <w:rPr>
          <w:rFonts w:ascii="宋体" w:hAnsi="宋体" w:cs="宋体" w:eastAsia="宋体" w:hint="default"/>
          <w:sz w:val="21"/>
          <w:szCs w:val="21"/>
        </w:rPr>
        <w:t>张近东</w:t>
        <w:tab/>
        <w:t>主管会计工作的负责人：</w:t>
      </w:r>
      <w:r>
        <w:rPr>
          <w:rFonts w:ascii="宋体" w:hAnsi="宋体" w:cs="宋体" w:eastAsia="宋体" w:hint="default"/>
          <w:spacing w:val="-2"/>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70"/>
          <w:pgSz w:w="11910" w:h="16840"/>
          <w:pgMar w:header="754" w:footer="881" w:top="2000" w:bottom="1080" w:left="1060" w:right="0"/>
        </w:sectPr>
      </w:pPr>
    </w:p>
    <w:p>
      <w:pPr>
        <w:spacing w:line="240" w:lineRule="auto" w:before="4"/>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502"/>
        <w:gridCol w:w="936"/>
        <w:gridCol w:w="900"/>
        <w:gridCol w:w="1095"/>
        <w:gridCol w:w="914"/>
        <w:gridCol w:w="994"/>
        <w:gridCol w:w="727"/>
        <w:gridCol w:w="864"/>
        <w:gridCol w:w="932"/>
      </w:tblGrid>
      <w:tr>
        <w:trPr>
          <w:trHeight w:val="245" w:hRule="exact"/>
        </w:trPr>
        <w:tc>
          <w:tcPr>
            <w:tcW w:w="25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1608" w:val="left" w:leader="none"/>
              </w:tabs>
              <w:spacing w:line="240" w:lineRule="auto"/>
              <w:ind w:left="706"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8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46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55" w:right="1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83" w:right="96" w:hanging="180"/>
              <w:jc w:val="left"/>
              <w:rPr>
                <w:rFonts w:ascii="宋体" w:hAnsi="宋体" w:cs="宋体" w:eastAsia="宋体" w:hint="default"/>
                <w:sz w:val="18"/>
                <w:szCs w:val="18"/>
              </w:rPr>
            </w:pPr>
            <w:r>
              <w:rPr>
                <w:rFonts w:ascii="宋体" w:hAnsi="宋体" w:cs="宋体" w:eastAsia="宋体" w:hint="default"/>
                <w:sz w:val="18"/>
                <w:szCs w:val="18"/>
              </w:rPr>
              <w:t>股东权益 合计</w:t>
            </w:r>
          </w:p>
        </w:tc>
      </w:tr>
      <w:tr>
        <w:trPr>
          <w:trHeight w:val="710" w:hRule="exact"/>
        </w:trPr>
        <w:tc>
          <w:tcPr>
            <w:tcW w:w="2502"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外币报</w:t>
            </w:r>
          </w:p>
          <w:p>
            <w:pPr>
              <w:pStyle w:val="TableParagraph"/>
              <w:spacing w:line="240" w:lineRule="auto"/>
              <w:ind w:left="168" w:right="96" w:hanging="89"/>
              <w:jc w:val="left"/>
              <w:rPr>
                <w:rFonts w:ascii="宋体" w:hAnsi="宋体" w:cs="宋体" w:eastAsia="宋体" w:hint="default"/>
                <w:sz w:val="18"/>
                <w:szCs w:val="18"/>
              </w:rPr>
            </w:pPr>
            <w:r>
              <w:rPr>
                <w:rFonts w:ascii="宋体" w:hAnsi="宋体" w:cs="宋体" w:eastAsia="宋体" w:hint="default"/>
                <w:sz w:val="18"/>
                <w:szCs w:val="18"/>
              </w:rPr>
              <w:t>表折算 差额</w:t>
            </w:r>
          </w:p>
        </w:tc>
        <w:tc>
          <w:tcPr>
            <w:tcW w:w="86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日年初余额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spacing w:val="-1"/>
                <w:sz w:val="18"/>
              </w:rPr>
              <w:t>4,664,141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4"/>
              <w:jc w:val="right"/>
              <w:rPr>
                <w:rFonts w:ascii="Arial" w:hAnsi="Arial" w:cs="Arial" w:eastAsia="Arial" w:hint="default"/>
                <w:sz w:val="18"/>
                <w:szCs w:val="18"/>
              </w:rPr>
            </w:pPr>
            <w:r>
              <w:rPr>
                <w:rFonts w:ascii="Arial"/>
                <w:spacing w:val="-1"/>
                <w:sz w:val="18"/>
              </w:rPr>
              <w:t>2,975,652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right"/>
              <w:rPr>
                <w:rFonts w:ascii="Arial" w:hAnsi="Arial" w:cs="Arial" w:eastAsia="Arial" w:hint="default"/>
                <w:sz w:val="18"/>
                <w:szCs w:val="18"/>
              </w:rPr>
            </w:pPr>
            <w:r>
              <w:rPr>
                <w:rFonts w:ascii="Arial"/>
                <w:spacing w:val="-1"/>
                <w:sz w:val="18"/>
              </w:rPr>
              <w:t>517,465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9"/>
              <w:jc w:val="right"/>
              <w:rPr>
                <w:rFonts w:ascii="Arial" w:hAnsi="Arial" w:cs="Arial" w:eastAsia="Arial" w:hint="default"/>
                <w:sz w:val="18"/>
                <w:szCs w:val="18"/>
              </w:rPr>
            </w:pPr>
            <w:r>
              <w:rPr>
                <w:rFonts w:ascii="Arial"/>
                <w:spacing w:val="-1"/>
                <w:sz w:val="18"/>
              </w:rPr>
              <w:t>6,383,317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8"/>
                <w:szCs w:val="18"/>
              </w:rPr>
            </w:pPr>
            <w:r>
              <w:rPr>
                <w:rFonts w:ascii="Arial"/>
                <w:w w:val="95"/>
                <w:sz w:val="18"/>
              </w:rPr>
              <w:t>(229)</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Arial" w:hAnsi="Arial" w:cs="Arial" w:eastAsia="Arial" w:hint="default"/>
                <w:sz w:val="18"/>
                <w:szCs w:val="18"/>
              </w:rPr>
            </w:pPr>
            <w:r>
              <w:rPr>
                <w:rFonts w:ascii="Arial"/>
                <w:sz w:val="18"/>
              </w:rPr>
              <w:t>384,637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
              <w:jc w:val="right"/>
              <w:rPr>
                <w:rFonts w:ascii="Arial" w:hAnsi="Arial" w:cs="Arial" w:eastAsia="Arial" w:hint="default"/>
                <w:sz w:val="18"/>
                <w:szCs w:val="18"/>
              </w:rPr>
            </w:pPr>
            <w:r>
              <w:rPr>
                <w:rFonts w:ascii="Arial"/>
                <w:spacing w:val="-9"/>
                <w:sz w:val="18"/>
              </w:rPr>
              <w:t>14,924,983</w:t>
            </w:r>
          </w:p>
        </w:tc>
      </w:tr>
      <w:tr>
        <w:trPr>
          <w:trHeight w:val="216"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黑体" w:hAnsi="黑体" w:cs="黑体" w:eastAsia="黑体" w:hint="default"/>
                <w:sz w:val="18"/>
                <w:szCs w:val="18"/>
              </w:rPr>
              <w:t>年度增减变动额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2"/>
                <w:sz w:val="18"/>
              </w:rPr>
              <w:t>4,011,820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93,688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Arial" w:hAnsi="Arial" w:cs="Arial" w:eastAsia="Arial" w:hint="default"/>
                <w:sz w:val="18"/>
                <w:szCs w:val="18"/>
              </w:rPr>
            </w:pPr>
            <w:r>
              <w:rPr>
                <w:rFonts w:ascii="Arial"/>
                <w:spacing w:val="-1"/>
                <w:sz w:val="18"/>
              </w:rPr>
              <w:t>4,105,508</w:t>
            </w:r>
          </w:p>
        </w:tc>
      </w:tr>
      <w:tr>
        <w:trPr>
          <w:trHeight w:val="243"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9"/>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8" w:right="0"/>
              <w:jc w:val="left"/>
              <w:rPr>
                <w:rFonts w:ascii="Arial" w:hAnsi="Arial" w:cs="Arial" w:eastAsia="Arial" w:hint="default"/>
                <w:sz w:val="18"/>
                <w:szCs w:val="18"/>
              </w:rPr>
            </w:pPr>
            <w:r>
              <w:rPr>
                <w:rFonts w:ascii="Arial"/>
                <w:sz w:val="18"/>
              </w:rPr>
              <w:t>7,523</w:t>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9"/>
              <w:jc w:val="right"/>
              <w:rPr>
                <w:rFonts w:ascii="Arial" w:hAnsi="Arial" w:cs="Arial" w:eastAsia="Arial" w:hint="default"/>
                <w:sz w:val="18"/>
                <w:szCs w:val="18"/>
              </w:rPr>
            </w:pPr>
            <w:r>
              <w:rPr>
                <w:rFonts w:ascii="Arial"/>
                <w:w w:val="95"/>
                <w:sz w:val="18"/>
              </w:rPr>
              <w:t>7,523</w:t>
            </w:r>
            <w:r>
              <w:rPr>
                <w:rFonts w:ascii="Arial"/>
                <w:sz w:val="18"/>
              </w:rPr>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80"/>
              <w:jc w:val="righ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right"/>
              <w:rPr>
                <w:rFonts w:ascii="Arial" w:hAnsi="Arial" w:cs="Arial" w:eastAsia="Arial" w:hint="default"/>
                <w:sz w:val="18"/>
                <w:szCs w:val="18"/>
              </w:rPr>
            </w:pPr>
            <w:r>
              <w:rPr>
                <w:rFonts w:ascii="Arial"/>
                <w:spacing w:val="-1"/>
                <w:sz w:val="18"/>
              </w:rPr>
              <w:t>14,543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right"/>
              <w:rPr>
                <w:rFonts w:ascii="Arial" w:hAnsi="Arial" w:cs="Arial" w:eastAsia="Arial" w:hint="default"/>
                <w:sz w:val="18"/>
                <w:szCs w:val="18"/>
              </w:rPr>
            </w:pPr>
            <w:r>
              <w:rPr>
                <w:rFonts w:ascii="Arial"/>
                <w:spacing w:val="-1"/>
                <w:sz w:val="18"/>
              </w:rPr>
              <w:t>14,543</w:t>
            </w: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9"/>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41,226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9"/>
              <w:jc w:val="right"/>
              <w:rPr>
                <w:rFonts w:ascii="Arial" w:hAnsi="Arial" w:cs="Arial" w:eastAsia="Arial" w:hint="default"/>
                <w:sz w:val="18"/>
                <w:szCs w:val="18"/>
              </w:rPr>
            </w:pPr>
            <w:r>
              <w:rPr>
                <w:rFonts w:ascii="Arial"/>
                <w:spacing w:val="-1"/>
                <w:sz w:val="18"/>
              </w:rPr>
              <w:t>41,226</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Arial" w:hAnsi="Arial" w:cs="Arial" w:eastAsia="Arial" w:hint="default"/>
                <w:sz w:val="18"/>
                <w:szCs w:val="18"/>
              </w:rPr>
            </w:pPr>
            <w:r>
              <w:rPr>
                <w:rFonts w:ascii="Arial"/>
                <w:w w:val="95"/>
                <w:sz w:val="18"/>
              </w:rPr>
              <w:t>(2,836)</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Arial" w:hAnsi="Arial" w:cs="Arial" w:eastAsia="Arial" w:hint="default"/>
                <w:sz w:val="18"/>
                <w:szCs w:val="18"/>
              </w:rPr>
            </w:pPr>
            <w:r>
              <w:rPr>
                <w:rFonts w:ascii="Arial"/>
                <w:w w:val="95"/>
                <w:sz w:val="18"/>
              </w:rPr>
              <w:t>(2,077)</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
              <w:jc w:val="right"/>
              <w:rPr>
                <w:rFonts w:ascii="Arial" w:hAnsi="Arial" w:cs="Arial" w:eastAsia="Arial" w:hint="default"/>
                <w:sz w:val="18"/>
                <w:szCs w:val="18"/>
              </w:rPr>
            </w:pPr>
            <w:r>
              <w:rPr>
                <w:rFonts w:ascii="Arial"/>
                <w:w w:val="95"/>
                <w:sz w:val="18"/>
              </w:rPr>
              <w:t>(4,913)</w:t>
            </w:r>
            <w:r>
              <w:rPr>
                <w:rFonts w:ascii="Arial"/>
                <w:sz w:val="18"/>
              </w:rPr>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229,064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
              <w:jc w:val="right"/>
              <w:rPr>
                <w:rFonts w:ascii="Arial" w:hAnsi="Arial" w:cs="Arial" w:eastAsia="Arial" w:hint="default"/>
                <w:sz w:val="18"/>
                <w:szCs w:val="18"/>
              </w:rPr>
            </w:pPr>
            <w:r>
              <w:rPr>
                <w:rFonts w:ascii="Arial"/>
                <w:spacing w:val="-1"/>
                <w:sz w:val="18"/>
              </w:rPr>
              <w:t>(229,064)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6"/>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Arial" w:hAnsi="Arial" w:cs="Arial" w:eastAsia="Arial" w:hint="default"/>
                <w:sz w:val="18"/>
                <w:szCs w:val="18"/>
              </w:rPr>
            </w:pPr>
            <w:r>
              <w:rPr>
                <w:rFonts w:ascii="Arial"/>
                <w:spacing w:val="-1"/>
                <w:sz w:val="18"/>
              </w:rPr>
              <w:t>(233,207)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Arial" w:hAnsi="Arial" w:cs="Arial" w:eastAsia="Arial" w:hint="default"/>
                <w:sz w:val="18"/>
                <w:szCs w:val="18"/>
              </w:rPr>
            </w:pPr>
            <w:r>
              <w:rPr>
                <w:rFonts w:ascii="Arial"/>
                <w:spacing w:val="-1"/>
                <w:sz w:val="18"/>
              </w:rPr>
              <w:t>(10,272)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Arial" w:hAnsi="Arial" w:cs="Arial" w:eastAsia="Arial" w:hint="default"/>
                <w:sz w:val="18"/>
                <w:szCs w:val="18"/>
              </w:rPr>
            </w:pPr>
            <w:r>
              <w:rPr>
                <w:rFonts w:ascii="Arial"/>
                <w:spacing w:val="-1"/>
                <w:sz w:val="18"/>
              </w:rPr>
              <w:t>(243,479)</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2,332,071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Arial" w:hAnsi="Arial" w:cs="Arial" w:eastAsia="Arial" w:hint="default"/>
                <w:sz w:val="18"/>
                <w:szCs w:val="18"/>
              </w:rPr>
            </w:pPr>
            <w:r>
              <w:rPr>
                <w:rFonts w:ascii="Arial"/>
                <w:spacing w:val="-1"/>
                <w:sz w:val="18"/>
              </w:rPr>
              <w:t>(2,332,071)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6"/>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218"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黑体" w:hAnsi="黑体" w:cs="黑体" w:eastAsia="黑体" w:hint="default"/>
                <w:sz w:val="18"/>
                <w:szCs w:val="18"/>
              </w:rPr>
              <w:t>月</w:t>
            </w:r>
            <w:r>
              <w:rPr>
                <w:rFonts w:ascii="黑体" w:hAnsi="黑体" w:cs="黑体" w:eastAsia="黑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黑体" w:hAnsi="黑体" w:cs="黑体" w:eastAsia="黑体" w:hint="default"/>
                <w:sz w:val="18"/>
                <w:szCs w:val="18"/>
              </w:rPr>
              <w:t>日年末余额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right"/>
              <w:rPr>
                <w:rFonts w:ascii="Arial" w:hAnsi="Arial" w:cs="Arial" w:eastAsia="Arial" w:hint="default"/>
                <w:sz w:val="18"/>
                <w:szCs w:val="18"/>
              </w:rPr>
            </w:pPr>
            <w:r>
              <w:rPr>
                <w:rFonts w:ascii="Arial"/>
                <w:spacing w:val="-1"/>
                <w:sz w:val="18"/>
              </w:rPr>
              <w:t>6,996,212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spacing w:val="-1"/>
                <w:sz w:val="18"/>
              </w:rPr>
              <w:t>655,288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746,529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1"/>
                <w:sz w:val="18"/>
              </w:rPr>
              <w:t>9,932,866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Arial" w:hAnsi="Arial" w:cs="Arial" w:eastAsia="Arial" w:hint="default"/>
                <w:sz w:val="18"/>
                <w:szCs w:val="18"/>
              </w:rPr>
            </w:pPr>
            <w:r>
              <w:rPr>
                <w:rFonts w:ascii="Arial"/>
                <w:sz w:val="18"/>
              </w:rPr>
              <w:t>7,294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507,202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0"/>
                <w:sz w:val="18"/>
              </w:rPr>
              <w:t>18,845,391</w:t>
            </w:r>
          </w:p>
        </w:tc>
      </w:tr>
      <w:tr>
        <w:trPr>
          <w:trHeight w:val="219"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日年初余额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6,996,212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4"/>
              <w:jc w:val="right"/>
              <w:rPr>
                <w:rFonts w:ascii="Arial" w:hAnsi="Arial" w:cs="Arial" w:eastAsia="Arial" w:hint="default"/>
                <w:sz w:val="18"/>
                <w:szCs w:val="18"/>
              </w:rPr>
            </w:pPr>
            <w:r>
              <w:rPr>
                <w:rFonts w:ascii="Arial"/>
                <w:spacing w:val="-1"/>
                <w:sz w:val="18"/>
              </w:rPr>
              <w:t>655,288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746,529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1"/>
                <w:sz w:val="18"/>
              </w:rPr>
              <w:t>9,932,866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1" w:right="0"/>
              <w:jc w:val="left"/>
              <w:rPr>
                <w:rFonts w:ascii="Arial" w:hAnsi="Arial" w:cs="Arial" w:eastAsia="Arial" w:hint="default"/>
                <w:sz w:val="18"/>
                <w:szCs w:val="18"/>
              </w:rPr>
            </w:pPr>
            <w:r>
              <w:rPr>
                <w:rFonts w:ascii="Arial"/>
                <w:sz w:val="18"/>
              </w:rPr>
              <w:t>7,294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507,202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0"/>
                <w:sz w:val="18"/>
              </w:rPr>
              <w:t>18,845,391</w:t>
            </w:r>
          </w:p>
        </w:tc>
      </w:tr>
      <w:tr>
        <w:trPr>
          <w:trHeight w:val="218"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黑体" w:hAnsi="黑体" w:cs="黑体" w:eastAsia="黑体" w:hint="default"/>
                <w:sz w:val="18"/>
                <w:szCs w:val="18"/>
              </w:rPr>
              <w:t>年度增减变动额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9"/>
              <w:jc w:val="right"/>
              <w:rPr>
                <w:rFonts w:ascii="Arial" w:hAnsi="Arial" w:cs="Arial" w:eastAsia="Arial" w:hint="default"/>
                <w:sz w:val="18"/>
                <w:szCs w:val="18"/>
              </w:rPr>
            </w:pPr>
            <w:r>
              <w:rPr>
                <w:rFonts w:ascii="Arial"/>
                <w:spacing w:val="-1"/>
                <w:sz w:val="18"/>
              </w:rPr>
              <w:t>4,820,594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65,412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0"/>
              <w:jc w:val="right"/>
              <w:rPr>
                <w:rFonts w:ascii="Arial" w:hAnsi="Arial" w:cs="Arial" w:eastAsia="Arial" w:hint="default"/>
                <w:sz w:val="18"/>
                <w:szCs w:val="18"/>
              </w:rPr>
            </w:pPr>
            <w:r>
              <w:rPr>
                <w:rFonts w:ascii="Arial"/>
                <w:spacing w:val="-1"/>
                <w:sz w:val="18"/>
              </w:rPr>
              <w:t>4,886,006</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73" w:right="0"/>
              <w:jc w:val="left"/>
              <w:rPr>
                <w:rFonts w:ascii="Arial" w:hAnsi="Arial" w:cs="Arial" w:eastAsia="Arial" w:hint="default"/>
                <w:sz w:val="18"/>
                <w:szCs w:val="18"/>
              </w:rPr>
            </w:pPr>
            <w:r>
              <w:rPr>
                <w:rFonts w:ascii="宋体" w:hAnsi="宋体" w:cs="宋体" w:eastAsia="宋体" w:hint="default"/>
                <w:spacing w:val="-14"/>
                <w:sz w:val="18"/>
                <w:szCs w:val="18"/>
              </w:rPr>
              <w:t>五</w:t>
            </w:r>
            <w:r>
              <w:rPr>
                <w:rFonts w:ascii="Arial" w:hAnsi="Arial" w:cs="Arial" w:eastAsia="Arial" w:hint="default"/>
                <w:spacing w:val="-14"/>
                <w:sz w:val="18"/>
                <w:szCs w:val="18"/>
              </w:rPr>
              <w:t>.47</w:t>
            </w:r>
            <w:r>
              <w:rPr>
                <w:rFonts w:ascii="Arial" w:hAnsi="Arial" w:cs="Arial" w:eastAsia="Arial"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3"/>
              <w:jc w:val="right"/>
              <w:rPr>
                <w:rFonts w:ascii="Arial" w:hAnsi="Arial" w:cs="Arial" w:eastAsia="Arial" w:hint="default"/>
                <w:sz w:val="18"/>
                <w:szCs w:val="18"/>
              </w:rPr>
            </w:pPr>
            <w:r>
              <w:rPr>
                <w:rFonts w:ascii="Arial"/>
                <w:w w:val="95"/>
                <w:sz w:val="18"/>
              </w:rPr>
              <w:t>387</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Arial" w:hAnsi="Arial" w:cs="Arial" w:eastAsia="Arial" w:hint="default"/>
                <w:sz w:val="18"/>
                <w:szCs w:val="18"/>
              </w:rPr>
            </w:pPr>
            <w:r>
              <w:rPr>
                <w:rFonts w:ascii="Arial"/>
                <w:sz w:val="18"/>
              </w:rPr>
              <w:t>7,386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Arial" w:hAnsi="Arial" w:cs="Arial" w:eastAsia="Arial" w:hint="default"/>
                <w:sz w:val="18"/>
                <w:szCs w:val="18"/>
              </w:rPr>
            </w:pPr>
            <w:r>
              <w:rPr>
                <w:rFonts w:ascii="Arial"/>
                <w:spacing w:val="-2"/>
                <w:sz w:val="18"/>
              </w:rPr>
              <w:t>(11,794)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Arial" w:hAnsi="Arial" w:cs="Arial" w:eastAsia="Arial" w:hint="default"/>
                <w:sz w:val="18"/>
                <w:szCs w:val="18"/>
              </w:rPr>
            </w:pPr>
            <w:r>
              <w:rPr>
                <w:rFonts w:ascii="Arial"/>
                <w:w w:val="95"/>
                <w:sz w:val="18"/>
              </w:rPr>
              <w:t>(4,021)</w:t>
            </w:r>
            <w:r>
              <w:rPr>
                <w:rFonts w:ascii="Arial"/>
                <w:sz w:val="18"/>
              </w:rPr>
            </w: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3"/>
              <w:jc w:val="righ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73" w:right="0"/>
              <w:jc w:val="left"/>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6"/>
              <w:jc w:val="right"/>
              <w:rPr>
                <w:rFonts w:ascii="Arial" w:hAnsi="Arial" w:cs="Arial" w:eastAsia="Arial" w:hint="default"/>
                <w:sz w:val="18"/>
                <w:szCs w:val="18"/>
              </w:rPr>
            </w:pPr>
            <w:r>
              <w:rPr>
                <w:rFonts w:ascii="Arial"/>
                <w:spacing w:val="-1"/>
                <w:sz w:val="18"/>
              </w:rPr>
              <w:t>169,665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spacing w:val="-1"/>
                <w:sz w:val="18"/>
              </w:rPr>
              <w:t>169,665</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48,138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9"/>
              <w:jc w:val="right"/>
              <w:rPr>
                <w:rFonts w:ascii="Arial" w:hAnsi="Arial" w:cs="Arial" w:eastAsia="Arial" w:hint="default"/>
                <w:sz w:val="18"/>
                <w:szCs w:val="18"/>
              </w:rPr>
            </w:pPr>
            <w:r>
              <w:rPr>
                <w:rFonts w:ascii="Arial"/>
                <w:spacing w:val="-1"/>
                <w:sz w:val="18"/>
              </w:rPr>
              <w:t>48,138</w:t>
            </w: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73" w:right="0"/>
              <w:jc w:val="left"/>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Arial" w:hAnsi="Arial" w:cs="Arial" w:eastAsia="Arial" w:hint="default"/>
                <w:sz w:val="18"/>
                <w:szCs w:val="18"/>
              </w:rPr>
            </w:pPr>
            <w:r>
              <w:rPr>
                <w:rFonts w:ascii="Arial"/>
                <w:spacing w:val="-1"/>
                <w:sz w:val="18"/>
              </w:rPr>
              <w:t>(308,266)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Arial" w:hAnsi="Arial" w:cs="Arial" w:eastAsia="Arial" w:hint="default"/>
                <w:sz w:val="18"/>
                <w:szCs w:val="18"/>
              </w:rPr>
            </w:pPr>
            <w:r>
              <w:rPr>
                <w:rFonts w:ascii="Arial"/>
                <w:spacing w:val="-1"/>
                <w:sz w:val="18"/>
              </w:rPr>
              <w:t>(567,771)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Arial" w:hAnsi="Arial" w:cs="Arial" w:eastAsia="Arial" w:hint="default"/>
                <w:sz w:val="18"/>
                <w:szCs w:val="18"/>
              </w:rPr>
            </w:pPr>
            <w:r>
              <w:rPr>
                <w:rFonts w:ascii="Arial"/>
                <w:spacing w:val="-1"/>
                <w:sz w:val="18"/>
              </w:rPr>
              <w:t>(876,037)</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0"/>
              <w:jc w:val="right"/>
              <w:rPr>
                <w:rFonts w:ascii="Arial" w:hAnsi="Arial" w:cs="Arial" w:eastAsia="Arial" w:hint="default"/>
                <w:sz w:val="18"/>
                <w:szCs w:val="18"/>
              </w:rPr>
            </w:pPr>
            <w:r>
              <w:rPr>
                <w:rFonts w:ascii="Arial"/>
                <w:w w:val="99"/>
                <w:sz w:val="18"/>
              </w:rPr>
              <w:t>-</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9"/>
              <w:jc w:val="right"/>
              <w:rPr>
                <w:rFonts w:ascii="Arial" w:hAnsi="Arial" w:cs="Arial" w:eastAsia="Arial" w:hint="default"/>
                <w:sz w:val="18"/>
                <w:szCs w:val="18"/>
              </w:rPr>
            </w:pPr>
            <w:r>
              <w:rPr>
                <w:rFonts w:ascii="Arial"/>
                <w:spacing w:val="-1"/>
                <w:sz w:val="18"/>
              </w:rPr>
              <w:t>662,380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9"/>
              <w:jc w:val="right"/>
              <w:rPr>
                <w:rFonts w:ascii="Arial" w:hAnsi="Arial" w:cs="Arial" w:eastAsia="Arial" w:hint="default"/>
                <w:sz w:val="18"/>
                <w:szCs w:val="18"/>
              </w:rPr>
            </w:pPr>
            <w:r>
              <w:rPr>
                <w:rFonts w:ascii="Arial"/>
                <w:spacing w:val="-1"/>
                <w:sz w:val="18"/>
              </w:rPr>
              <w:t>662,380</w:t>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9"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273" w:right="0"/>
              <w:jc w:val="left"/>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260,601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0"/>
              <w:jc w:val="right"/>
              <w:rPr>
                <w:rFonts w:ascii="Arial" w:hAnsi="Arial" w:cs="Arial" w:eastAsia="Arial" w:hint="default"/>
                <w:sz w:val="18"/>
                <w:szCs w:val="18"/>
              </w:rPr>
            </w:pPr>
            <w:r>
              <w:rPr>
                <w:rFonts w:ascii="Arial"/>
                <w:spacing w:val="-1"/>
                <w:sz w:val="18"/>
              </w:rPr>
              <w:t>(260,601)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9"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73" w:right="0"/>
              <w:jc w:val="left"/>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Arial" w:hAnsi="Arial" w:cs="Arial" w:eastAsia="Arial" w:hint="default"/>
                <w:sz w:val="18"/>
                <w:szCs w:val="18"/>
              </w:rPr>
            </w:pPr>
            <w:r>
              <w:rPr>
                <w:rFonts w:ascii="Arial"/>
                <w:w w:val="99"/>
                <w:sz w:val="18"/>
              </w:rPr>
              <w:t>-</w:t>
            </w:r>
            <w:r>
              <w:rPr>
                <w:rFonts w:ascii="Arial"/>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5"/>
              <w:jc w:val="right"/>
              <w:rPr>
                <w:rFonts w:ascii="Arial" w:hAnsi="Arial" w:cs="Arial" w:eastAsia="Arial" w:hint="default"/>
                <w:sz w:val="18"/>
                <w:szCs w:val="18"/>
              </w:rPr>
            </w:pPr>
            <w:r>
              <w:rPr>
                <w:rFonts w:ascii="Arial"/>
                <w:w w:val="99"/>
                <w:sz w:val="18"/>
              </w:rPr>
              <w:t>-</w:t>
            </w:r>
            <w:r>
              <w:rPr>
                <w:rFonts w:ascii="Arial"/>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2"/>
              <w:jc w:val="right"/>
              <w:rPr>
                <w:rFonts w:ascii="Arial" w:hAnsi="Arial" w:cs="Arial" w:eastAsia="Arial" w:hint="default"/>
                <w:sz w:val="18"/>
                <w:szCs w:val="18"/>
              </w:rPr>
            </w:pPr>
            <w:r>
              <w:rPr>
                <w:rFonts w:ascii="Arial"/>
                <w:w w:val="99"/>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Arial" w:hAnsi="Arial" w:cs="Arial" w:eastAsia="Arial" w:hint="default"/>
                <w:sz w:val="18"/>
                <w:szCs w:val="18"/>
              </w:rPr>
            </w:pPr>
            <w:r>
              <w:rPr>
                <w:rFonts w:ascii="Arial"/>
                <w:w w:val="95"/>
                <w:sz w:val="18"/>
              </w:rPr>
              <w:t>(699,621)</w:t>
            </w:r>
            <w:r>
              <w:rPr>
                <w:rFonts w:ascii="Arial"/>
                <w:sz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right"/>
              <w:rPr>
                <w:rFonts w:ascii="Arial" w:hAnsi="Arial" w:cs="Arial" w:eastAsia="Arial" w:hint="default"/>
                <w:sz w:val="18"/>
                <w:szCs w:val="18"/>
              </w:rPr>
            </w:pPr>
            <w:r>
              <w:rPr>
                <w:rFonts w:ascii="Arial"/>
                <w:w w:val="95"/>
                <w:sz w:val="18"/>
              </w:rPr>
              <w:t>(1,363)</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Arial" w:hAnsi="Arial" w:cs="Arial" w:eastAsia="Arial" w:hint="default"/>
                <w:sz w:val="18"/>
                <w:szCs w:val="18"/>
              </w:rPr>
            </w:pPr>
            <w:r>
              <w:rPr>
                <w:rFonts w:ascii="Arial"/>
                <w:spacing w:val="-1"/>
                <w:sz w:val="18"/>
              </w:rPr>
              <w:t>(700,984)</w:t>
            </w:r>
          </w:p>
        </w:tc>
      </w:tr>
      <w:tr>
        <w:trPr>
          <w:trHeight w:val="218" w:hRule="exact"/>
        </w:trPr>
        <w:tc>
          <w:tcPr>
            <w:tcW w:w="25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黑体" w:hAnsi="黑体" w:cs="黑体" w:eastAsia="黑体" w:hint="default"/>
                <w:sz w:val="18"/>
                <w:szCs w:val="18"/>
              </w:rPr>
              <w:t>日年末余额</w:t>
            </w:r>
          </w:p>
        </w:tc>
        <w:tc>
          <w:tcPr>
            <w:tcW w:w="93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6,996,212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2" w:right="0"/>
              <w:jc w:val="left"/>
              <w:rPr>
                <w:rFonts w:ascii="Arial" w:hAnsi="Arial" w:cs="Arial" w:eastAsia="Arial" w:hint="default"/>
                <w:sz w:val="18"/>
                <w:szCs w:val="18"/>
              </w:rPr>
            </w:pPr>
            <w:r>
              <w:rPr>
                <w:rFonts w:ascii="Arial"/>
                <w:sz w:val="18"/>
              </w:rPr>
              <w:t>517,074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Arial" w:hAnsi="Arial" w:cs="Arial" w:eastAsia="Arial" w:hint="default"/>
                <w:sz w:val="18"/>
                <w:szCs w:val="18"/>
              </w:rPr>
            </w:pPr>
            <w:r>
              <w:rPr>
                <w:rFonts w:ascii="Arial"/>
                <w:spacing w:val="-1"/>
                <w:sz w:val="18"/>
              </w:rPr>
              <w:t>1,007,130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13,793,238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Arial" w:hAnsi="Arial" w:cs="Arial" w:eastAsia="Arial" w:hint="default"/>
                <w:sz w:val="18"/>
                <w:szCs w:val="18"/>
              </w:rPr>
            </w:pPr>
            <w:r>
              <w:rPr>
                <w:rFonts w:ascii="Arial"/>
                <w:sz w:val="18"/>
              </w:rPr>
              <w:t>14,680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702,204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1"/>
              <w:jc w:val="right"/>
              <w:rPr>
                <w:rFonts w:ascii="Arial" w:hAnsi="Arial" w:cs="Arial" w:eastAsia="Arial" w:hint="default"/>
                <w:sz w:val="18"/>
                <w:szCs w:val="18"/>
              </w:rPr>
            </w:pPr>
            <w:r>
              <w:rPr>
                <w:rFonts w:ascii="Arial"/>
                <w:spacing w:val="-10"/>
                <w:sz w:val="18"/>
              </w:rPr>
              <w:t>23,030,538</w:t>
            </w:r>
          </w:p>
        </w:tc>
      </w:tr>
    </w:tbl>
    <w:p>
      <w:pPr>
        <w:spacing w:line="240" w:lineRule="auto" w:before="2"/>
        <w:rPr>
          <w:rFonts w:ascii="宋体" w:hAnsi="宋体" w:cs="宋体" w:eastAsia="宋体" w:hint="default"/>
          <w:sz w:val="13"/>
          <w:szCs w:val="13"/>
        </w:rPr>
      </w:pPr>
    </w:p>
    <w:p>
      <w:pPr>
        <w:spacing w:before="36"/>
        <w:ind w:left="668" w:right="0"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505" w:val="left" w:leader="none"/>
          <w:tab w:pos="7077" w:val="left" w:leader="none"/>
        </w:tabs>
        <w:spacing w:before="0"/>
        <w:ind w:left="668" w:right="0" w:firstLine="0"/>
        <w:jc w:val="left"/>
        <w:rPr>
          <w:rFonts w:ascii="宋体" w:hAnsi="宋体" w:cs="宋体" w:eastAsia="宋体" w:hint="default"/>
          <w:sz w:val="21"/>
          <w:szCs w:val="21"/>
        </w:rPr>
      </w:pPr>
      <w:r>
        <w:rPr>
          <w:rFonts w:ascii="宋体" w:hAnsi="宋体" w:cs="宋体" w:eastAsia="宋体" w:hint="default"/>
          <w:sz w:val="21"/>
          <w:szCs w:val="21"/>
        </w:rPr>
        <w:t>企业负责人：</w:t>
      </w:r>
      <w:r>
        <w:rPr>
          <w:rFonts w:ascii="宋体" w:hAnsi="宋体" w:cs="宋体" w:eastAsia="宋体" w:hint="default"/>
          <w:spacing w:val="-2"/>
          <w:sz w:val="21"/>
          <w:szCs w:val="21"/>
        </w:rPr>
        <w:t> </w:t>
      </w:r>
      <w:r>
        <w:rPr>
          <w:rFonts w:ascii="宋体" w:hAnsi="宋体" w:cs="宋体" w:eastAsia="宋体" w:hint="default"/>
          <w:sz w:val="21"/>
          <w:szCs w:val="21"/>
        </w:rPr>
        <w:t>张近东</w:t>
        <w:tab/>
        <w:t>主管会计工作的负责人：</w:t>
      </w:r>
      <w:r>
        <w:rPr>
          <w:rFonts w:ascii="宋体" w:hAnsi="宋体" w:cs="宋体" w:eastAsia="宋体" w:hint="default"/>
          <w:spacing w:val="-2"/>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71"/>
          <w:pgSz w:w="11910" w:h="16840"/>
          <w:pgMar w:header="754" w:footer="881" w:top="2000" w:bottom="1080" w:left="1060" w:right="0"/>
        </w:sectPr>
      </w:pPr>
    </w:p>
    <w:p>
      <w:pPr>
        <w:spacing w:line="240" w:lineRule="auto" w:before="4"/>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629"/>
        <w:gridCol w:w="1284"/>
        <w:gridCol w:w="1133"/>
        <w:gridCol w:w="1135"/>
        <w:gridCol w:w="1133"/>
        <w:gridCol w:w="1135"/>
        <w:gridCol w:w="1133"/>
      </w:tblGrid>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tabs>
                <w:tab w:pos="1670" w:val="left" w:leader="none"/>
              </w:tabs>
              <w:spacing w:line="205" w:lineRule="exact"/>
              <w:ind w:left="767"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日年初余额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4,664,141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2" w:right="0"/>
              <w:jc w:val="left"/>
              <w:rPr>
                <w:rFonts w:ascii="Arial" w:hAnsi="Arial" w:cs="Arial" w:eastAsia="Arial" w:hint="default"/>
                <w:sz w:val="18"/>
                <w:szCs w:val="18"/>
              </w:rPr>
            </w:pPr>
            <w:r>
              <w:rPr>
                <w:rFonts w:ascii="Arial"/>
                <w:sz w:val="18"/>
              </w:rPr>
              <w:t>3,011,260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517,465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3,064,358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1" w:right="0"/>
              <w:jc w:val="left"/>
              <w:rPr>
                <w:rFonts w:ascii="Arial" w:hAnsi="Arial" w:cs="Arial" w:eastAsia="Arial" w:hint="default"/>
                <w:sz w:val="18"/>
                <w:szCs w:val="18"/>
              </w:rPr>
            </w:pPr>
            <w:r>
              <w:rPr>
                <w:rFonts w:ascii="Arial"/>
                <w:sz w:val="18"/>
              </w:rPr>
              <w:t>11,257,224</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黑体" w:hAnsi="黑体" w:cs="黑体" w:eastAsia="黑体" w:hint="default"/>
                <w:sz w:val="18"/>
                <w:szCs w:val="18"/>
              </w:rPr>
              <w:t>年度增减变动额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2,290,641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8" w:right="0"/>
              <w:jc w:val="left"/>
              <w:rPr>
                <w:rFonts w:ascii="Arial" w:hAnsi="Arial" w:cs="Arial" w:eastAsia="Arial" w:hint="default"/>
                <w:sz w:val="18"/>
                <w:szCs w:val="18"/>
              </w:rPr>
            </w:pPr>
            <w:r>
              <w:rPr>
                <w:rFonts w:ascii="Arial"/>
                <w:sz w:val="18"/>
              </w:rPr>
              <w:t>2,290,641</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14,543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14,543</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229,064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(229,064)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3"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2"/>
              <w:jc w:val="right"/>
              <w:rPr>
                <w:rFonts w:ascii="Arial" w:hAnsi="Arial" w:cs="Arial" w:eastAsia="Arial" w:hint="default"/>
                <w:sz w:val="18"/>
                <w:szCs w:val="18"/>
              </w:rPr>
            </w:pPr>
            <w:r>
              <w:rPr>
                <w:rFonts w:ascii="Arial"/>
                <w:spacing w:val="-1"/>
                <w:sz w:val="18"/>
              </w:rPr>
              <w:t>(233,207)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0"/>
              <w:jc w:val="right"/>
              <w:rPr>
                <w:rFonts w:ascii="Arial" w:hAnsi="Arial" w:cs="Arial" w:eastAsia="Arial" w:hint="default"/>
                <w:sz w:val="18"/>
                <w:szCs w:val="18"/>
              </w:rPr>
            </w:pPr>
            <w:r>
              <w:rPr>
                <w:rFonts w:ascii="Arial"/>
                <w:spacing w:val="-1"/>
                <w:sz w:val="18"/>
              </w:rPr>
              <w:t>(233,207)</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股东权益内部结转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2,332,071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(2,332,071)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黑体" w:hAnsi="黑体" w:cs="黑体" w:eastAsia="黑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黑体" w:hAnsi="黑体" w:cs="黑体" w:eastAsia="黑体" w:hint="default"/>
                <w:sz w:val="18"/>
                <w:szCs w:val="18"/>
              </w:rPr>
              <w:t>日年末余额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6,996,212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9" w:right="0"/>
              <w:jc w:val="left"/>
              <w:rPr>
                <w:rFonts w:ascii="Arial" w:hAnsi="Arial" w:cs="Arial" w:eastAsia="Arial" w:hint="default"/>
                <w:sz w:val="18"/>
                <w:szCs w:val="18"/>
              </w:rPr>
            </w:pPr>
            <w:r>
              <w:rPr>
                <w:rFonts w:ascii="Arial"/>
                <w:sz w:val="18"/>
              </w:rPr>
              <w:t>693,732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746,529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4,892,728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Arial" w:hAnsi="Arial" w:cs="Arial" w:eastAsia="Arial" w:hint="default"/>
                <w:sz w:val="18"/>
                <w:szCs w:val="18"/>
              </w:rPr>
            </w:pPr>
            <w:r>
              <w:rPr>
                <w:rFonts w:ascii="Arial"/>
                <w:sz w:val="18"/>
              </w:rPr>
              <w:t>13,329,201</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日年初余额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6,996,212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9" w:right="0"/>
              <w:jc w:val="left"/>
              <w:rPr>
                <w:rFonts w:ascii="Arial" w:hAnsi="Arial" w:cs="Arial" w:eastAsia="Arial" w:hint="default"/>
                <w:sz w:val="18"/>
                <w:szCs w:val="18"/>
              </w:rPr>
            </w:pPr>
            <w:r>
              <w:rPr>
                <w:rFonts w:ascii="Arial"/>
                <w:sz w:val="18"/>
              </w:rPr>
              <w:t>693,732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746,529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4,892,728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9" w:right="0"/>
              <w:jc w:val="left"/>
              <w:rPr>
                <w:rFonts w:ascii="Arial" w:hAnsi="Arial" w:cs="Arial" w:eastAsia="Arial" w:hint="default"/>
                <w:sz w:val="18"/>
                <w:szCs w:val="18"/>
              </w:rPr>
            </w:pPr>
            <w:r>
              <w:rPr>
                <w:rFonts w:ascii="Arial"/>
                <w:sz w:val="18"/>
              </w:rPr>
              <w:t>13,329,201</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黑体" w:hAnsi="黑体" w:cs="黑体" w:eastAsia="黑体" w:hint="default"/>
                <w:sz w:val="18"/>
                <w:szCs w:val="18"/>
              </w:rPr>
              <w:t>年度增减变动额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2,606,014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Arial" w:hAnsi="Arial" w:cs="Arial" w:eastAsia="Arial" w:hint="default"/>
                <w:sz w:val="18"/>
                <w:szCs w:val="18"/>
              </w:rPr>
            </w:pPr>
            <w:r>
              <w:rPr>
                <w:rFonts w:ascii="Arial"/>
                <w:sz w:val="18"/>
              </w:rPr>
              <w:t>2,606,014</w:t>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26"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股份支付计入股东权益</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7" w:right="0"/>
              <w:jc w:val="left"/>
              <w:rPr>
                <w:rFonts w:ascii="Arial" w:hAnsi="Arial" w:cs="Arial" w:eastAsia="Arial" w:hint="default"/>
                <w:sz w:val="18"/>
                <w:szCs w:val="18"/>
              </w:rPr>
            </w:pPr>
            <w:r>
              <w:rPr>
                <w:rFonts w:ascii="Arial"/>
                <w:sz w:val="18"/>
              </w:rPr>
              <w:t>169,665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169,665</w:t>
            </w:r>
          </w:p>
        </w:tc>
      </w:tr>
      <w:tr>
        <w:trPr>
          <w:trHeight w:val="243"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260,601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spacing w:val="-1"/>
                <w:sz w:val="18"/>
              </w:rPr>
              <w:t>(260,601)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 w:right="0"/>
              <w:jc w:val="center"/>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Arial" w:hAnsi="Arial" w:cs="Arial" w:eastAsia="Arial" w:hint="default"/>
                <w:sz w:val="18"/>
                <w:szCs w:val="18"/>
              </w:rPr>
            </w:pPr>
            <w:r>
              <w:rPr>
                <w:rFonts w:ascii="Arial"/>
                <w:w w:val="99"/>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4"/>
              <w:jc w:val="right"/>
              <w:rPr>
                <w:rFonts w:ascii="Arial" w:hAnsi="Arial" w:cs="Arial" w:eastAsia="Arial" w:hint="default"/>
                <w:sz w:val="18"/>
                <w:szCs w:val="18"/>
              </w:rPr>
            </w:pPr>
            <w:r>
              <w:rPr>
                <w:rFonts w:ascii="Arial"/>
                <w:spacing w:val="-1"/>
                <w:sz w:val="18"/>
              </w:rPr>
              <w:t>(699,621)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2"/>
              <w:jc w:val="right"/>
              <w:rPr>
                <w:rFonts w:ascii="Arial" w:hAnsi="Arial" w:cs="Arial" w:eastAsia="Arial" w:hint="default"/>
                <w:sz w:val="18"/>
                <w:szCs w:val="18"/>
              </w:rPr>
            </w:pPr>
            <w:r>
              <w:rPr>
                <w:rFonts w:ascii="Arial"/>
                <w:spacing w:val="-1"/>
                <w:sz w:val="18"/>
              </w:rPr>
              <w:t>(699,621)</w:t>
            </w:r>
          </w:p>
        </w:tc>
      </w:tr>
      <w:tr>
        <w:trPr>
          <w:trHeight w:val="216" w:hRule="exact"/>
        </w:trPr>
        <w:tc>
          <w:tcPr>
            <w:tcW w:w="2629"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pacing w:val="-4"/>
                <w:sz w:val="18"/>
                <w:szCs w:val="18"/>
              </w:rPr>
              <w:t>2011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黑体" w:hAnsi="黑体" w:cs="黑体" w:eastAsia="黑体" w:hint="default"/>
                <w:sz w:val="18"/>
                <w:szCs w:val="18"/>
              </w:rPr>
              <w:t>日年末余额</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Arial" w:hAnsi="Arial" w:cs="Arial" w:eastAsia="Arial" w:hint="default"/>
                <w:sz w:val="18"/>
                <w:szCs w:val="18"/>
              </w:rPr>
            </w:pPr>
            <w:r>
              <w:rPr>
                <w:rFonts w:ascii="Arial"/>
                <w:spacing w:val="-1"/>
                <w:sz w:val="18"/>
              </w:rPr>
              <w:t>6,996,212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7" w:right="0"/>
              <w:jc w:val="left"/>
              <w:rPr>
                <w:rFonts w:ascii="Arial" w:hAnsi="Arial" w:cs="Arial" w:eastAsia="Arial" w:hint="default"/>
                <w:sz w:val="18"/>
                <w:szCs w:val="18"/>
              </w:rPr>
            </w:pPr>
            <w:r>
              <w:rPr>
                <w:rFonts w:ascii="Arial"/>
                <w:sz w:val="18"/>
              </w:rPr>
              <w:t>863,397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8" w:right="0"/>
              <w:jc w:val="left"/>
              <w:rPr>
                <w:rFonts w:ascii="Arial" w:hAnsi="Arial" w:cs="Arial" w:eastAsia="Arial" w:hint="default"/>
                <w:sz w:val="18"/>
                <w:szCs w:val="18"/>
              </w:rPr>
            </w:pPr>
            <w:r>
              <w:rPr>
                <w:rFonts w:ascii="Arial"/>
                <w:sz w:val="18"/>
              </w:rPr>
              <w:t>1,007,130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spacing w:val="-1"/>
                <w:sz w:val="18"/>
              </w:rPr>
              <w:t>6,538,520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left"/>
              <w:rPr>
                <w:rFonts w:ascii="Arial" w:hAnsi="Arial" w:cs="Arial" w:eastAsia="Arial" w:hint="default"/>
                <w:sz w:val="18"/>
                <w:szCs w:val="18"/>
              </w:rPr>
            </w:pPr>
            <w:r>
              <w:rPr>
                <w:rFonts w:ascii="Arial"/>
                <w:sz w:val="18"/>
              </w:rPr>
              <w:t>15,405,259</w:t>
            </w:r>
          </w:p>
        </w:tc>
      </w:tr>
    </w:tbl>
    <w:p>
      <w:pPr>
        <w:spacing w:line="240" w:lineRule="auto" w:before="2"/>
        <w:rPr>
          <w:rFonts w:ascii="宋体" w:hAnsi="宋体" w:cs="宋体" w:eastAsia="宋体" w:hint="default"/>
          <w:sz w:val="13"/>
          <w:szCs w:val="13"/>
        </w:rPr>
      </w:pPr>
    </w:p>
    <w:p>
      <w:pPr>
        <w:spacing w:before="36"/>
        <w:ind w:left="528" w:right="3386" w:firstLine="0"/>
        <w:jc w:val="left"/>
        <w:rPr>
          <w:rFonts w:ascii="宋体" w:hAnsi="宋体" w:cs="宋体" w:eastAsia="宋体" w:hint="default"/>
          <w:sz w:val="21"/>
          <w:szCs w:val="21"/>
        </w:rPr>
      </w:pPr>
      <w:r>
        <w:rPr>
          <w:rFonts w:ascii="宋体" w:hAnsi="宋体" w:cs="宋体" w:eastAsia="宋体" w:hint="default"/>
          <w:sz w:val="21"/>
          <w:szCs w:val="21"/>
        </w:rPr>
        <w:t>后附财务报表附注为财务报表的组成部分。</w:t>
      </w:r>
    </w:p>
    <w:p>
      <w:pPr>
        <w:spacing w:line="240" w:lineRule="auto" w:before="3"/>
        <w:rPr>
          <w:rFonts w:ascii="宋体" w:hAnsi="宋体" w:cs="宋体" w:eastAsia="宋体" w:hint="default"/>
          <w:sz w:val="18"/>
          <w:szCs w:val="18"/>
        </w:rPr>
      </w:pPr>
    </w:p>
    <w:p>
      <w:pPr>
        <w:tabs>
          <w:tab w:pos="3365" w:val="left" w:leader="none"/>
          <w:tab w:pos="6937" w:val="left" w:leader="none"/>
        </w:tabs>
        <w:spacing w:before="0"/>
        <w:ind w:left="528" w:right="1328" w:firstLine="0"/>
        <w:jc w:val="left"/>
        <w:rPr>
          <w:rFonts w:ascii="宋体" w:hAnsi="宋体" w:cs="宋体" w:eastAsia="宋体" w:hint="default"/>
          <w:sz w:val="21"/>
          <w:szCs w:val="21"/>
        </w:rPr>
      </w:pPr>
      <w:r>
        <w:rPr>
          <w:rFonts w:ascii="宋体" w:hAnsi="宋体" w:cs="宋体" w:eastAsia="宋体" w:hint="default"/>
          <w:sz w:val="21"/>
          <w:szCs w:val="21"/>
        </w:rPr>
        <w:t>企业负责人：</w:t>
      </w:r>
      <w:r>
        <w:rPr>
          <w:rFonts w:ascii="宋体" w:hAnsi="宋体" w:cs="宋体" w:eastAsia="宋体" w:hint="default"/>
          <w:spacing w:val="-2"/>
          <w:sz w:val="21"/>
          <w:szCs w:val="21"/>
        </w:rPr>
        <w:t> </w:t>
      </w:r>
      <w:r>
        <w:rPr>
          <w:rFonts w:ascii="宋体" w:hAnsi="宋体" w:cs="宋体" w:eastAsia="宋体" w:hint="default"/>
          <w:sz w:val="21"/>
          <w:szCs w:val="21"/>
        </w:rPr>
        <w:t>张近东</w:t>
        <w:tab/>
        <w:t>主管会计工作的负责人：</w:t>
      </w:r>
      <w:r>
        <w:rPr>
          <w:rFonts w:ascii="宋体" w:hAnsi="宋体" w:cs="宋体" w:eastAsia="宋体" w:hint="default"/>
          <w:spacing w:val="-2"/>
          <w:sz w:val="21"/>
          <w:szCs w:val="21"/>
        </w:rPr>
        <w:t> </w:t>
      </w:r>
      <w:r>
        <w:rPr>
          <w:rFonts w:ascii="宋体" w:hAnsi="宋体" w:cs="宋体" w:eastAsia="宋体" w:hint="default"/>
          <w:sz w:val="21"/>
          <w:szCs w:val="21"/>
        </w:rPr>
        <w:t>朱华</w:t>
        <w:tab/>
        <w:t>会计机构负责人：肖忠祥</w:t>
      </w:r>
    </w:p>
    <w:p>
      <w:pPr>
        <w:spacing w:after="0"/>
        <w:jc w:val="left"/>
        <w:rPr>
          <w:rFonts w:ascii="宋体" w:hAnsi="宋体" w:cs="宋体" w:eastAsia="宋体" w:hint="default"/>
          <w:sz w:val="21"/>
          <w:szCs w:val="21"/>
        </w:rPr>
        <w:sectPr>
          <w:headerReference w:type="default" r:id="rId72"/>
          <w:pgSz w:w="11910" w:h="16840"/>
          <w:pgMar w:header="754" w:footer="881" w:top="2000" w:bottom="1080" w:left="1200" w:right="0"/>
        </w:sectPr>
      </w:pPr>
    </w:p>
    <w:p>
      <w:pPr>
        <w:spacing w:line="240" w:lineRule="auto" w:before="11"/>
        <w:rPr>
          <w:rFonts w:ascii="Times New Roman" w:hAnsi="Times New Roman" w:cs="Times New Roman" w:eastAsia="Times New Roman" w:hint="default"/>
          <w:sz w:val="4"/>
          <w:szCs w:val="4"/>
        </w:rPr>
      </w:pPr>
    </w:p>
    <w:p>
      <w:pPr>
        <w:spacing w:line="20" w:lineRule="exact"/>
        <w:ind w:left="8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74"/>
        <w:gridCol w:w="9697"/>
      </w:tblGrid>
      <w:tr>
        <w:trPr>
          <w:trHeight w:val="415" w:hRule="exact"/>
        </w:trPr>
        <w:tc>
          <w:tcPr>
            <w:tcW w:w="6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一</w:t>
            </w:r>
            <w:r>
              <w:rPr>
                <w:rFonts w:ascii="宋体" w:hAnsi="宋体" w:cs="宋体" w:eastAsia="宋体" w:hint="default"/>
                <w:sz w:val="24"/>
                <w:szCs w:val="24"/>
              </w:rPr>
            </w:r>
          </w:p>
        </w:tc>
        <w:tc>
          <w:tcPr>
            <w:tcW w:w="9697" w:type="dxa"/>
            <w:tcBorders>
              <w:top w:val="nil" w:sz="6" w:space="0" w:color="auto"/>
              <w:left w:val="nil" w:sz="6" w:space="0" w:color="auto"/>
              <w:bottom w:val="nil" w:sz="6" w:space="0" w:color="auto"/>
              <w:right w:val="nil" w:sz="6" w:space="0" w:color="auto"/>
            </w:tcBorders>
          </w:tcPr>
          <w:p>
            <w:pPr>
              <w:pStyle w:val="TableParagraph"/>
              <w:spacing w:line="240" w:lineRule="exact"/>
              <w:ind w:left="234" w:right="0"/>
              <w:jc w:val="left"/>
              <w:rPr>
                <w:rFonts w:ascii="宋体" w:hAnsi="宋体" w:cs="宋体" w:eastAsia="宋体" w:hint="default"/>
                <w:sz w:val="24"/>
                <w:szCs w:val="24"/>
              </w:rPr>
            </w:pPr>
            <w:r>
              <w:rPr>
                <w:rFonts w:ascii="宋体" w:hAnsi="宋体" w:cs="宋体" w:eastAsia="宋体" w:hint="default"/>
                <w:b/>
                <w:bCs/>
                <w:sz w:val="24"/>
                <w:szCs w:val="24"/>
              </w:rPr>
              <w:t>公司基本情况</w:t>
            </w:r>
            <w:r>
              <w:rPr>
                <w:rFonts w:ascii="宋体" w:hAnsi="宋体" w:cs="宋体" w:eastAsia="宋体" w:hint="default"/>
                <w:sz w:val="24"/>
                <w:szCs w:val="24"/>
              </w:rPr>
            </w:r>
          </w:p>
        </w:tc>
      </w:tr>
      <w:tr>
        <w:trPr>
          <w:trHeight w:val="2780"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32"/>
              <w:ind w:left="234" w:right="314"/>
              <w:jc w:val="both"/>
              <w:rPr>
                <w:rFonts w:ascii="宋体" w:hAnsi="宋体" w:cs="宋体" w:eastAsia="宋体" w:hint="default"/>
                <w:sz w:val="24"/>
                <w:szCs w:val="24"/>
              </w:rPr>
            </w:pPr>
            <w:r>
              <w:rPr>
                <w:rFonts w:ascii="宋体" w:hAnsi="宋体" w:cs="宋体" w:eastAsia="宋体" w:hint="default"/>
                <w:sz w:val="24"/>
                <w:szCs w:val="24"/>
              </w:rPr>
              <w:t>苏宁电器股份有限公司</w:t>
            </w:r>
            <w:r>
              <w:rPr>
                <w:rFonts w:ascii="Arial" w:hAnsi="Arial" w:cs="Arial" w:eastAsia="Arial" w:hint="default"/>
                <w:sz w:val="24"/>
                <w:szCs w:val="24"/>
              </w:rPr>
              <w:t>(</w:t>
            </w:r>
            <w:r>
              <w:rPr>
                <w:rFonts w:ascii="宋体" w:hAnsi="宋体" w:cs="宋体" w:eastAsia="宋体" w:hint="default"/>
                <w:sz w:val="24"/>
                <w:szCs w:val="24"/>
              </w:rPr>
              <w:t>以下简称</w:t>
            </w:r>
            <w:r>
              <w:rPr>
                <w:rFonts w:ascii="Arial" w:hAnsi="Arial" w:cs="Arial" w:eastAsia="Arial" w:hint="default"/>
                <w:sz w:val="24"/>
                <w:szCs w:val="24"/>
              </w:rPr>
              <w:t>“</w:t>
            </w:r>
            <w:r>
              <w:rPr>
                <w:rFonts w:ascii="宋体" w:hAnsi="宋体" w:cs="宋体" w:eastAsia="宋体" w:hint="default"/>
                <w:sz w:val="24"/>
                <w:szCs w:val="24"/>
              </w:rPr>
              <w:t>本公司</w:t>
            </w:r>
            <w:r>
              <w:rPr>
                <w:rFonts w:ascii="Arial" w:hAnsi="Arial" w:cs="Arial" w:eastAsia="Arial" w:hint="default"/>
                <w:sz w:val="24"/>
                <w:szCs w:val="24"/>
              </w:rPr>
              <w:t>”)</w:t>
            </w:r>
            <w:r>
              <w:rPr>
                <w:rFonts w:ascii="宋体" w:hAnsi="宋体" w:cs="宋体" w:eastAsia="宋体" w:hint="default"/>
                <w:sz w:val="24"/>
                <w:szCs w:val="24"/>
              </w:rPr>
              <w:t>的前身系于</w:t>
            </w:r>
            <w:r>
              <w:rPr>
                <w:rFonts w:ascii="宋体" w:hAnsi="宋体" w:cs="宋体" w:eastAsia="宋体" w:hint="default"/>
                <w:spacing w:val="-46"/>
                <w:sz w:val="24"/>
                <w:szCs w:val="24"/>
              </w:rPr>
              <w:t> </w:t>
            </w:r>
            <w:r>
              <w:rPr>
                <w:rFonts w:ascii="Arial" w:hAnsi="Arial" w:cs="Arial" w:eastAsia="Arial" w:hint="default"/>
                <w:sz w:val="24"/>
                <w:szCs w:val="24"/>
              </w:rPr>
              <w:t>1996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5</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15</w:t>
            </w:r>
            <w:r>
              <w:rPr>
                <w:rFonts w:ascii="Arial" w:hAnsi="Arial" w:cs="Arial" w:eastAsia="Arial" w:hint="default"/>
                <w:spacing w:val="7"/>
                <w:sz w:val="24"/>
                <w:szCs w:val="24"/>
              </w:rPr>
              <w:t> </w:t>
            </w:r>
            <w:r>
              <w:rPr>
                <w:rFonts w:ascii="宋体" w:hAnsi="宋体" w:cs="宋体" w:eastAsia="宋体" w:hint="default"/>
                <w:sz w:val="24"/>
                <w:szCs w:val="24"/>
              </w:rPr>
              <w:t>日在中华人民共 </w:t>
            </w:r>
            <w:r>
              <w:rPr>
                <w:rFonts w:ascii="宋体" w:hAnsi="宋体" w:cs="宋体" w:eastAsia="宋体" w:hint="default"/>
                <w:spacing w:val="7"/>
                <w:sz w:val="24"/>
                <w:szCs w:val="24"/>
              </w:rPr>
              <w:t>和国江苏省南京市注册成立的江苏苏宁交家电有限公司，成立时的注册资本为人民币</w:t>
            </w:r>
            <w:r>
              <w:rPr>
                <w:rFonts w:ascii="宋体" w:hAnsi="宋体" w:cs="宋体" w:eastAsia="宋体" w:hint="default"/>
                <w:spacing w:val="7"/>
                <w:sz w:val="24"/>
                <w:szCs w:val="24"/>
              </w:rPr>
              <w:t> </w:t>
            </w:r>
            <w:r>
              <w:rPr>
                <w:rFonts w:ascii="Arial" w:hAnsi="Arial" w:cs="Arial" w:eastAsia="Arial" w:hint="default"/>
                <w:sz w:val="24"/>
                <w:szCs w:val="24"/>
              </w:rPr>
              <w:t>120</w:t>
            </w:r>
            <w:r>
              <w:rPr>
                <w:rFonts w:ascii="Arial" w:hAnsi="Arial" w:cs="Arial" w:eastAsia="Arial" w:hint="default"/>
                <w:spacing w:val="-11"/>
                <w:sz w:val="24"/>
                <w:szCs w:val="24"/>
              </w:rPr>
              <w:t> </w:t>
            </w:r>
            <w:r>
              <w:rPr>
                <w:rFonts w:ascii="宋体" w:hAnsi="宋体" w:cs="宋体" w:eastAsia="宋体" w:hint="default"/>
                <w:spacing w:val="-7"/>
                <w:sz w:val="24"/>
                <w:szCs w:val="24"/>
              </w:rPr>
              <w:t>万元。于</w:t>
            </w:r>
            <w:r>
              <w:rPr>
                <w:rFonts w:ascii="宋体" w:hAnsi="宋体" w:cs="宋体" w:eastAsia="宋体" w:hint="default"/>
                <w:spacing w:val="-68"/>
                <w:sz w:val="24"/>
                <w:szCs w:val="24"/>
              </w:rPr>
              <w:t> </w:t>
            </w:r>
            <w:r>
              <w:rPr>
                <w:rFonts w:ascii="Arial" w:hAnsi="Arial" w:cs="Arial" w:eastAsia="Arial" w:hint="default"/>
                <w:sz w:val="24"/>
                <w:szCs w:val="24"/>
              </w:rPr>
              <w:t>2000</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28</w:t>
            </w:r>
            <w:r>
              <w:rPr>
                <w:rFonts w:ascii="Arial" w:hAnsi="Arial" w:cs="Arial" w:eastAsia="Arial" w:hint="default"/>
                <w:spacing w:val="-11"/>
                <w:sz w:val="24"/>
                <w:szCs w:val="24"/>
              </w:rPr>
              <w:t> </w:t>
            </w:r>
            <w:r>
              <w:rPr>
                <w:rFonts w:ascii="宋体" w:hAnsi="宋体" w:cs="宋体" w:eastAsia="宋体" w:hint="default"/>
                <w:sz w:val="24"/>
                <w:szCs w:val="24"/>
              </w:rPr>
              <w:t>日，经江苏省工商行政管理局批准更名为江苏苏宁交家电</w:t>
            </w:r>
          </w:p>
          <w:p>
            <w:pPr>
              <w:pStyle w:val="TableParagraph"/>
              <w:spacing w:line="291" w:lineRule="exact"/>
              <w:ind w:left="234" w:right="0"/>
              <w:jc w:val="both"/>
              <w:rPr>
                <w:rFonts w:ascii="宋体" w:hAnsi="宋体" w:cs="宋体" w:eastAsia="宋体" w:hint="default"/>
                <w:sz w:val="24"/>
                <w:szCs w:val="24"/>
              </w:rPr>
            </w:pPr>
            <w:r>
              <w:rPr>
                <w:rFonts w:ascii="宋体" w:hAnsi="宋体" w:cs="宋体" w:eastAsia="宋体" w:hint="default"/>
                <w:sz w:val="24"/>
                <w:szCs w:val="24"/>
              </w:rPr>
              <w:t>集团有限公司。于</w:t>
            </w:r>
            <w:r>
              <w:rPr>
                <w:rFonts w:ascii="宋体" w:hAnsi="宋体" w:cs="宋体" w:eastAsia="宋体" w:hint="default"/>
                <w:spacing w:val="-48"/>
                <w:sz w:val="24"/>
                <w:szCs w:val="24"/>
              </w:rPr>
              <w:t> </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8</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30</w:t>
            </w:r>
            <w:r>
              <w:rPr>
                <w:rFonts w:ascii="Arial" w:hAnsi="Arial" w:cs="Arial" w:eastAsia="Arial" w:hint="default"/>
                <w:spacing w:val="6"/>
                <w:sz w:val="24"/>
                <w:szCs w:val="24"/>
              </w:rPr>
              <w:t> </w:t>
            </w:r>
            <w:r>
              <w:rPr>
                <w:rFonts w:ascii="宋体" w:hAnsi="宋体" w:cs="宋体" w:eastAsia="宋体" w:hint="default"/>
                <w:sz w:val="24"/>
                <w:szCs w:val="24"/>
              </w:rPr>
              <w:t>日经国家工商行政管理局批准更名为苏宁交家电</w:t>
            </w:r>
            <w:r>
              <w:rPr>
                <w:rFonts w:ascii="Arial" w:hAnsi="Arial" w:cs="Arial" w:eastAsia="Arial" w:hint="default"/>
                <w:sz w:val="24"/>
                <w:szCs w:val="24"/>
              </w:rPr>
              <w:t>(</w:t>
            </w:r>
            <w:r>
              <w:rPr>
                <w:rFonts w:ascii="宋体" w:hAnsi="宋体" w:cs="宋体" w:eastAsia="宋体" w:hint="default"/>
                <w:sz w:val="24"/>
                <w:szCs w:val="24"/>
              </w:rPr>
              <w:t>集</w:t>
            </w:r>
          </w:p>
          <w:p>
            <w:pPr>
              <w:pStyle w:val="TableParagraph"/>
              <w:spacing w:line="312" w:lineRule="exact"/>
              <w:ind w:left="234" w:right="0"/>
              <w:jc w:val="both"/>
              <w:rPr>
                <w:rFonts w:ascii="宋体" w:hAnsi="宋体" w:cs="宋体" w:eastAsia="宋体" w:hint="default"/>
                <w:sz w:val="24"/>
                <w:szCs w:val="24"/>
              </w:rPr>
            </w:pPr>
            <w:r>
              <w:rPr>
                <w:rFonts w:ascii="宋体" w:hAnsi="宋体" w:cs="宋体" w:eastAsia="宋体" w:hint="default"/>
                <w:spacing w:val="-4"/>
                <w:sz w:val="24"/>
                <w:szCs w:val="24"/>
              </w:rPr>
              <w:t>团</w:t>
            </w:r>
            <w:r>
              <w:rPr>
                <w:rFonts w:ascii="Arial" w:hAnsi="Arial" w:cs="Arial" w:eastAsia="Arial" w:hint="default"/>
                <w:spacing w:val="-4"/>
                <w:sz w:val="24"/>
                <w:szCs w:val="24"/>
              </w:rPr>
              <w:t>)</w:t>
            </w:r>
            <w:r>
              <w:rPr>
                <w:rFonts w:ascii="宋体" w:hAnsi="宋体" w:cs="宋体" w:eastAsia="宋体" w:hint="default"/>
                <w:spacing w:val="-4"/>
                <w:sz w:val="24"/>
                <w:szCs w:val="24"/>
              </w:rPr>
              <w:t>有限公司。于</w:t>
            </w:r>
            <w:r>
              <w:rPr>
                <w:rFonts w:ascii="宋体" w:hAnsi="宋体" w:cs="宋体" w:eastAsia="宋体" w:hint="default"/>
                <w:spacing w:val="-65"/>
                <w:sz w:val="24"/>
                <w:szCs w:val="24"/>
              </w:rPr>
              <w:t> </w:t>
            </w:r>
            <w:r>
              <w:rPr>
                <w:rFonts w:ascii="Arial" w:hAnsi="Arial" w:cs="Arial" w:eastAsia="Arial" w:hint="default"/>
                <w:sz w:val="24"/>
                <w:szCs w:val="24"/>
              </w:rPr>
              <w:t>2001</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6</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28</w:t>
            </w:r>
            <w:r>
              <w:rPr>
                <w:rFonts w:ascii="Arial" w:hAnsi="Arial" w:cs="Arial" w:eastAsia="Arial" w:hint="default"/>
                <w:spacing w:val="-11"/>
                <w:sz w:val="24"/>
                <w:szCs w:val="24"/>
              </w:rPr>
              <w:t> </w:t>
            </w:r>
            <w:r>
              <w:rPr>
                <w:rFonts w:ascii="宋体" w:hAnsi="宋体" w:cs="宋体" w:eastAsia="宋体" w:hint="default"/>
                <w:sz w:val="24"/>
                <w:szCs w:val="24"/>
              </w:rPr>
              <w:t>日，经江苏省人民政府苏政复</w:t>
            </w:r>
            <w:r>
              <w:rPr>
                <w:rFonts w:ascii="Arial" w:hAnsi="Arial" w:cs="Arial" w:eastAsia="Arial" w:hint="default"/>
                <w:sz w:val="24"/>
                <w:szCs w:val="24"/>
              </w:rPr>
              <w:t>[2001]109</w:t>
            </w:r>
            <w:r>
              <w:rPr>
                <w:rFonts w:ascii="Arial" w:hAnsi="Arial" w:cs="Arial" w:eastAsia="Arial" w:hint="default"/>
                <w:spacing w:val="-10"/>
                <w:sz w:val="24"/>
                <w:szCs w:val="24"/>
              </w:rPr>
              <w:t> </w:t>
            </w:r>
            <w:r>
              <w:rPr>
                <w:rFonts w:ascii="宋体" w:hAnsi="宋体" w:cs="宋体" w:eastAsia="宋体" w:hint="default"/>
                <w:spacing w:val="-5"/>
                <w:sz w:val="24"/>
                <w:szCs w:val="24"/>
              </w:rPr>
              <w:t>号文批准，以</w:t>
            </w:r>
          </w:p>
          <w:p>
            <w:pPr>
              <w:pStyle w:val="TableParagraph"/>
              <w:spacing w:line="312" w:lineRule="exact"/>
              <w:ind w:left="234" w:right="0"/>
              <w:jc w:val="both"/>
              <w:rPr>
                <w:rFonts w:ascii="宋体" w:hAnsi="宋体" w:cs="宋体" w:eastAsia="宋体" w:hint="default"/>
                <w:sz w:val="24"/>
                <w:szCs w:val="24"/>
              </w:rPr>
            </w:pPr>
            <w:r>
              <w:rPr>
                <w:rFonts w:ascii="宋体" w:hAnsi="宋体" w:cs="宋体" w:eastAsia="宋体" w:hint="default"/>
                <w:sz w:val="24"/>
                <w:szCs w:val="24"/>
              </w:rPr>
              <w:t>苏宁交家电</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r>
              <w:rPr>
                <w:rFonts w:ascii="宋体" w:hAnsi="宋体" w:cs="宋体" w:eastAsia="宋体" w:hint="default"/>
                <w:sz w:val="24"/>
                <w:szCs w:val="24"/>
              </w:rPr>
              <w:t>有限公司于</w:t>
            </w:r>
            <w:r>
              <w:rPr>
                <w:rFonts w:ascii="宋体" w:hAnsi="宋体" w:cs="宋体" w:eastAsia="宋体" w:hint="default"/>
                <w:spacing w:val="-42"/>
                <w:sz w:val="24"/>
                <w:szCs w:val="24"/>
              </w:rPr>
              <w:t> </w:t>
            </w:r>
            <w:r>
              <w:rPr>
                <w:rFonts w:ascii="Arial" w:hAnsi="Arial" w:cs="Arial" w:eastAsia="Arial" w:hint="default"/>
                <w:sz w:val="24"/>
                <w:szCs w:val="24"/>
              </w:rPr>
              <w:t>2000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日的净资产整体变更为苏宁电器连锁集</w:t>
            </w:r>
          </w:p>
          <w:p>
            <w:pPr>
              <w:pStyle w:val="TableParagraph"/>
              <w:spacing w:line="312" w:lineRule="exact"/>
              <w:ind w:left="234" w:right="0"/>
              <w:jc w:val="both"/>
              <w:rPr>
                <w:rFonts w:ascii="宋体" w:hAnsi="宋体" w:cs="宋体" w:eastAsia="宋体" w:hint="default"/>
                <w:sz w:val="24"/>
                <w:szCs w:val="24"/>
              </w:rPr>
            </w:pPr>
            <w:r>
              <w:rPr>
                <w:rFonts w:ascii="宋体" w:hAnsi="宋体" w:cs="宋体" w:eastAsia="宋体" w:hint="default"/>
                <w:spacing w:val="-3"/>
                <w:sz w:val="24"/>
                <w:szCs w:val="24"/>
              </w:rPr>
              <w:t>团股份有限公司，股本总额人民币</w:t>
            </w:r>
            <w:r>
              <w:rPr>
                <w:rFonts w:ascii="宋体" w:hAnsi="宋体" w:cs="宋体" w:eastAsia="宋体" w:hint="default"/>
                <w:spacing w:val="-61"/>
                <w:sz w:val="24"/>
                <w:szCs w:val="24"/>
              </w:rPr>
              <w:t> </w:t>
            </w:r>
            <w:r>
              <w:rPr>
                <w:rFonts w:ascii="Arial" w:hAnsi="Arial" w:cs="Arial" w:eastAsia="Arial" w:hint="default"/>
                <w:sz w:val="24"/>
                <w:szCs w:val="24"/>
              </w:rPr>
              <w:t>68,160,000</w:t>
            </w:r>
            <w:r>
              <w:rPr>
                <w:rFonts w:ascii="Arial" w:hAnsi="Arial" w:cs="Arial" w:eastAsia="Arial" w:hint="default"/>
                <w:spacing w:val="-6"/>
                <w:sz w:val="24"/>
                <w:szCs w:val="24"/>
              </w:rPr>
              <w:t> </w:t>
            </w:r>
            <w:r>
              <w:rPr>
                <w:rFonts w:ascii="宋体" w:hAnsi="宋体" w:cs="宋体" w:eastAsia="宋体" w:hint="default"/>
                <w:spacing w:val="-13"/>
                <w:sz w:val="24"/>
                <w:szCs w:val="24"/>
              </w:rPr>
              <w:t>元，于</w:t>
            </w:r>
            <w:r>
              <w:rPr>
                <w:rFonts w:ascii="宋体" w:hAnsi="宋体" w:cs="宋体" w:eastAsia="宋体" w:hint="default"/>
                <w:spacing w:val="-61"/>
                <w:sz w:val="24"/>
                <w:szCs w:val="24"/>
              </w:rPr>
              <w:t> </w:t>
            </w:r>
            <w:r>
              <w:rPr>
                <w:rFonts w:ascii="Arial" w:hAnsi="Arial" w:cs="Arial" w:eastAsia="Arial" w:hint="default"/>
                <w:sz w:val="24"/>
                <w:szCs w:val="24"/>
              </w:rPr>
              <w:t>2001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日领取营业执照。</w:t>
            </w:r>
          </w:p>
          <w:p>
            <w:pPr>
              <w:pStyle w:val="TableParagraph"/>
              <w:spacing w:line="322" w:lineRule="exact"/>
              <w:ind w:left="234" w:right="0"/>
              <w:jc w:val="both"/>
              <w:rPr>
                <w:rFonts w:ascii="宋体" w:hAnsi="宋体" w:cs="宋体" w:eastAsia="宋体" w:hint="default"/>
                <w:sz w:val="24"/>
                <w:szCs w:val="24"/>
              </w:rPr>
            </w:pPr>
            <w:r>
              <w:rPr>
                <w:rFonts w:ascii="宋体" w:hAnsi="宋体" w:cs="宋体" w:eastAsia="宋体" w:hint="default"/>
                <w:sz w:val="24"/>
                <w:szCs w:val="24"/>
              </w:rPr>
              <w:t>此后，根据</w:t>
            </w:r>
            <w:r>
              <w:rPr>
                <w:rFonts w:ascii="宋体" w:hAnsi="宋体" w:cs="宋体" w:eastAsia="宋体" w:hint="default"/>
                <w:spacing w:val="-64"/>
                <w:sz w:val="24"/>
                <w:szCs w:val="24"/>
              </w:rPr>
              <w:t> </w:t>
            </w:r>
            <w:r>
              <w:rPr>
                <w:rFonts w:ascii="Arial" w:hAnsi="Arial" w:cs="Arial" w:eastAsia="Arial" w:hint="default"/>
                <w:sz w:val="24"/>
                <w:szCs w:val="24"/>
              </w:rPr>
              <w:t>2005</w:t>
            </w:r>
            <w:r>
              <w:rPr>
                <w:rFonts w:ascii="Arial" w:hAnsi="Arial" w:cs="Arial" w:eastAsia="Arial" w:hint="default"/>
                <w:spacing w:val="-9"/>
                <w:sz w:val="24"/>
                <w:szCs w:val="24"/>
              </w:rPr>
              <w:t> </w:t>
            </w:r>
            <w:r>
              <w:rPr>
                <w:rFonts w:ascii="宋体" w:hAnsi="宋体" w:cs="宋体" w:eastAsia="宋体" w:hint="default"/>
                <w:sz w:val="24"/>
                <w:szCs w:val="24"/>
              </w:rPr>
              <w:t>年第二次临时股东大会决议，本公司更名为苏宁电器股份有限公司。</w:t>
            </w:r>
          </w:p>
        </w:tc>
      </w:tr>
      <w:tr>
        <w:trPr>
          <w:trHeight w:val="1836"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34" w:right="318"/>
              <w:jc w:val="left"/>
              <w:rPr>
                <w:rFonts w:ascii="宋体" w:hAnsi="宋体" w:cs="宋体" w:eastAsia="宋体" w:hint="default"/>
                <w:sz w:val="24"/>
                <w:szCs w:val="24"/>
              </w:rPr>
            </w:pPr>
            <w:r>
              <w:rPr>
                <w:rFonts w:ascii="宋体" w:hAnsi="宋体" w:cs="宋体" w:eastAsia="宋体" w:hint="default"/>
                <w:sz w:val="24"/>
                <w:szCs w:val="24"/>
              </w:rPr>
              <w:t>经中国证券监督管理委员会证监发行字</w:t>
            </w:r>
            <w:r>
              <w:rPr>
                <w:rFonts w:ascii="Arial" w:hAnsi="Arial" w:cs="Arial" w:eastAsia="Arial" w:hint="default"/>
                <w:sz w:val="24"/>
                <w:szCs w:val="24"/>
              </w:rPr>
              <w:t>[2004]97</w:t>
            </w:r>
            <w:r>
              <w:rPr>
                <w:rFonts w:ascii="Arial" w:hAnsi="Arial" w:cs="Arial" w:eastAsia="Arial" w:hint="default"/>
                <w:spacing w:val="48"/>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关于核准苏宁电器连锁集团股份</w:t>
            </w:r>
            <w:r>
              <w:rPr>
                <w:rFonts w:ascii="宋体" w:hAnsi="宋体" w:cs="宋体" w:eastAsia="宋体" w:hint="default"/>
                <w:spacing w:val="-111"/>
                <w:sz w:val="24"/>
                <w:szCs w:val="24"/>
              </w:rPr>
              <w:t> </w:t>
            </w:r>
            <w:r>
              <w:rPr>
                <w:rFonts w:ascii="宋体" w:hAnsi="宋体" w:cs="宋体" w:eastAsia="宋体" w:hint="default"/>
                <w:sz w:val="24"/>
                <w:szCs w:val="24"/>
              </w:rPr>
              <w:t>有限公司公开发行股票的通知</w:t>
            </w:r>
            <w:r>
              <w:rPr>
                <w:rFonts w:ascii="Arial" w:hAnsi="Arial" w:cs="Arial" w:eastAsia="Arial" w:hint="default"/>
                <w:sz w:val="24"/>
                <w:szCs w:val="24"/>
              </w:rPr>
              <w:t>”</w:t>
            </w:r>
            <w:r>
              <w:rPr>
                <w:rFonts w:ascii="宋体" w:hAnsi="宋体" w:cs="宋体" w:eastAsia="宋体" w:hint="default"/>
                <w:sz w:val="24"/>
                <w:szCs w:val="24"/>
              </w:rPr>
              <w:t>批准，本公司于 </w:t>
            </w:r>
            <w:r>
              <w:rPr>
                <w:rFonts w:ascii="Arial" w:hAnsi="Arial" w:cs="Arial" w:eastAsia="Arial" w:hint="default"/>
                <w:sz w:val="24"/>
                <w:szCs w:val="24"/>
              </w:rPr>
              <w:t>2004 </w:t>
            </w:r>
            <w:r>
              <w:rPr>
                <w:rFonts w:ascii="宋体" w:hAnsi="宋体" w:cs="宋体" w:eastAsia="宋体" w:hint="default"/>
                <w:sz w:val="24"/>
                <w:szCs w:val="24"/>
              </w:rPr>
              <w:t>年 </w:t>
            </w:r>
            <w:r>
              <w:rPr>
                <w:rFonts w:ascii="Arial" w:hAnsi="Arial" w:cs="Arial" w:eastAsia="Arial" w:hint="default"/>
                <w:sz w:val="24"/>
                <w:szCs w:val="24"/>
              </w:rPr>
              <w:t>7 </w:t>
            </w:r>
            <w:r>
              <w:rPr>
                <w:rFonts w:ascii="宋体" w:hAnsi="宋体" w:cs="宋体" w:eastAsia="宋体" w:hint="default"/>
                <w:sz w:val="24"/>
                <w:szCs w:val="24"/>
              </w:rPr>
              <w:t>月 </w:t>
            </w:r>
            <w:r>
              <w:rPr>
                <w:rFonts w:ascii="Arial" w:hAnsi="Arial" w:cs="Arial" w:eastAsia="Arial" w:hint="default"/>
                <w:sz w:val="24"/>
                <w:szCs w:val="24"/>
              </w:rPr>
              <w:t>7</w:t>
            </w:r>
            <w:r>
              <w:rPr>
                <w:rFonts w:ascii="Arial" w:hAnsi="Arial" w:cs="Arial" w:eastAsia="Arial" w:hint="default"/>
                <w:spacing w:val="13"/>
                <w:sz w:val="24"/>
                <w:szCs w:val="24"/>
              </w:rPr>
              <w:t> </w:t>
            </w:r>
            <w:r>
              <w:rPr>
                <w:rFonts w:ascii="宋体" w:hAnsi="宋体" w:cs="宋体" w:eastAsia="宋体" w:hint="default"/>
                <w:sz w:val="24"/>
                <w:szCs w:val="24"/>
              </w:rPr>
              <w:t>日向境内投资者发行了</w:t>
            </w:r>
          </w:p>
          <w:p>
            <w:pPr>
              <w:pStyle w:val="TableParagraph"/>
              <w:spacing w:line="291" w:lineRule="exact"/>
              <w:ind w:left="234" w:right="0"/>
              <w:jc w:val="left"/>
              <w:rPr>
                <w:rFonts w:ascii="宋体" w:hAnsi="宋体" w:cs="宋体" w:eastAsia="宋体" w:hint="default"/>
                <w:sz w:val="24"/>
                <w:szCs w:val="24"/>
              </w:rPr>
            </w:pPr>
            <w:r>
              <w:rPr>
                <w:rFonts w:ascii="Arial" w:hAnsi="Arial" w:cs="Arial" w:eastAsia="Arial" w:hint="default"/>
                <w:sz w:val="24"/>
                <w:szCs w:val="24"/>
              </w:rPr>
              <w:t>2,500</w:t>
            </w:r>
            <w:r>
              <w:rPr>
                <w:rFonts w:ascii="Arial" w:hAnsi="Arial" w:cs="Arial" w:eastAsia="Arial" w:hint="default"/>
                <w:spacing w:val="-7"/>
                <w:sz w:val="24"/>
                <w:szCs w:val="24"/>
              </w:rPr>
              <w:t> </w:t>
            </w:r>
            <w:r>
              <w:rPr>
                <w:rFonts w:ascii="宋体" w:hAnsi="宋体" w:cs="宋体" w:eastAsia="宋体" w:hint="default"/>
                <w:sz w:val="24"/>
                <w:szCs w:val="24"/>
              </w:rPr>
              <w:t>万股人民币普通股</w:t>
            </w:r>
            <w:r>
              <w:rPr>
                <w:rFonts w:ascii="Arial" w:hAnsi="Arial" w:cs="Arial" w:eastAsia="Arial" w:hint="default"/>
                <w:sz w:val="24"/>
                <w:szCs w:val="24"/>
              </w:rPr>
              <w:t>(</w:t>
            </w:r>
            <w:r>
              <w:rPr>
                <w:rFonts w:ascii="宋体" w:hAnsi="宋体" w:cs="宋体" w:eastAsia="宋体" w:hint="default"/>
                <w:sz w:val="24"/>
                <w:szCs w:val="24"/>
              </w:rPr>
              <w:t>以下称为</w:t>
            </w:r>
            <w:r>
              <w:rPr>
                <w:rFonts w:ascii="Arial" w:hAnsi="Arial" w:cs="Arial" w:eastAsia="Arial" w:hint="default"/>
                <w:sz w:val="24"/>
                <w:szCs w:val="24"/>
              </w:rPr>
              <w:t>“A</w:t>
            </w:r>
            <w:r>
              <w:rPr>
                <w:rFonts w:ascii="Arial" w:hAnsi="Arial" w:cs="Arial" w:eastAsia="Arial" w:hint="default"/>
                <w:spacing w:val="-7"/>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，每股面值人民币</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元，每股发行价为人民币</w:t>
            </w:r>
          </w:p>
          <w:p>
            <w:pPr>
              <w:pStyle w:val="TableParagraph"/>
              <w:spacing w:line="312" w:lineRule="exact"/>
              <w:ind w:left="234" w:right="0"/>
              <w:jc w:val="left"/>
              <w:rPr>
                <w:rFonts w:ascii="宋体" w:hAnsi="宋体" w:cs="宋体" w:eastAsia="宋体" w:hint="default"/>
                <w:sz w:val="24"/>
                <w:szCs w:val="24"/>
              </w:rPr>
            </w:pPr>
            <w:r>
              <w:rPr>
                <w:rFonts w:ascii="Arial" w:hAnsi="Arial" w:cs="Arial" w:eastAsia="Arial" w:hint="default"/>
                <w:sz w:val="24"/>
                <w:szCs w:val="24"/>
              </w:rPr>
              <w:t>16.33</w:t>
            </w:r>
            <w:r>
              <w:rPr>
                <w:rFonts w:ascii="Arial" w:hAnsi="Arial" w:cs="Arial" w:eastAsia="Arial" w:hint="default"/>
                <w:spacing w:val="-11"/>
                <w:sz w:val="24"/>
                <w:szCs w:val="24"/>
              </w:rPr>
              <w:t> </w:t>
            </w:r>
            <w:r>
              <w:rPr>
                <w:rFonts w:ascii="宋体" w:hAnsi="宋体" w:cs="宋体" w:eastAsia="宋体" w:hint="default"/>
                <w:sz w:val="24"/>
                <w:szCs w:val="24"/>
              </w:rPr>
              <w:t>元，发行后总股本增至人民币</w:t>
            </w:r>
            <w:r>
              <w:rPr>
                <w:rFonts w:ascii="宋体" w:hAnsi="宋体" w:cs="宋体" w:eastAsia="宋体" w:hint="default"/>
                <w:spacing w:val="-65"/>
                <w:sz w:val="24"/>
                <w:szCs w:val="24"/>
              </w:rPr>
              <w:t> </w:t>
            </w:r>
            <w:r>
              <w:rPr>
                <w:rFonts w:ascii="Arial" w:hAnsi="Arial" w:cs="Arial" w:eastAsia="Arial" w:hint="default"/>
                <w:sz w:val="24"/>
                <w:szCs w:val="24"/>
              </w:rPr>
              <w:t>93,160,000</w:t>
            </w:r>
            <w:r>
              <w:rPr>
                <w:rFonts w:ascii="Arial" w:hAnsi="Arial" w:cs="Arial" w:eastAsia="Arial" w:hint="default"/>
                <w:spacing w:val="-10"/>
                <w:sz w:val="24"/>
                <w:szCs w:val="24"/>
              </w:rPr>
              <w:t> </w:t>
            </w:r>
            <w:r>
              <w:rPr>
                <w:rFonts w:ascii="宋体" w:hAnsi="宋体" w:cs="宋体" w:eastAsia="宋体" w:hint="default"/>
                <w:sz w:val="24"/>
                <w:szCs w:val="24"/>
              </w:rPr>
              <w:t>元，本公司发行的</w:t>
            </w:r>
            <w:r>
              <w:rPr>
                <w:rFonts w:ascii="宋体" w:hAnsi="宋体" w:cs="宋体" w:eastAsia="宋体" w:hint="default"/>
                <w:spacing w:val="-67"/>
                <w:sz w:val="24"/>
                <w:szCs w:val="24"/>
              </w:rPr>
              <w:t> </w:t>
            </w:r>
            <w:r>
              <w:rPr>
                <w:rFonts w:ascii="Arial" w:hAnsi="Arial" w:cs="Arial" w:eastAsia="Arial" w:hint="default"/>
                <w:sz w:val="24"/>
                <w:szCs w:val="24"/>
              </w:rPr>
              <w:t>A</w:t>
            </w:r>
            <w:r>
              <w:rPr>
                <w:rFonts w:ascii="Arial" w:hAnsi="Arial" w:cs="Arial" w:eastAsia="Arial" w:hint="default"/>
                <w:spacing w:val="-11"/>
                <w:sz w:val="24"/>
                <w:szCs w:val="24"/>
              </w:rPr>
              <w:t> </w:t>
            </w:r>
            <w:r>
              <w:rPr>
                <w:rFonts w:ascii="宋体" w:hAnsi="宋体" w:cs="宋体" w:eastAsia="宋体" w:hint="default"/>
                <w:sz w:val="24"/>
                <w:szCs w:val="24"/>
              </w:rPr>
              <w:t>股于</w:t>
            </w:r>
            <w:r>
              <w:rPr>
                <w:rFonts w:ascii="宋体" w:hAnsi="宋体" w:cs="宋体" w:eastAsia="宋体" w:hint="default"/>
                <w:spacing w:val="-65"/>
                <w:sz w:val="24"/>
                <w:szCs w:val="24"/>
              </w:rPr>
              <w:t> </w:t>
            </w:r>
            <w:r>
              <w:rPr>
                <w:rFonts w:ascii="Arial" w:hAnsi="Arial" w:cs="Arial" w:eastAsia="Arial" w:hint="default"/>
                <w:sz w:val="24"/>
                <w:szCs w:val="24"/>
              </w:rPr>
              <w:t>2004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w:t>
            </w:r>
          </w:p>
          <w:p>
            <w:pPr>
              <w:pStyle w:val="TableParagraph"/>
              <w:spacing w:line="322" w:lineRule="exact"/>
              <w:ind w:left="234" w:right="0"/>
              <w:jc w:val="left"/>
              <w:rPr>
                <w:rFonts w:ascii="宋体" w:hAnsi="宋体" w:cs="宋体" w:eastAsia="宋体" w:hint="default"/>
                <w:sz w:val="24"/>
                <w:szCs w:val="24"/>
              </w:rPr>
            </w:pPr>
            <w:r>
              <w:rPr>
                <w:rFonts w:ascii="Arial" w:hAnsi="Arial" w:cs="Arial" w:eastAsia="Arial" w:hint="default"/>
                <w:sz w:val="24"/>
                <w:szCs w:val="24"/>
              </w:rPr>
              <w:t>21</w:t>
            </w:r>
            <w:r>
              <w:rPr>
                <w:rFonts w:ascii="Arial" w:hAnsi="Arial" w:cs="Arial" w:eastAsia="Arial" w:hint="default"/>
                <w:spacing w:val="-10"/>
                <w:sz w:val="24"/>
                <w:szCs w:val="24"/>
              </w:rPr>
              <w:t> </w:t>
            </w:r>
            <w:r>
              <w:rPr>
                <w:rFonts w:ascii="宋体" w:hAnsi="宋体" w:cs="宋体" w:eastAsia="宋体" w:hint="default"/>
                <w:sz w:val="24"/>
                <w:szCs w:val="24"/>
              </w:rPr>
              <w:t>日在深圳证券交易所中小企业板块挂牌上市交易。</w:t>
            </w:r>
          </w:p>
        </w:tc>
      </w:tr>
      <w:tr>
        <w:trPr>
          <w:trHeight w:val="900"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234" w:right="321"/>
              <w:jc w:val="left"/>
              <w:rPr>
                <w:rFonts w:ascii="宋体" w:hAnsi="宋体" w:cs="宋体" w:eastAsia="宋体" w:hint="default"/>
                <w:sz w:val="24"/>
                <w:szCs w:val="24"/>
              </w:rPr>
            </w:pPr>
            <w:r>
              <w:rPr>
                <w:rFonts w:ascii="宋体" w:hAnsi="宋体" w:cs="宋体" w:eastAsia="宋体" w:hint="default"/>
                <w:spacing w:val="-1"/>
                <w:sz w:val="24"/>
                <w:szCs w:val="24"/>
              </w:rPr>
              <w:t>经于</w:t>
            </w:r>
            <w:r>
              <w:rPr>
                <w:rFonts w:ascii="Arial" w:hAnsi="Arial" w:cs="Arial" w:eastAsia="Arial" w:hint="default"/>
                <w:spacing w:val="-1"/>
                <w:sz w:val="24"/>
                <w:szCs w:val="24"/>
              </w:rPr>
              <w:t>2005</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22</w:t>
            </w:r>
            <w:r>
              <w:rPr>
                <w:rFonts w:ascii="宋体" w:hAnsi="宋体" w:cs="宋体" w:eastAsia="宋体" w:hint="default"/>
                <w:spacing w:val="-1"/>
                <w:sz w:val="24"/>
                <w:szCs w:val="24"/>
              </w:rPr>
              <w:t>日召开的</w:t>
            </w:r>
            <w:r>
              <w:rPr>
                <w:rFonts w:ascii="Arial" w:hAnsi="Arial" w:cs="Arial" w:eastAsia="Arial" w:hint="default"/>
                <w:spacing w:val="-1"/>
                <w:sz w:val="24"/>
                <w:szCs w:val="24"/>
              </w:rPr>
              <w:t>2004</w:t>
            </w:r>
            <w:r>
              <w:rPr>
                <w:rFonts w:ascii="宋体" w:hAnsi="宋体" w:cs="宋体" w:eastAsia="宋体" w:hint="default"/>
                <w:spacing w:val="-1"/>
                <w:sz w:val="24"/>
                <w:szCs w:val="24"/>
              </w:rPr>
              <w:t>年年度股东大会通过，本公司以资本公积转增股本人民</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币</w:t>
            </w:r>
            <w:r>
              <w:rPr>
                <w:rFonts w:ascii="Arial" w:hAnsi="Arial" w:cs="Arial" w:eastAsia="Arial" w:hint="default"/>
                <w:sz w:val="24"/>
                <w:szCs w:val="24"/>
              </w:rPr>
              <w:t>93,160,000</w:t>
            </w:r>
            <w:r>
              <w:rPr>
                <w:rFonts w:ascii="宋体" w:hAnsi="宋体" w:cs="宋体" w:eastAsia="宋体" w:hint="default"/>
                <w:sz w:val="24"/>
                <w:szCs w:val="24"/>
              </w:rPr>
              <w:t>元。经此次转增后，股本总额变更为人民币</w:t>
            </w:r>
            <w:r>
              <w:rPr>
                <w:rFonts w:ascii="Arial" w:hAnsi="Arial" w:cs="Arial" w:eastAsia="Arial" w:hint="default"/>
                <w:sz w:val="24"/>
                <w:szCs w:val="24"/>
              </w:rPr>
              <w:t>186,320,000</w:t>
            </w:r>
            <w:r>
              <w:rPr>
                <w:rFonts w:ascii="宋体" w:hAnsi="宋体" w:cs="宋体" w:eastAsia="宋体" w:hint="default"/>
                <w:sz w:val="24"/>
                <w:szCs w:val="24"/>
              </w:rPr>
              <w:t>元。</w:t>
            </w:r>
          </w:p>
        </w:tc>
      </w:tr>
      <w:tr>
        <w:trPr>
          <w:trHeight w:val="900"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34" w:right="308"/>
              <w:jc w:val="left"/>
              <w:rPr>
                <w:rFonts w:ascii="宋体" w:hAnsi="宋体" w:cs="宋体" w:eastAsia="宋体" w:hint="default"/>
                <w:sz w:val="24"/>
                <w:szCs w:val="24"/>
              </w:rPr>
            </w:pPr>
            <w:r>
              <w:rPr>
                <w:rFonts w:ascii="宋体" w:hAnsi="宋体" w:cs="宋体" w:eastAsia="宋体" w:hint="default"/>
                <w:spacing w:val="-1"/>
                <w:sz w:val="24"/>
                <w:szCs w:val="24"/>
              </w:rPr>
              <w:t>经于</w:t>
            </w:r>
            <w:r>
              <w:rPr>
                <w:rFonts w:ascii="Arial" w:hAnsi="Arial" w:cs="Arial" w:eastAsia="Arial" w:hint="default"/>
                <w:spacing w:val="-1"/>
                <w:sz w:val="24"/>
                <w:szCs w:val="24"/>
              </w:rPr>
              <w:t>2005</w:t>
            </w:r>
            <w:r>
              <w:rPr>
                <w:rFonts w:ascii="宋体" w:hAnsi="宋体" w:cs="宋体" w:eastAsia="宋体" w:hint="default"/>
                <w:spacing w:val="-1"/>
                <w:sz w:val="24"/>
                <w:szCs w:val="24"/>
              </w:rPr>
              <w:t>年</w:t>
            </w:r>
            <w:r>
              <w:rPr>
                <w:rFonts w:ascii="Arial" w:hAnsi="Arial" w:cs="Arial" w:eastAsia="Arial" w:hint="default"/>
                <w:spacing w:val="-1"/>
                <w:sz w:val="24"/>
                <w:szCs w:val="24"/>
              </w:rPr>
              <w:t>9</w:t>
            </w:r>
            <w:r>
              <w:rPr>
                <w:rFonts w:ascii="宋体" w:hAnsi="宋体" w:cs="宋体" w:eastAsia="宋体" w:hint="default"/>
                <w:spacing w:val="-1"/>
                <w:sz w:val="24"/>
                <w:szCs w:val="24"/>
              </w:rPr>
              <w:t>月</w:t>
            </w:r>
            <w:r>
              <w:rPr>
                <w:rFonts w:ascii="Arial" w:hAnsi="Arial" w:cs="Arial" w:eastAsia="Arial" w:hint="default"/>
                <w:spacing w:val="-1"/>
                <w:sz w:val="24"/>
                <w:szCs w:val="24"/>
              </w:rPr>
              <w:t>29</w:t>
            </w:r>
            <w:r>
              <w:rPr>
                <w:rFonts w:ascii="宋体" w:hAnsi="宋体" w:cs="宋体" w:eastAsia="宋体" w:hint="default"/>
                <w:spacing w:val="-1"/>
                <w:sz w:val="24"/>
                <w:szCs w:val="24"/>
              </w:rPr>
              <w:t>日召开的</w:t>
            </w:r>
            <w:r>
              <w:rPr>
                <w:rFonts w:ascii="Arial" w:hAnsi="Arial" w:cs="Arial" w:eastAsia="Arial" w:hint="default"/>
                <w:spacing w:val="-1"/>
                <w:sz w:val="24"/>
                <w:szCs w:val="24"/>
              </w:rPr>
              <w:t>2005</w:t>
            </w:r>
            <w:r>
              <w:rPr>
                <w:rFonts w:ascii="宋体" w:hAnsi="宋体" w:cs="宋体" w:eastAsia="宋体" w:hint="default"/>
                <w:spacing w:val="-1"/>
                <w:sz w:val="24"/>
                <w:szCs w:val="24"/>
              </w:rPr>
              <w:t>年第二次临时股东大会决议通过，本公司以资本公积转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增股本人民币</w:t>
            </w:r>
            <w:r>
              <w:rPr>
                <w:rFonts w:ascii="Arial" w:hAnsi="Arial" w:cs="Arial" w:eastAsia="Arial" w:hint="default"/>
                <w:sz w:val="24"/>
                <w:szCs w:val="24"/>
              </w:rPr>
              <w:t>149,056,000</w:t>
            </w:r>
            <w:r>
              <w:rPr>
                <w:rFonts w:ascii="宋体" w:hAnsi="宋体" w:cs="宋体" w:eastAsia="宋体" w:hint="default"/>
                <w:sz w:val="24"/>
                <w:szCs w:val="24"/>
              </w:rPr>
              <w:t>元。经此次转增后，股本总额变更为人民币</w:t>
            </w:r>
            <w:r>
              <w:rPr>
                <w:rFonts w:ascii="Arial" w:hAnsi="Arial" w:cs="Arial" w:eastAsia="Arial" w:hint="default"/>
                <w:sz w:val="24"/>
                <w:szCs w:val="24"/>
              </w:rPr>
              <w:t>335,376,000</w:t>
            </w:r>
            <w:r>
              <w:rPr>
                <w:rFonts w:ascii="宋体" w:hAnsi="宋体" w:cs="宋体" w:eastAsia="宋体" w:hint="default"/>
                <w:sz w:val="24"/>
                <w:szCs w:val="24"/>
              </w:rPr>
              <w:t>元。</w:t>
            </w:r>
          </w:p>
        </w:tc>
      </w:tr>
      <w:tr>
        <w:trPr>
          <w:trHeight w:val="1524"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34" w:right="319"/>
              <w:jc w:val="both"/>
              <w:rPr>
                <w:rFonts w:ascii="宋体" w:hAnsi="宋体" w:cs="宋体" w:eastAsia="宋体" w:hint="default"/>
                <w:sz w:val="24"/>
                <w:szCs w:val="24"/>
              </w:rPr>
            </w:pPr>
            <w:r>
              <w:rPr>
                <w:rFonts w:ascii="宋体" w:hAnsi="宋体" w:cs="宋体" w:eastAsia="宋体" w:hint="default"/>
                <w:spacing w:val="4"/>
                <w:sz w:val="24"/>
                <w:szCs w:val="24"/>
              </w:rPr>
              <w:t>经中国证券监督管理委员会证监发行字</w:t>
            </w:r>
            <w:r>
              <w:rPr>
                <w:rFonts w:ascii="Arial" w:hAnsi="Arial" w:cs="Arial" w:eastAsia="Arial" w:hint="default"/>
                <w:spacing w:val="4"/>
                <w:sz w:val="24"/>
                <w:szCs w:val="24"/>
              </w:rPr>
              <w:t>[2006]21</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关于核准苏宁电器股份有限公司</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非公开发行股票的通知</w:t>
            </w:r>
            <w:r>
              <w:rPr>
                <w:rFonts w:ascii="Arial" w:hAnsi="Arial" w:cs="Arial" w:eastAsia="Arial" w:hint="default"/>
                <w:sz w:val="24"/>
                <w:szCs w:val="24"/>
              </w:rPr>
              <w:t>”</w:t>
            </w:r>
            <w:r>
              <w:rPr>
                <w:rFonts w:ascii="宋体" w:hAnsi="宋体" w:cs="宋体" w:eastAsia="宋体" w:hint="default"/>
                <w:sz w:val="24"/>
                <w:szCs w:val="24"/>
              </w:rPr>
              <w:t>批准，本公司于</w:t>
            </w:r>
            <w:r>
              <w:rPr>
                <w:rFonts w:ascii="Arial" w:hAnsi="Arial" w:cs="Arial" w:eastAsia="Arial" w:hint="default"/>
                <w:sz w:val="24"/>
                <w:szCs w:val="24"/>
              </w:rPr>
              <w:t>2006</w:t>
            </w:r>
            <w:r>
              <w:rPr>
                <w:rFonts w:ascii="宋体" w:hAnsi="宋体" w:cs="宋体" w:eastAsia="宋体" w:hint="default"/>
                <w:sz w:val="24"/>
                <w:szCs w:val="24"/>
              </w:rPr>
              <w:t>年</w:t>
            </w:r>
            <w:r>
              <w:rPr>
                <w:rFonts w:ascii="Arial" w:hAnsi="Arial" w:cs="Arial" w:eastAsia="Arial" w:hint="default"/>
                <w:sz w:val="24"/>
                <w:szCs w:val="24"/>
              </w:rPr>
              <w:t>6</w:t>
            </w:r>
            <w:r>
              <w:rPr>
                <w:rFonts w:ascii="宋体" w:hAnsi="宋体" w:cs="宋体" w:eastAsia="宋体" w:hint="default"/>
                <w:sz w:val="24"/>
                <w:szCs w:val="24"/>
              </w:rPr>
              <w:t>月</w:t>
            </w:r>
            <w:r>
              <w:rPr>
                <w:rFonts w:ascii="Arial" w:hAnsi="Arial" w:cs="Arial" w:eastAsia="Arial" w:hint="default"/>
                <w:sz w:val="24"/>
                <w:szCs w:val="24"/>
              </w:rPr>
              <w:t>20</w:t>
            </w:r>
            <w:r>
              <w:rPr>
                <w:rFonts w:ascii="宋体" w:hAnsi="宋体" w:cs="宋体" w:eastAsia="宋体" w:hint="default"/>
                <w:sz w:val="24"/>
                <w:szCs w:val="24"/>
              </w:rPr>
              <w:t>日向特定投资者非公开发行</w:t>
            </w:r>
            <w:r>
              <w:rPr>
                <w:rFonts w:ascii="Arial" w:hAnsi="Arial" w:cs="Arial" w:eastAsia="Arial" w:hint="default"/>
                <w:sz w:val="24"/>
                <w:szCs w:val="24"/>
              </w:rPr>
              <w:t>2,500</w:t>
            </w:r>
            <w:r>
              <w:rPr>
                <w:rFonts w:ascii="Arial" w:hAnsi="Arial" w:cs="Arial" w:eastAsia="Arial" w:hint="default"/>
                <w:spacing w:val="2"/>
                <w:sz w:val="24"/>
                <w:szCs w:val="24"/>
              </w:rPr>
              <w:t> </w:t>
            </w:r>
            <w:r>
              <w:rPr>
                <w:rFonts w:ascii="Arial" w:hAnsi="Arial" w:cs="Arial" w:eastAsia="Arial" w:hint="default"/>
                <w:spacing w:val="2"/>
                <w:sz w:val="24"/>
                <w:szCs w:val="24"/>
              </w:rPr>
            </w:r>
            <w:r>
              <w:rPr>
                <w:rFonts w:ascii="宋体" w:hAnsi="宋体" w:cs="宋体" w:eastAsia="宋体" w:hint="default"/>
                <w:spacing w:val="16"/>
                <w:sz w:val="24"/>
                <w:szCs w:val="24"/>
              </w:rPr>
              <w:t>万</w:t>
            </w:r>
            <w:r>
              <w:rPr>
                <w:rFonts w:ascii="Arial" w:hAnsi="Arial" w:cs="Arial" w:eastAsia="Arial" w:hint="default"/>
                <w:spacing w:val="16"/>
                <w:sz w:val="24"/>
                <w:szCs w:val="24"/>
              </w:rPr>
              <w:t>A</w:t>
            </w:r>
            <w:r>
              <w:rPr>
                <w:rFonts w:ascii="宋体" w:hAnsi="宋体" w:cs="宋体" w:eastAsia="宋体" w:hint="default"/>
                <w:spacing w:val="16"/>
                <w:sz w:val="24"/>
                <w:szCs w:val="24"/>
              </w:rPr>
              <w:t>股，每股面值人民币</w:t>
            </w:r>
            <w:r>
              <w:rPr>
                <w:rFonts w:ascii="宋体" w:hAnsi="宋体" w:cs="宋体" w:eastAsia="宋体" w:hint="default"/>
                <w:spacing w:val="-97"/>
                <w:sz w:val="24"/>
                <w:szCs w:val="24"/>
              </w:rPr>
              <w:t> </w:t>
            </w:r>
            <w:r>
              <w:rPr>
                <w:rFonts w:ascii="Arial" w:hAnsi="Arial" w:cs="Arial" w:eastAsia="Arial" w:hint="default"/>
                <w:spacing w:val="16"/>
                <w:sz w:val="24"/>
                <w:szCs w:val="24"/>
              </w:rPr>
              <w:t>1</w:t>
            </w:r>
            <w:r>
              <w:rPr>
                <w:rFonts w:ascii="宋体" w:hAnsi="宋体" w:cs="宋体" w:eastAsia="宋体" w:hint="default"/>
                <w:spacing w:val="16"/>
                <w:sz w:val="24"/>
                <w:szCs w:val="24"/>
              </w:rPr>
              <w:t>元，每股发行价为人民币</w:t>
            </w:r>
            <w:r>
              <w:rPr>
                <w:rFonts w:ascii="宋体" w:hAnsi="宋体" w:cs="宋体" w:eastAsia="宋体" w:hint="default"/>
                <w:spacing w:val="-96"/>
                <w:sz w:val="24"/>
                <w:szCs w:val="24"/>
              </w:rPr>
              <w:t> </w:t>
            </w:r>
            <w:r>
              <w:rPr>
                <w:rFonts w:ascii="Arial" w:hAnsi="Arial" w:cs="Arial" w:eastAsia="Arial" w:hint="default"/>
                <w:spacing w:val="15"/>
                <w:sz w:val="24"/>
                <w:szCs w:val="24"/>
              </w:rPr>
              <w:t>48</w:t>
            </w:r>
            <w:r>
              <w:rPr>
                <w:rFonts w:ascii="宋体" w:hAnsi="宋体" w:cs="宋体" w:eastAsia="宋体" w:hint="default"/>
                <w:spacing w:val="15"/>
                <w:sz w:val="24"/>
                <w:szCs w:val="24"/>
              </w:rPr>
              <w:t>元，股本总额变更为人民币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Arial" w:hAnsi="Arial" w:cs="Arial" w:eastAsia="Arial" w:hint="default"/>
                <w:sz w:val="24"/>
                <w:szCs w:val="24"/>
              </w:rPr>
              <w:t>360,376,000</w:t>
            </w:r>
            <w:r>
              <w:rPr>
                <w:rFonts w:ascii="宋体" w:hAnsi="宋体" w:cs="宋体" w:eastAsia="宋体" w:hint="default"/>
                <w:sz w:val="24"/>
                <w:szCs w:val="24"/>
              </w:rPr>
              <w:t>元。</w:t>
            </w:r>
          </w:p>
        </w:tc>
      </w:tr>
      <w:tr>
        <w:trPr>
          <w:trHeight w:val="900"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234" w:right="308"/>
              <w:jc w:val="left"/>
              <w:rPr>
                <w:rFonts w:ascii="宋体" w:hAnsi="宋体" w:cs="宋体" w:eastAsia="宋体" w:hint="default"/>
                <w:sz w:val="24"/>
                <w:szCs w:val="24"/>
              </w:rPr>
            </w:pPr>
            <w:r>
              <w:rPr>
                <w:rFonts w:ascii="宋体" w:hAnsi="宋体" w:cs="宋体" w:eastAsia="宋体" w:hint="default"/>
                <w:spacing w:val="-1"/>
                <w:sz w:val="24"/>
                <w:szCs w:val="24"/>
              </w:rPr>
              <w:t>经于</w:t>
            </w:r>
            <w:r>
              <w:rPr>
                <w:rFonts w:ascii="Arial" w:hAnsi="Arial" w:cs="Arial" w:eastAsia="Arial" w:hint="default"/>
                <w:spacing w:val="-1"/>
                <w:sz w:val="24"/>
                <w:szCs w:val="24"/>
              </w:rPr>
              <w:t>2006</w:t>
            </w:r>
            <w:r>
              <w:rPr>
                <w:rFonts w:ascii="宋体" w:hAnsi="宋体" w:cs="宋体" w:eastAsia="宋体" w:hint="default"/>
                <w:spacing w:val="-1"/>
                <w:sz w:val="24"/>
                <w:szCs w:val="24"/>
              </w:rPr>
              <w:t>年</w:t>
            </w:r>
            <w:r>
              <w:rPr>
                <w:rFonts w:ascii="Arial" w:hAnsi="Arial" w:cs="Arial" w:eastAsia="Arial" w:hint="default"/>
                <w:spacing w:val="-1"/>
                <w:sz w:val="24"/>
                <w:szCs w:val="24"/>
              </w:rPr>
              <w:t>9</w:t>
            </w:r>
            <w:r>
              <w:rPr>
                <w:rFonts w:ascii="宋体" w:hAnsi="宋体" w:cs="宋体" w:eastAsia="宋体" w:hint="default"/>
                <w:spacing w:val="-1"/>
                <w:sz w:val="24"/>
                <w:szCs w:val="24"/>
              </w:rPr>
              <w:t>月</w:t>
            </w:r>
            <w:r>
              <w:rPr>
                <w:rFonts w:ascii="Arial" w:hAnsi="Arial" w:cs="Arial" w:eastAsia="Arial" w:hint="default"/>
                <w:spacing w:val="-1"/>
                <w:sz w:val="24"/>
                <w:szCs w:val="24"/>
              </w:rPr>
              <w:t>13</w:t>
            </w:r>
            <w:r>
              <w:rPr>
                <w:rFonts w:ascii="宋体" w:hAnsi="宋体" w:cs="宋体" w:eastAsia="宋体" w:hint="default"/>
                <w:spacing w:val="-1"/>
                <w:sz w:val="24"/>
                <w:szCs w:val="24"/>
              </w:rPr>
              <w:t>日召开的</w:t>
            </w:r>
            <w:r>
              <w:rPr>
                <w:rFonts w:ascii="Arial" w:hAnsi="Arial" w:cs="Arial" w:eastAsia="Arial" w:hint="default"/>
                <w:spacing w:val="-1"/>
                <w:sz w:val="24"/>
                <w:szCs w:val="24"/>
              </w:rPr>
              <w:t>2006</w:t>
            </w:r>
            <w:r>
              <w:rPr>
                <w:rFonts w:ascii="宋体" w:hAnsi="宋体" w:cs="宋体" w:eastAsia="宋体" w:hint="default"/>
                <w:spacing w:val="-1"/>
                <w:sz w:val="24"/>
                <w:szCs w:val="24"/>
              </w:rPr>
              <w:t>年第二次临时股东大会决议通过，本公司以资本公积转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增股本人民币</w:t>
            </w:r>
            <w:r>
              <w:rPr>
                <w:rFonts w:ascii="Arial" w:hAnsi="Arial" w:cs="Arial" w:eastAsia="Arial" w:hint="default"/>
                <w:sz w:val="24"/>
                <w:szCs w:val="24"/>
              </w:rPr>
              <w:t>360,376,000</w:t>
            </w:r>
            <w:r>
              <w:rPr>
                <w:rFonts w:ascii="宋体" w:hAnsi="宋体" w:cs="宋体" w:eastAsia="宋体" w:hint="default"/>
                <w:sz w:val="24"/>
                <w:szCs w:val="24"/>
              </w:rPr>
              <w:t>元。经此次转增后，股本总额变更为人民币</w:t>
            </w:r>
            <w:r>
              <w:rPr>
                <w:rFonts w:ascii="Arial" w:hAnsi="Arial" w:cs="Arial" w:eastAsia="Arial" w:hint="default"/>
                <w:sz w:val="24"/>
                <w:szCs w:val="24"/>
              </w:rPr>
              <w:t>720,752,000</w:t>
            </w:r>
            <w:r>
              <w:rPr>
                <w:rFonts w:ascii="宋体" w:hAnsi="宋体" w:cs="宋体" w:eastAsia="宋体" w:hint="default"/>
                <w:sz w:val="24"/>
                <w:szCs w:val="24"/>
              </w:rPr>
              <w:t>元。</w:t>
            </w:r>
          </w:p>
        </w:tc>
      </w:tr>
      <w:tr>
        <w:trPr>
          <w:trHeight w:val="732" w:hRule="exact"/>
        </w:trPr>
        <w:tc>
          <w:tcPr>
            <w:tcW w:w="674" w:type="dxa"/>
            <w:tcBorders>
              <w:top w:val="nil" w:sz="6" w:space="0" w:color="auto"/>
              <w:left w:val="nil" w:sz="6" w:space="0" w:color="auto"/>
              <w:bottom w:val="nil" w:sz="6" w:space="0" w:color="auto"/>
              <w:right w:val="nil" w:sz="6" w:space="0" w:color="auto"/>
            </w:tcBorders>
          </w:tcPr>
          <w:p>
            <w:pPr/>
          </w:p>
        </w:tc>
        <w:tc>
          <w:tcPr>
            <w:tcW w:w="9697"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234" w:right="0"/>
              <w:jc w:val="left"/>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2"/>
                <w:sz w:val="24"/>
                <w:szCs w:val="24"/>
              </w:rPr>
              <w:t> </w:t>
            </w:r>
            <w:r>
              <w:rPr>
                <w:rFonts w:ascii="Arial" w:hAnsi="Arial" w:cs="Arial" w:eastAsia="Arial" w:hint="default"/>
                <w:sz w:val="24"/>
                <w:szCs w:val="24"/>
              </w:rPr>
              <w:t>2007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30</w:t>
            </w:r>
            <w:r>
              <w:rPr>
                <w:rFonts w:ascii="Arial" w:hAnsi="Arial" w:cs="Arial" w:eastAsia="Arial" w:hint="default"/>
                <w:spacing w:val="-9"/>
                <w:sz w:val="24"/>
                <w:szCs w:val="24"/>
              </w:rPr>
              <w:t> </w:t>
            </w:r>
            <w:r>
              <w:rPr>
                <w:rFonts w:ascii="宋体" w:hAnsi="宋体" w:cs="宋体" w:eastAsia="宋体" w:hint="default"/>
                <w:sz w:val="24"/>
                <w:szCs w:val="24"/>
              </w:rPr>
              <w:t>日召开的</w:t>
            </w:r>
            <w:r>
              <w:rPr>
                <w:rFonts w:ascii="宋体" w:hAnsi="宋体" w:cs="宋体" w:eastAsia="宋体" w:hint="default"/>
                <w:spacing w:val="-61"/>
                <w:sz w:val="24"/>
                <w:szCs w:val="24"/>
              </w:rPr>
              <w:t> </w:t>
            </w:r>
            <w:r>
              <w:rPr>
                <w:rFonts w:ascii="Arial" w:hAnsi="Arial" w:cs="Arial" w:eastAsia="Arial" w:hint="default"/>
                <w:sz w:val="24"/>
                <w:szCs w:val="24"/>
              </w:rPr>
              <w:t>2006</w:t>
            </w:r>
            <w:r>
              <w:rPr>
                <w:rFonts w:ascii="Arial" w:hAnsi="Arial" w:cs="Arial" w:eastAsia="Arial" w:hint="default"/>
                <w:spacing w:val="46"/>
                <w:sz w:val="24"/>
                <w:szCs w:val="24"/>
              </w:rPr>
              <w:t> </w:t>
            </w:r>
            <w:r>
              <w:rPr>
                <w:rFonts w:ascii="宋体" w:hAnsi="宋体" w:cs="宋体" w:eastAsia="宋体" w:hint="default"/>
                <w:spacing w:val="-3"/>
                <w:sz w:val="24"/>
                <w:szCs w:val="24"/>
              </w:rPr>
              <w:t>年年度股东大会决议通过，本公司以资本公积转增</w:t>
            </w:r>
          </w:p>
          <w:p>
            <w:pPr>
              <w:pStyle w:val="TableParagraph"/>
              <w:spacing w:line="322" w:lineRule="exact"/>
              <w:ind w:left="234" w:right="0"/>
              <w:jc w:val="left"/>
              <w:rPr>
                <w:rFonts w:ascii="宋体" w:hAnsi="宋体" w:cs="宋体" w:eastAsia="宋体" w:hint="default"/>
                <w:sz w:val="24"/>
                <w:szCs w:val="24"/>
              </w:rPr>
            </w:pPr>
            <w:r>
              <w:rPr>
                <w:rFonts w:ascii="宋体" w:hAnsi="宋体" w:cs="宋体" w:eastAsia="宋体" w:hint="default"/>
                <w:sz w:val="24"/>
                <w:szCs w:val="24"/>
              </w:rPr>
              <w:t>股本人民币</w:t>
            </w:r>
            <w:r>
              <w:rPr>
                <w:rFonts w:ascii="宋体" w:hAnsi="宋体" w:cs="宋体" w:eastAsia="宋体" w:hint="default"/>
                <w:spacing w:val="-64"/>
                <w:sz w:val="24"/>
                <w:szCs w:val="24"/>
              </w:rPr>
              <w:t> </w:t>
            </w:r>
            <w:r>
              <w:rPr>
                <w:rFonts w:ascii="Arial" w:hAnsi="Arial" w:cs="Arial" w:eastAsia="Arial" w:hint="default"/>
                <w:sz w:val="24"/>
                <w:szCs w:val="24"/>
              </w:rPr>
              <w:t>720,752,000</w:t>
            </w:r>
            <w:r>
              <w:rPr>
                <w:rFonts w:ascii="Arial" w:hAnsi="Arial" w:cs="Arial" w:eastAsia="Arial" w:hint="default"/>
                <w:spacing w:val="-7"/>
                <w:sz w:val="24"/>
                <w:szCs w:val="24"/>
              </w:rPr>
              <w:t> </w:t>
            </w:r>
            <w:r>
              <w:rPr>
                <w:rFonts w:ascii="宋体" w:hAnsi="宋体" w:cs="宋体" w:eastAsia="宋体" w:hint="default"/>
                <w:spacing w:val="-5"/>
                <w:sz w:val="24"/>
                <w:szCs w:val="24"/>
              </w:rPr>
              <w:t>元。经此次转增后，股本总额变更为人民币</w:t>
            </w:r>
            <w:r>
              <w:rPr>
                <w:rFonts w:ascii="宋体" w:hAnsi="宋体" w:cs="宋体" w:eastAsia="宋体" w:hint="default"/>
                <w:spacing w:val="-62"/>
                <w:sz w:val="24"/>
                <w:szCs w:val="24"/>
              </w:rPr>
              <w:t> </w:t>
            </w:r>
            <w:r>
              <w:rPr>
                <w:rFonts w:ascii="Arial" w:hAnsi="Arial" w:cs="Arial" w:eastAsia="Arial" w:hint="default"/>
                <w:sz w:val="24"/>
                <w:szCs w:val="24"/>
              </w:rPr>
              <w:t>1,441,504,000</w:t>
            </w:r>
            <w:r>
              <w:rPr>
                <w:rFonts w:ascii="Arial" w:hAnsi="Arial" w:cs="Arial" w:eastAsia="Arial" w:hint="default"/>
                <w:spacing w:val="-8"/>
                <w:sz w:val="24"/>
                <w:szCs w:val="24"/>
              </w:rPr>
              <w:t> </w:t>
            </w:r>
            <w:r>
              <w:rPr>
                <w:rFonts w:ascii="宋体" w:hAnsi="宋体" w:cs="宋体" w:eastAsia="宋体" w:hint="default"/>
                <w:sz w:val="24"/>
                <w:szCs w:val="24"/>
              </w:rPr>
              <w:t>元。</w:t>
            </w:r>
          </w:p>
        </w:tc>
      </w:tr>
    </w:tbl>
    <w:p>
      <w:pPr>
        <w:spacing w:after="0" w:line="322" w:lineRule="exact"/>
        <w:jc w:val="left"/>
        <w:rPr>
          <w:rFonts w:ascii="宋体" w:hAnsi="宋体" w:cs="宋体" w:eastAsia="宋体" w:hint="default"/>
          <w:sz w:val="24"/>
          <w:szCs w:val="24"/>
        </w:rPr>
        <w:sectPr>
          <w:headerReference w:type="default" r:id="rId73"/>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98"/>
      </w:tblGrid>
      <w:tr>
        <w:trPr>
          <w:trHeight w:val="46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一</w:t>
            </w:r>
            <w:r>
              <w:rPr>
                <w:rFonts w:ascii="宋体" w:hAnsi="宋体" w:cs="宋体" w:eastAsia="宋体" w:hint="default"/>
                <w:sz w:val="24"/>
                <w:szCs w:val="24"/>
              </w:rPr>
            </w:r>
          </w:p>
        </w:tc>
        <w:tc>
          <w:tcPr>
            <w:tcW w:w="9598" w:type="dxa"/>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公司基本情况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1524"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317"/>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[2008]647</w:t>
            </w:r>
            <w:r>
              <w:rPr>
                <w:rFonts w:ascii="Arial" w:hAnsi="Arial" w:cs="Arial" w:eastAsia="Arial" w:hint="default"/>
                <w:spacing w:val="2"/>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关于核准苏宁电器股份有限公司非 </w:t>
            </w:r>
            <w:r>
              <w:rPr>
                <w:rFonts w:ascii="宋体" w:hAnsi="宋体" w:cs="宋体" w:eastAsia="宋体" w:hint="default"/>
                <w:spacing w:val="-6"/>
                <w:sz w:val="24"/>
                <w:szCs w:val="24"/>
              </w:rPr>
              <w:t>公开发行股票的批复</w:t>
            </w:r>
            <w:r>
              <w:rPr>
                <w:rFonts w:ascii="Arial" w:hAnsi="Arial" w:cs="Arial" w:eastAsia="Arial" w:hint="default"/>
                <w:spacing w:val="-6"/>
                <w:sz w:val="24"/>
                <w:szCs w:val="24"/>
              </w:rPr>
              <w:t>”</w:t>
            </w:r>
            <w:r>
              <w:rPr>
                <w:rFonts w:ascii="宋体" w:hAnsi="宋体" w:cs="宋体" w:eastAsia="宋体" w:hint="default"/>
                <w:spacing w:val="-6"/>
                <w:sz w:val="24"/>
                <w:szCs w:val="24"/>
              </w:rPr>
              <w:t>批准，本公司于</w:t>
            </w:r>
            <w:r>
              <w:rPr>
                <w:rFonts w:ascii="宋体" w:hAnsi="宋体" w:cs="宋体" w:eastAsia="宋体" w:hint="default"/>
                <w:spacing w:val="-60"/>
                <w:sz w:val="24"/>
                <w:szCs w:val="24"/>
              </w:rPr>
              <w:t> </w:t>
            </w:r>
            <w:r>
              <w:rPr>
                <w:rFonts w:ascii="Arial" w:hAnsi="Arial" w:cs="Arial" w:eastAsia="Arial" w:hint="default"/>
                <w:sz w:val="24"/>
                <w:szCs w:val="24"/>
              </w:rPr>
              <w:t>2008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16</w:t>
            </w:r>
            <w:r>
              <w:rPr>
                <w:rFonts w:ascii="Arial" w:hAnsi="Arial" w:cs="Arial" w:eastAsia="Arial" w:hint="default"/>
                <w:spacing w:val="-6"/>
                <w:sz w:val="24"/>
                <w:szCs w:val="24"/>
              </w:rPr>
              <w:t> </w:t>
            </w:r>
            <w:r>
              <w:rPr>
                <w:rFonts w:ascii="宋体" w:hAnsi="宋体" w:cs="宋体" w:eastAsia="宋体" w:hint="default"/>
                <w:sz w:val="24"/>
                <w:szCs w:val="24"/>
              </w:rPr>
              <w:t>日向特定投资者非公开发行</w:t>
            </w:r>
            <w:r>
              <w:rPr>
                <w:rFonts w:ascii="宋体" w:hAnsi="宋体" w:cs="宋体" w:eastAsia="宋体" w:hint="default"/>
                <w:spacing w:val="-60"/>
                <w:sz w:val="24"/>
                <w:szCs w:val="24"/>
              </w:rPr>
              <w:t> </w:t>
            </w:r>
            <w:r>
              <w:rPr>
                <w:rFonts w:ascii="Arial" w:hAnsi="Arial" w:cs="Arial" w:eastAsia="Arial" w:hint="default"/>
                <w:sz w:val="24"/>
                <w:szCs w:val="24"/>
              </w:rPr>
              <w:t>5,400</w:t>
            </w:r>
            <w:r>
              <w:rPr>
                <w:rFonts w:ascii="Arial" w:hAnsi="Arial" w:cs="Arial" w:eastAsia="Arial" w:hint="default"/>
                <w:w w:val="99"/>
                <w:sz w:val="24"/>
                <w:szCs w:val="24"/>
              </w:rPr>
              <w:t> </w:t>
            </w:r>
            <w:r>
              <w:rPr>
                <w:rFonts w:ascii="宋体" w:hAnsi="宋体" w:cs="宋体" w:eastAsia="宋体" w:hint="default"/>
                <w:sz w:val="24"/>
                <w:szCs w:val="24"/>
              </w:rPr>
              <w:t>万 </w:t>
            </w:r>
            <w:r>
              <w:rPr>
                <w:rFonts w:ascii="Arial" w:hAnsi="Arial" w:cs="Arial" w:eastAsia="Arial" w:hint="default"/>
                <w:sz w:val="24"/>
                <w:szCs w:val="24"/>
              </w:rPr>
              <w:t>A </w:t>
            </w:r>
            <w:r>
              <w:rPr>
                <w:rFonts w:ascii="宋体" w:hAnsi="宋体" w:cs="宋体" w:eastAsia="宋体" w:hint="default"/>
                <w:sz w:val="24"/>
                <w:szCs w:val="24"/>
              </w:rPr>
              <w:t>股，每股面值人民币 </w:t>
            </w:r>
            <w:r>
              <w:rPr>
                <w:rFonts w:ascii="Arial" w:hAnsi="Arial" w:cs="Arial" w:eastAsia="Arial" w:hint="default"/>
                <w:sz w:val="24"/>
                <w:szCs w:val="24"/>
              </w:rPr>
              <w:t>1 </w:t>
            </w:r>
            <w:r>
              <w:rPr>
                <w:rFonts w:ascii="宋体" w:hAnsi="宋体" w:cs="宋体" w:eastAsia="宋体" w:hint="default"/>
                <w:sz w:val="24"/>
                <w:szCs w:val="24"/>
              </w:rPr>
              <w:t>元，每股发行价为人民币 </w:t>
            </w:r>
            <w:r>
              <w:rPr>
                <w:rFonts w:ascii="Arial" w:hAnsi="Arial" w:cs="Arial" w:eastAsia="Arial" w:hint="default"/>
                <w:sz w:val="24"/>
                <w:szCs w:val="24"/>
              </w:rPr>
              <w:t>45</w:t>
            </w:r>
            <w:r>
              <w:rPr>
                <w:rFonts w:ascii="Arial" w:hAnsi="Arial" w:cs="Arial" w:eastAsia="Arial" w:hint="default"/>
                <w:spacing w:val="28"/>
                <w:sz w:val="24"/>
                <w:szCs w:val="24"/>
              </w:rPr>
              <w:t> </w:t>
            </w:r>
            <w:r>
              <w:rPr>
                <w:rFonts w:ascii="宋体" w:hAnsi="宋体" w:cs="宋体" w:eastAsia="宋体" w:hint="default"/>
                <w:sz w:val="24"/>
                <w:szCs w:val="24"/>
              </w:rPr>
              <w:t>元，股本总额变更为人民币 </w:t>
            </w:r>
            <w:r>
              <w:rPr>
                <w:rFonts w:ascii="Arial" w:hAnsi="Arial" w:cs="Arial" w:eastAsia="Arial" w:hint="default"/>
                <w:sz w:val="24"/>
                <w:szCs w:val="24"/>
              </w:rPr>
              <w:t>1,495,504,000</w:t>
            </w:r>
            <w:r>
              <w:rPr>
                <w:rFonts w:ascii="Arial" w:hAnsi="Arial" w:cs="Arial" w:eastAsia="Arial" w:hint="default"/>
                <w:spacing w:val="-12"/>
                <w:sz w:val="24"/>
                <w:szCs w:val="24"/>
              </w:rPr>
              <w:t> </w:t>
            </w:r>
            <w:r>
              <w:rPr>
                <w:rFonts w:ascii="宋体" w:hAnsi="宋体" w:cs="宋体" w:eastAsia="宋体" w:hint="default"/>
                <w:sz w:val="24"/>
                <w:szCs w:val="24"/>
              </w:rPr>
              <w:t>元。</w:t>
            </w:r>
          </w:p>
        </w:tc>
      </w:tr>
      <w:tr>
        <w:trPr>
          <w:trHeight w:val="1212"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136" w:right="318"/>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4"/>
                <w:sz w:val="24"/>
                <w:szCs w:val="24"/>
              </w:rPr>
              <w:t> </w:t>
            </w: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9</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16</w:t>
            </w:r>
            <w:r>
              <w:rPr>
                <w:rFonts w:ascii="Arial" w:hAnsi="Arial" w:cs="Arial" w:eastAsia="Arial" w:hint="default"/>
                <w:spacing w:val="-11"/>
                <w:sz w:val="24"/>
                <w:szCs w:val="24"/>
              </w:rPr>
              <w:t> </w:t>
            </w:r>
            <w:r>
              <w:rPr>
                <w:rFonts w:ascii="宋体" w:hAnsi="宋体" w:cs="宋体" w:eastAsia="宋体" w:hint="default"/>
                <w:sz w:val="24"/>
                <w:szCs w:val="24"/>
              </w:rPr>
              <w:t>日召开的</w:t>
            </w:r>
            <w:r>
              <w:rPr>
                <w:rFonts w:ascii="宋体" w:hAnsi="宋体" w:cs="宋体" w:eastAsia="宋体" w:hint="default"/>
                <w:spacing w:val="-63"/>
                <w:sz w:val="24"/>
                <w:szCs w:val="24"/>
              </w:rPr>
              <w:t> </w:t>
            </w: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年第一次临时股东大会决议通过，本公司以资本公 积</w:t>
            </w:r>
            <w:r>
              <w:rPr>
                <w:rFonts w:ascii="宋体" w:hAnsi="宋体" w:cs="宋体" w:eastAsia="宋体" w:hint="default"/>
                <w:spacing w:val="-88"/>
                <w:sz w:val="24"/>
                <w:szCs w:val="24"/>
              </w:rPr>
              <w:t> </w:t>
            </w:r>
            <w:r>
              <w:rPr>
                <w:rFonts w:ascii="宋体" w:hAnsi="宋体" w:cs="宋体" w:eastAsia="宋体" w:hint="default"/>
                <w:sz w:val="24"/>
                <w:szCs w:val="24"/>
              </w:rPr>
              <w:t>转</w:t>
            </w:r>
            <w:r>
              <w:rPr>
                <w:rFonts w:ascii="宋体" w:hAnsi="宋体" w:cs="宋体" w:eastAsia="宋体" w:hint="default"/>
                <w:spacing w:val="-88"/>
                <w:sz w:val="24"/>
                <w:szCs w:val="24"/>
              </w:rPr>
              <w:t> </w:t>
            </w:r>
            <w:r>
              <w:rPr>
                <w:rFonts w:ascii="宋体" w:hAnsi="宋体" w:cs="宋体" w:eastAsia="宋体" w:hint="default"/>
                <w:sz w:val="24"/>
                <w:szCs w:val="24"/>
              </w:rPr>
              <w:t>增</w:t>
            </w:r>
            <w:r>
              <w:rPr>
                <w:rFonts w:ascii="宋体" w:hAnsi="宋体" w:cs="宋体" w:eastAsia="宋体" w:hint="default"/>
                <w:spacing w:val="-88"/>
                <w:sz w:val="24"/>
                <w:szCs w:val="24"/>
              </w:rPr>
              <w:t> </w:t>
            </w:r>
            <w:r>
              <w:rPr>
                <w:rFonts w:ascii="宋体" w:hAnsi="宋体" w:cs="宋体" w:eastAsia="宋体" w:hint="default"/>
                <w:sz w:val="24"/>
                <w:szCs w:val="24"/>
              </w:rPr>
              <w:t>股</w:t>
            </w:r>
            <w:r>
              <w:rPr>
                <w:rFonts w:ascii="宋体" w:hAnsi="宋体" w:cs="宋体" w:eastAsia="宋体" w:hint="default"/>
                <w:spacing w:val="-91"/>
                <w:sz w:val="24"/>
                <w:szCs w:val="24"/>
              </w:rPr>
              <w:t> </w:t>
            </w:r>
            <w:r>
              <w:rPr>
                <w:rFonts w:ascii="宋体" w:hAnsi="宋体" w:cs="宋体" w:eastAsia="宋体" w:hint="default"/>
                <w:sz w:val="24"/>
                <w:szCs w:val="24"/>
              </w:rPr>
              <w:t>本</w:t>
            </w:r>
            <w:r>
              <w:rPr>
                <w:rFonts w:ascii="宋体" w:hAnsi="宋体" w:cs="宋体" w:eastAsia="宋体" w:hint="default"/>
                <w:spacing w:val="-88"/>
                <w:sz w:val="24"/>
                <w:szCs w:val="24"/>
              </w:rPr>
              <w:t> </w:t>
            </w:r>
            <w:r>
              <w:rPr>
                <w:rFonts w:ascii="宋体" w:hAnsi="宋体" w:cs="宋体" w:eastAsia="宋体" w:hint="default"/>
                <w:sz w:val="24"/>
                <w:szCs w:val="24"/>
              </w:rPr>
              <w:t>人</w:t>
            </w:r>
            <w:r>
              <w:rPr>
                <w:rFonts w:ascii="宋体" w:hAnsi="宋体" w:cs="宋体" w:eastAsia="宋体" w:hint="default"/>
                <w:spacing w:val="-88"/>
                <w:sz w:val="24"/>
                <w:szCs w:val="24"/>
              </w:rPr>
              <w:t> </w:t>
            </w:r>
            <w:r>
              <w:rPr>
                <w:rFonts w:ascii="宋体" w:hAnsi="宋体" w:cs="宋体" w:eastAsia="宋体" w:hint="default"/>
                <w:sz w:val="24"/>
                <w:szCs w:val="24"/>
              </w:rPr>
              <w:t>民</w:t>
            </w:r>
            <w:r>
              <w:rPr>
                <w:rFonts w:ascii="宋体" w:hAnsi="宋体" w:cs="宋体" w:eastAsia="宋体" w:hint="default"/>
                <w:spacing w:val="-91"/>
                <w:sz w:val="24"/>
                <w:szCs w:val="24"/>
              </w:rPr>
              <w:t> </w:t>
            </w:r>
            <w:r>
              <w:rPr>
                <w:rFonts w:ascii="宋体" w:hAnsi="宋体" w:cs="宋体" w:eastAsia="宋体" w:hint="default"/>
                <w:sz w:val="24"/>
                <w:szCs w:val="24"/>
              </w:rPr>
              <w:t>币</w:t>
            </w:r>
            <w:r>
              <w:rPr>
                <w:rFonts w:ascii="宋体" w:hAnsi="宋体" w:cs="宋体" w:eastAsia="宋体" w:hint="default"/>
                <w:spacing w:val="34"/>
                <w:sz w:val="24"/>
                <w:szCs w:val="24"/>
              </w:rPr>
              <w:t> </w:t>
            </w:r>
            <w:r>
              <w:rPr>
                <w:rFonts w:ascii="Arial" w:hAnsi="Arial" w:cs="Arial" w:eastAsia="Arial" w:hint="default"/>
                <w:sz w:val="24"/>
                <w:szCs w:val="24"/>
              </w:rPr>
              <w:t>1,495,504,000</w:t>
            </w:r>
            <w:r>
              <w:rPr>
                <w:rFonts w:ascii="Arial" w:hAnsi="Arial" w:cs="Arial" w:eastAsia="Arial" w:hint="default"/>
                <w:spacing w:val="19"/>
                <w:sz w:val="24"/>
                <w:szCs w:val="24"/>
              </w:rPr>
              <w:t> </w:t>
            </w:r>
            <w:r>
              <w:rPr>
                <w:rFonts w:ascii="宋体" w:hAnsi="宋体" w:cs="宋体" w:eastAsia="宋体" w:hint="default"/>
                <w:sz w:val="24"/>
                <w:szCs w:val="24"/>
              </w:rPr>
              <w:t>元</w:t>
            </w:r>
            <w:r>
              <w:rPr>
                <w:rFonts w:ascii="宋体" w:hAnsi="宋体" w:cs="宋体" w:eastAsia="宋体" w:hint="default"/>
                <w:spacing w:val="-88"/>
                <w:sz w:val="24"/>
                <w:szCs w:val="24"/>
              </w:rPr>
              <w:t> </w:t>
            </w:r>
            <w:r>
              <w:rPr>
                <w:rFonts w:ascii="宋体" w:hAnsi="宋体" w:cs="宋体" w:eastAsia="宋体" w:hint="default"/>
                <w:sz w:val="24"/>
                <w:szCs w:val="24"/>
              </w:rPr>
              <w:t>。</w:t>
            </w:r>
            <w:r>
              <w:rPr>
                <w:rFonts w:ascii="宋体" w:hAnsi="宋体" w:cs="宋体" w:eastAsia="宋体" w:hint="default"/>
                <w:spacing w:val="-88"/>
                <w:sz w:val="24"/>
                <w:szCs w:val="24"/>
              </w:rPr>
              <w:t> </w:t>
            </w:r>
            <w:r>
              <w:rPr>
                <w:rFonts w:ascii="宋体" w:hAnsi="宋体" w:cs="宋体" w:eastAsia="宋体" w:hint="default"/>
                <w:sz w:val="24"/>
                <w:szCs w:val="24"/>
              </w:rPr>
              <w:t>经</w:t>
            </w:r>
            <w:r>
              <w:rPr>
                <w:rFonts w:ascii="宋体" w:hAnsi="宋体" w:cs="宋体" w:eastAsia="宋体" w:hint="default"/>
                <w:spacing w:val="-91"/>
                <w:sz w:val="24"/>
                <w:szCs w:val="24"/>
              </w:rPr>
              <w:t> </w:t>
            </w:r>
            <w:r>
              <w:rPr>
                <w:rFonts w:ascii="宋体" w:hAnsi="宋体" w:cs="宋体" w:eastAsia="宋体" w:hint="default"/>
                <w:sz w:val="24"/>
                <w:szCs w:val="24"/>
              </w:rPr>
              <w:t>此</w:t>
            </w:r>
            <w:r>
              <w:rPr>
                <w:rFonts w:ascii="宋体" w:hAnsi="宋体" w:cs="宋体" w:eastAsia="宋体" w:hint="default"/>
                <w:spacing w:val="-88"/>
                <w:sz w:val="24"/>
                <w:szCs w:val="24"/>
              </w:rPr>
              <w:t> </w:t>
            </w:r>
            <w:r>
              <w:rPr>
                <w:rFonts w:ascii="宋体" w:hAnsi="宋体" w:cs="宋体" w:eastAsia="宋体" w:hint="default"/>
                <w:sz w:val="24"/>
                <w:szCs w:val="24"/>
              </w:rPr>
              <w:t>次</w:t>
            </w:r>
            <w:r>
              <w:rPr>
                <w:rFonts w:ascii="宋体" w:hAnsi="宋体" w:cs="宋体" w:eastAsia="宋体" w:hint="default"/>
                <w:spacing w:val="-88"/>
                <w:sz w:val="24"/>
                <w:szCs w:val="24"/>
              </w:rPr>
              <w:t> </w:t>
            </w:r>
            <w:r>
              <w:rPr>
                <w:rFonts w:ascii="宋体" w:hAnsi="宋体" w:cs="宋体" w:eastAsia="宋体" w:hint="default"/>
                <w:sz w:val="24"/>
                <w:szCs w:val="24"/>
              </w:rPr>
              <w:t>转</w:t>
            </w:r>
            <w:r>
              <w:rPr>
                <w:rFonts w:ascii="宋体" w:hAnsi="宋体" w:cs="宋体" w:eastAsia="宋体" w:hint="default"/>
                <w:spacing w:val="-88"/>
                <w:sz w:val="24"/>
                <w:szCs w:val="24"/>
              </w:rPr>
              <w:t> </w:t>
            </w:r>
            <w:r>
              <w:rPr>
                <w:rFonts w:ascii="宋体" w:hAnsi="宋体" w:cs="宋体" w:eastAsia="宋体" w:hint="default"/>
                <w:sz w:val="24"/>
                <w:szCs w:val="24"/>
              </w:rPr>
              <w:t>增</w:t>
            </w:r>
            <w:r>
              <w:rPr>
                <w:rFonts w:ascii="宋体" w:hAnsi="宋体" w:cs="宋体" w:eastAsia="宋体" w:hint="default"/>
                <w:spacing w:val="-91"/>
                <w:sz w:val="24"/>
                <w:szCs w:val="24"/>
              </w:rPr>
              <w:t> </w:t>
            </w:r>
            <w:r>
              <w:rPr>
                <w:rFonts w:ascii="宋体" w:hAnsi="宋体" w:cs="宋体" w:eastAsia="宋体" w:hint="default"/>
                <w:sz w:val="24"/>
                <w:szCs w:val="24"/>
              </w:rPr>
              <w:t>后</w:t>
            </w:r>
            <w:r>
              <w:rPr>
                <w:rFonts w:ascii="宋体" w:hAnsi="宋体" w:cs="宋体" w:eastAsia="宋体" w:hint="default"/>
                <w:spacing w:val="-88"/>
                <w:sz w:val="24"/>
                <w:szCs w:val="24"/>
              </w:rPr>
              <w:t> </w:t>
            </w:r>
            <w:r>
              <w:rPr>
                <w:rFonts w:ascii="宋体" w:hAnsi="宋体" w:cs="宋体" w:eastAsia="宋体" w:hint="default"/>
                <w:sz w:val="24"/>
                <w:szCs w:val="24"/>
              </w:rPr>
              <w:t>，</w:t>
            </w:r>
            <w:r>
              <w:rPr>
                <w:rFonts w:ascii="宋体" w:hAnsi="宋体" w:cs="宋体" w:eastAsia="宋体" w:hint="default"/>
                <w:spacing w:val="-88"/>
                <w:sz w:val="24"/>
                <w:szCs w:val="24"/>
              </w:rPr>
              <w:t> </w:t>
            </w:r>
            <w:r>
              <w:rPr>
                <w:rFonts w:ascii="宋体" w:hAnsi="宋体" w:cs="宋体" w:eastAsia="宋体" w:hint="default"/>
                <w:sz w:val="24"/>
                <w:szCs w:val="24"/>
              </w:rPr>
              <w:t>股</w:t>
            </w:r>
            <w:r>
              <w:rPr>
                <w:rFonts w:ascii="宋体" w:hAnsi="宋体" w:cs="宋体" w:eastAsia="宋体" w:hint="default"/>
                <w:spacing w:val="-91"/>
                <w:sz w:val="24"/>
                <w:szCs w:val="24"/>
              </w:rPr>
              <w:t> </w:t>
            </w:r>
            <w:r>
              <w:rPr>
                <w:rFonts w:ascii="宋体" w:hAnsi="宋体" w:cs="宋体" w:eastAsia="宋体" w:hint="default"/>
                <w:sz w:val="24"/>
                <w:szCs w:val="24"/>
              </w:rPr>
              <w:t>本</w:t>
            </w:r>
            <w:r>
              <w:rPr>
                <w:rFonts w:ascii="宋体" w:hAnsi="宋体" w:cs="宋体" w:eastAsia="宋体" w:hint="default"/>
                <w:spacing w:val="-88"/>
                <w:sz w:val="24"/>
                <w:szCs w:val="24"/>
              </w:rPr>
              <w:t> </w:t>
            </w:r>
            <w:r>
              <w:rPr>
                <w:rFonts w:ascii="宋体" w:hAnsi="宋体" w:cs="宋体" w:eastAsia="宋体" w:hint="default"/>
                <w:sz w:val="24"/>
                <w:szCs w:val="24"/>
              </w:rPr>
              <w:t>总</w:t>
            </w:r>
            <w:r>
              <w:rPr>
                <w:rFonts w:ascii="宋体" w:hAnsi="宋体" w:cs="宋体" w:eastAsia="宋体" w:hint="default"/>
                <w:spacing w:val="-91"/>
                <w:sz w:val="24"/>
                <w:szCs w:val="24"/>
              </w:rPr>
              <w:t> </w:t>
            </w:r>
            <w:r>
              <w:rPr>
                <w:rFonts w:ascii="宋体" w:hAnsi="宋体" w:cs="宋体" w:eastAsia="宋体" w:hint="default"/>
                <w:sz w:val="24"/>
                <w:szCs w:val="24"/>
              </w:rPr>
              <w:t>额</w:t>
            </w:r>
            <w:r>
              <w:rPr>
                <w:rFonts w:ascii="宋体" w:hAnsi="宋体" w:cs="宋体" w:eastAsia="宋体" w:hint="default"/>
                <w:spacing w:val="-88"/>
                <w:sz w:val="24"/>
                <w:szCs w:val="24"/>
              </w:rPr>
              <w:t> </w:t>
            </w:r>
            <w:r>
              <w:rPr>
                <w:rFonts w:ascii="宋体" w:hAnsi="宋体" w:cs="宋体" w:eastAsia="宋体" w:hint="default"/>
                <w:sz w:val="24"/>
                <w:szCs w:val="24"/>
              </w:rPr>
              <w:t>变</w:t>
            </w:r>
            <w:r>
              <w:rPr>
                <w:rFonts w:ascii="宋体" w:hAnsi="宋体" w:cs="宋体" w:eastAsia="宋体" w:hint="default"/>
                <w:spacing w:val="-88"/>
                <w:sz w:val="24"/>
                <w:szCs w:val="24"/>
              </w:rPr>
              <w:t> </w:t>
            </w:r>
            <w:r>
              <w:rPr>
                <w:rFonts w:ascii="宋体" w:hAnsi="宋体" w:cs="宋体" w:eastAsia="宋体" w:hint="default"/>
                <w:sz w:val="24"/>
                <w:szCs w:val="24"/>
              </w:rPr>
              <w:t>更</w:t>
            </w:r>
            <w:r>
              <w:rPr>
                <w:rFonts w:ascii="宋体" w:hAnsi="宋体" w:cs="宋体" w:eastAsia="宋体" w:hint="default"/>
                <w:spacing w:val="-88"/>
                <w:sz w:val="24"/>
                <w:szCs w:val="24"/>
              </w:rPr>
              <w:t> </w:t>
            </w:r>
            <w:r>
              <w:rPr>
                <w:rFonts w:ascii="宋体" w:hAnsi="宋体" w:cs="宋体" w:eastAsia="宋体" w:hint="default"/>
                <w:sz w:val="24"/>
                <w:szCs w:val="24"/>
              </w:rPr>
              <w:t>为</w:t>
            </w:r>
            <w:r>
              <w:rPr>
                <w:rFonts w:ascii="宋体" w:hAnsi="宋体" w:cs="宋体" w:eastAsia="宋体" w:hint="default"/>
                <w:spacing w:val="-91"/>
                <w:sz w:val="24"/>
                <w:szCs w:val="24"/>
              </w:rPr>
              <w:t> </w:t>
            </w:r>
            <w:r>
              <w:rPr>
                <w:rFonts w:ascii="宋体" w:hAnsi="宋体" w:cs="宋体" w:eastAsia="宋体" w:hint="default"/>
                <w:sz w:val="24"/>
                <w:szCs w:val="24"/>
              </w:rPr>
              <w:t>人</w:t>
            </w:r>
            <w:r>
              <w:rPr>
                <w:rFonts w:ascii="宋体" w:hAnsi="宋体" w:cs="宋体" w:eastAsia="宋体" w:hint="default"/>
                <w:spacing w:val="-88"/>
                <w:sz w:val="24"/>
                <w:szCs w:val="24"/>
              </w:rPr>
              <w:t> </w:t>
            </w:r>
            <w:r>
              <w:rPr>
                <w:rFonts w:ascii="宋体" w:hAnsi="宋体" w:cs="宋体" w:eastAsia="宋体" w:hint="default"/>
                <w:sz w:val="24"/>
                <w:szCs w:val="24"/>
              </w:rPr>
              <w:t>民</w:t>
            </w:r>
            <w:r>
              <w:rPr>
                <w:rFonts w:ascii="宋体" w:hAnsi="宋体" w:cs="宋体" w:eastAsia="宋体" w:hint="default"/>
                <w:spacing w:val="-88"/>
                <w:sz w:val="24"/>
                <w:szCs w:val="24"/>
              </w:rPr>
              <w:t> </w:t>
            </w:r>
            <w:r>
              <w:rPr>
                <w:rFonts w:ascii="宋体" w:hAnsi="宋体" w:cs="宋体" w:eastAsia="宋体" w:hint="default"/>
                <w:sz w:val="24"/>
                <w:szCs w:val="24"/>
              </w:rPr>
              <w:t>币</w:t>
            </w:r>
            <w:r>
              <w:rPr>
                <w:rFonts w:ascii="宋体" w:hAnsi="宋体" w:cs="宋体" w:eastAsia="宋体" w:hint="default"/>
                <w:sz w:val="24"/>
                <w:szCs w:val="24"/>
              </w:rPr>
              <w:t> </w:t>
            </w:r>
            <w:r>
              <w:rPr>
                <w:rFonts w:ascii="Arial" w:hAnsi="Arial" w:cs="Arial" w:eastAsia="Arial" w:hint="default"/>
                <w:sz w:val="24"/>
                <w:szCs w:val="24"/>
              </w:rPr>
              <w:t>2,991,008,000</w:t>
            </w:r>
            <w:r>
              <w:rPr>
                <w:rFonts w:ascii="Arial" w:hAnsi="Arial" w:cs="Arial" w:eastAsia="Arial" w:hint="default"/>
                <w:spacing w:val="-12"/>
                <w:sz w:val="24"/>
                <w:szCs w:val="24"/>
              </w:rPr>
              <w:t> </w:t>
            </w:r>
            <w:r>
              <w:rPr>
                <w:rFonts w:ascii="宋体" w:hAnsi="宋体" w:cs="宋体" w:eastAsia="宋体" w:hint="default"/>
                <w:sz w:val="24"/>
                <w:szCs w:val="24"/>
              </w:rPr>
              <w:t>元。</w:t>
            </w:r>
          </w:p>
        </w:tc>
      </w:tr>
      <w:tr>
        <w:trPr>
          <w:trHeight w:val="1524"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136" w:right="0"/>
              <w:jc w:val="left"/>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38"/>
                <w:sz w:val="24"/>
                <w:szCs w:val="24"/>
              </w:rPr>
              <w:t> </w:t>
            </w:r>
            <w:r>
              <w:rPr>
                <w:rFonts w:ascii="Arial" w:hAnsi="Arial" w:cs="Arial" w:eastAsia="Arial" w:hint="default"/>
                <w:sz w:val="24"/>
                <w:szCs w:val="24"/>
              </w:rPr>
              <w:t>2009</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37"/>
                <w:sz w:val="24"/>
                <w:szCs w:val="24"/>
              </w:rPr>
              <w:t> </w:t>
            </w:r>
            <w:r>
              <w:rPr>
                <w:rFonts w:ascii="Arial" w:hAnsi="Arial" w:cs="Arial" w:eastAsia="Arial" w:hint="default"/>
                <w:sz w:val="24"/>
                <w:szCs w:val="24"/>
              </w:rPr>
              <w:t>3</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37"/>
                <w:sz w:val="24"/>
                <w:szCs w:val="24"/>
              </w:rPr>
              <w:t> </w:t>
            </w:r>
            <w:r>
              <w:rPr>
                <w:rFonts w:ascii="Arial" w:hAnsi="Arial" w:cs="Arial" w:eastAsia="Arial" w:hint="default"/>
                <w:sz w:val="24"/>
                <w:szCs w:val="24"/>
              </w:rPr>
              <w:t>31</w:t>
            </w:r>
            <w:r>
              <w:rPr>
                <w:rFonts w:ascii="Arial" w:hAnsi="Arial" w:cs="Arial" w:eastAsia="Arial" w:hint="default"/>
                <w:spacing w:val="14"/>
                <w:sz w:val="24"/>
                <w:szCs w:val="24"/>
              </w:rPr>
              <w:t> </w:t>
            </w:r>
            <w:r>
              <w:rPr>
                <w:rFonts w:ascii="宋体" w:hAnsi="宋体" w:cs="宋体" w:eastAsia="宋体" w:hint="default"/>
                <w:sz w:val="24"/>
                <w:szCs w:val="24"/>
              </w:rPr>
              <w:t>日召开的</w:t>
            </w:r>
            <w:r>
              <w:rPr>
                <w:rFonts w:ascii="宋体" w:hAnsi="宋体" w:cs="宋体" w:eastAsia="宋体" w:hint="default"/>
                <w:spacing w:val="-37"/>
                <w:sz w:val="24"/>
                <w:szCs w:val="24"/>
              </w:rPr>
              <w:t> </w:t>
            </w:r>
            <w:r>
              <w:rPr>
                <w:rFonts w:ascii="Arial" w:hAnsi="Arial" w:cs="Arial" w:eastAsia="Arial" w:hint="default"/>
                <w:sz w:val="24"/>
                <w:szCs w:val="24"/>
              </w:rPr>
              <w:t>2008</w:t>
            </w:r>
            <w:r>
              <w:rPr>
                <w:rFonts w:ascii="Arial" w:hAnsi="Arial" w:cs="Arial" w:eastAsia="Arial" w:hint="default"/>
                <w:spacing w:val="53"/>
                <w:sz w:val="24"/>
                <w:szCs w:val="24"/>
              </w:rPr>
              <w:t> </w:t>
            </w:r>
            <w:r>
              <w:rPr>
                <w:rFonts w:ascii="宋体" w:hAnsi="宋体" w:cs="宋体" w:eastAsia="宋体" w:hint="default"/>
                <w:sz w:val="24"/>
                <w:szCs w:val="24"/>
              </w:rPr>
              <w:t>年年度股东大会决议通过，本公司以现有总股本</w:t>
            </w:r>
          </w:p>
          <w:p>
            <w:pPr>
              <w:pStyle w:val="TableParagraph"/>
              <w:spacing w:line="312" w:lineRule="exact"/>
              <w:ind w:left="136" w:right="0"/>
              <w:jc w:val="left"/>
              <w:rPr>
                <w:rFonts w:ascii="宋体" w:hAnsi="宋体" w:cs="宋体" w:eastAsia="宋体" w:hint="default"/>
                <w:sz w:val="24"/>
                <w:szCs w:val="24"/>
              </w:rPr>
            </w:pPr>
            <w:r>
              <w:rPr>
                <w:rFonts w:ascii="Arial" w:hAnsi="Arial" w:cs="Arial" w:eastAsia="Arial" w:hint="default"/>
                <w:sz w:val="24"/>
                <w:szCs w:val="24"/>
              </w:rPr>
              <w:t>2,991,008,000 </w:t>
            </w:r>
            <w:r>
              <w:rPr>
                <w:rFonts w:ascii="宋体" w:hAnsi="宋体" w:cs="宋体" w:eastAsia="宋体" w:hint="default"/>
                <w:sz w:val="24"/>
                <w:szCs w:val="24"/>
              </w:rPr>
              <w:t>股为基数，向全体股东每 </w:t>
            </w:r>
            <w:r>
              <w:rPr>
                <w:rFonts w:ascii="Arial" w:hAnsi="Arial" w:cs="Arial" w:eastAsia="Arial" w:hint="default"/>
                <w:sz w:val="24"/>
                <w:szCs w:val="24"/>
              </w:rPr>
              <w:t>10 </w:t>
            </w:r>
            <w:r>
              <w:rPr>
                <w:rFonts w:ascii="宋体" w:hAnsi="宋体" w:cs="宋体" w:eastAsia="宋体" w:hint="default"/>
                <w:sz w:val="24"/>
                <w:szCs w:val="24"/>
              </w:rPr>
              <w:t>股送 </w:t>
            </w:r>
            <w:r>
              <w:rPr>
                <w:rFonts w:ascii="Arial" w:hAnsi="Arial" w:cs="Arial" w:eastAsia="Arial" w:hint="default"/>
                <w:sz w:val="24"/>
                <w:szCs w:val="24"/>
              </w:rPr>
              <w:t>2 </w:t>
            </w:r>
            <w:r>
              <w:rPr>
                <w:rFonts w:ascii="宋体" w:hAnsi="宋体" w:cs="宋体" w:eastAsia="宋体" w:hint="default"/>
                <w:sz w:val="24"/>
                <w:szCs w:val="24"/>
              </w:rPr>
              <w:t>股红股并派发现金红利 </w:t>
            </w:r>
            <w:r>
              <w:rPr>
                <w:rFonts w:ascii="Arial" w:hAnsi="Arial" w:cs="Arial" w:eastAsia="Arial" w:hint="default"/>
                <w:sz w:val="24"/>
                <w:szCs w:val="24"/>
              </w:rPr>
              <w:t>0.3</w:t>
            </w:r>
            <w:r>
              <w:rPr>
                <w:rFonts w:ascii="Arial" w:hAnsi="Arial" w:cs="Arial" w:eastAsia="Arial" w:hint="default"/>
                <w:spacing w:val="-1"/>
                <w:sz w:val="24"/>
                <w:szCs w:val="24"/>
              </w:rPr>
              <w:t> </w:t>
            </w:r>
            <w:r>
              <w:rPr>
                <w:rFonts w:ascii="宋体" w:hAnsi="宋体" w:cs="宋体" w:eastAsia="宋体" w:hint="default"/>
                <w:sz w:val="24"/>
                <w:szCs w:val="24"/>
              </w:rPr>
              <w:t>元人民</w:t>
            </w:r>
          </w:p>
          <w:p>
            <w:pPr>
              <w:pStyle w:val="TableParagraph"/>
              <w:spacing w:line="312" w:lineRule="exact"/>
              <w:ind w:left="136" w:right="0"/>
              <w:jc w:val="left"/>
              <w:rPr>
                <w:rFonts w:ascii="宋体" w:hAnsi="宋体" w:cs="宋体" w:eastAsia="宋体" w:hint="default"/>
                <w:sz w:val="24"/>
                <w:szCs w:val="24"/>
              </w:rPr>
            </w:pPr>
            <w:r>
              <w:rPr>
                <w:rFonts w:ascii="宋体" w:hAnsi="宋体" w:cs="宋体" w:eastAsia="宋体" w:hint="default"/>
                <w:sz w:val="24"/>
                <w:szCs w:val="24"/>
              </w:rPr>
              <w:t>币；同时，公司以资本公积金向全体股东每</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43"/>
                <w:sz w:val="24"/>
                <w:szCs w:val="24"/>
              </w:rPr>
              <w:t> </w:t>
            </w:r>
            <w:r>
              <w:rPr>
                <w:rFonts w:ascii="宋体" w:hAnsi="宋体" w:cs="宋体" w:eastAsia="宋体" w:hint="default"/>
                <w:sz w:val="24"/>
                <w:szCs w:val="24"/>
              </w:rPr>
              <w:t>股转增</w:t>
            </w:r>
            <w:r>
              <w:rPr>
                <w:rFonts w:ascii="宋体" w:hAnsi="宋体" w:cs="宋体" w:eastAsia="宋体" w:hint="default"/>
                <w:spacing w:val="-62"/>
                <w:sz w:val="24"/>
                <w:szCs w:val="24"/>
              </w:rPr>
              <w:t> </w:t>
            </w:r>
            <w:r>
              <w:rPr>
                <w:rFonts w:ascii="Arial" w:hAnsi="Arial" w:cs="Arial" w:eastAsia="Arial" w:hint="default"/>
                <w:sz w:val="24"/>
                <w:szCs w:val="24"/>
              </w:rPr>
              <w:t>3</w:t>
            </w:r>
            <w:r>
              <w:rPr>
                <w:rFonts w:ascii="Arial" w:hAnsi="Arial" w:cs="Arial" w:eastAsia="Arial" w:hint="default"/>
                <w:spacing w:val="43"/>
                <w:sz w:val="24"/>
                <w:szCs w:val="24"/>
              </w:rPr>
              <w:t> </w:t>
            </w:r>
            <w:r>
              <w:rPr>
                <w:rFonts w:ascii="宋体" w:hAnsi="宋体" w:cs="宋体" w:eastAsia="宋体" w:hint="default"/>
                <w:sz w:val="24"/>
                <w:szCs w:val="24"/>
              </w:rPr>
              <w:t>股。经过此次分红派息以及资</w:t>
            </w:r>
          </w:p>
          <w:p>
            <w:pPr>
              <w:pStyle w:val="TableParagraph"/>
              <w:spacing w:line="322" w:lineRule="exact"/>
              <w:ind w:left="136" w:right="0"/>
              <w:jc w:val="left"/>
              <w:rPr>
                <w:rFonts w:ascii="宋体" w:hAnsi="宋体" w:cs="宋体" w:eastAsia="宋体" w:hint="default"/>
                <w:sz w:val="24"/>
                <w:szCs w:val="24"/>
              </w:rPr>
            </w:pPr>
            <w:r>
              <w:rPr>
                <w:rFonts w:ascii="宋体" w:hAnsi="宋体" w:cs="宋体" w:eastAsia="宋体" w:hint="default"/>
                <w:sz w:val="24"/>
                <w:szCs w:val="24"/>
              </w:rPr>
              <w:t>本公积金转增股本后，股本总额变更为人民币</w:t>
            </w:r>
            <w:r>
              <w:rPr>
                <w:rFonts w:ascii="宋体" w:hAnsi="宋体" w:cs="宋体" w:eastAsia="宋体" w:hint="default"/>
                <w:spacing w:val="-64"/>
                <w:sz w:val="24"/>
                <w:szCs w:val="24"/>
              </w:rPr>
              <w:t> </w:t>
            </w:r>
            <w:r>
              <w:rPr>
                <w:rFonts w:ascii="Arial" w:hAnsi="Arial" w:cs="Arial" w:eastAsia="Arial" w:hint="default"/>
                <w:sz w:val="24"/>
                <w:szCs w:val="24"/>
              </w:rPr>
              <w:t>4,486,512,000</w:t>
            </w:r>
            <w:r>
              <w:rPr>
                <w:rFonts w:ascii="Arial" w:hAnsi="Arial" w:cs="Arial" w:eastAsia="Arial" w:hint="default"/>
                <w:spacing w:val="-9"/>
                <w:sz w:val="24"/>
                <w:szCs w:val="24"/>
              </w:rPr>
              <w:t> </w:t>
            </w:r>
            <w:r>
              <w:rPr>
                <w:rFonts w:ascii="宋体" w:hAnsi="宋体" w:cs="宋体" w:eastAsia="宋体" w:hint="default"/>
                <w:sz w:val="24"/>
                <w:szCs w:val="24"/>
              </w:rPr>
              <w:t>元。</w:t>
            </w:r>
          </w:p>
        </w:tc>
      </w:tr>
      <w:tr>
        <w:trPr>
          <w:trHeight w:val="2424"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225" w:lineRule="auto" w:before="111"/>
              <w:ind w:left="136" w:right="319"/>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经中国证券监督管理委员会证监许可字</w:t>
            </w:r>
            <w:r>
              <w:rPr>
                <w:rFonts w:ascii="Arial" w:hAnsi="Arial" w:cs="Arial" w:eastAsia="Arial" w:hint="default"/>
                <w:sz w:val="24"/>
                <w:szCs w:val="24"/>
              </w:rPr>
              <w:t>[2009]1351</w:t>
            </w:r>
            <w:r>
              <w:rPr>
                <w:rFonts w:ascii="Arial" w:hAnsi="Arial" w:cs="Arial" w:eastAsia="Arial" w:hint="default"/>
                <w:spacing w:val="-7"/>
                <w:sz w:val="24"/>
                <w:szCs w:val="24"/>
              </w:rPr>
              <w:t> </w:t>
            </w:r>
            <w:r>
              <w:rPr>
                <w:rFonts w:ascii="宋体" w:hAnsi="宋体" w:cs="宋体" w:eastAsia="宋体" w:hint="default"/>
                <w:spacing w:val="-3"/>
                <w:sz w:val="24"/>
                <w:szCs w:val="24"/>
              </w:rPr>
              <w:t>号《关于核准苏宁电器股份有限公司</w:t>
            </w:r>
            <w:r>
              <w:rPr>
                <w:rFonts w:ascii="宋体" w:hAnsi="宋体" w:cs="宋体" w:eastAsia="宋体" w:hint="default"/>
                <w:sz w:val="24"/>
                <w:szCs w:val="24"/>
              </w:rPr>
              <w:t> 非公开发行股票的批复》批准，本公司于</w:t>
            </w:r>
            <w:r>
              <w:rPr>
                <w:rFonts w:ascii="宋体" w:hAnsi="宋体" w:cs="宋体" w:eastAsia="宋体" w:hint="default"/>
                <w:spacing w:val="-56"/>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23</w:t>
            </w:r>
            <w:r>
              <w:rPr>
                <w:rFonts w:ascii="Arial" w:hAnsi="Arial" w:cs="Arial" w:eastAsia="Arial" w:hint="default"/>
                <w:spacing w:val="-2"/>
                <w:sz w:val="24"/>
                <w:szCs w:val="24"/>
              </w:rPr>
              <w:t> </w:t>
            </w:r>
            <w:r>
              <w:rPr>
                <w:rFonts w:ascii="宋体" w:hAnsi="宋体" w:cs="宋体" w:eastAsia="宋体" w:hint="default"/>
                <w:sz w:val="24"/>
                <w:szCs w:val="24"/>
              </w:rPr>
              <w:t>日以非公开发行股票的方式 向证券投资基金等特定投资者发行人民币普通股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)177,629,244</w:t>
            </w:r>
            <w:r>
              <w:rPr>
                <w:rFonts w:ascii="Arial" w:hAnsi="Arial" w:cs="Arial" w:eastAsia="Arial" w:hint="default"/>
                <w:spacing w:val="-14"/>
                <w:sz w:val="24"/>
                <w:szCs w:val="24"/>
              </w:rPr>
              <w:t> </w:t>
            </w:r>
            <w:r>
              <w:rPr>
                <w:rFonts w:ascii="宋体" w:hAnsi="宋体" w:cs="宋体" w:eastAsia="宋体" w:hint="default"/>
                <w:spacing w:val="-9"/>
                <w:sz w:val="24"/>
                <w:szCs w:val="24"/>
              </w:rPr>
              <w:t>股，每股面值人民币</w:t>
            </w:r>
            <w:r>
              <w:rPr>
                <w:rFonts w:ascii="宋体" w:hAnsi="宋体" w:cs="宋体" w:eastAsia="宋体" w:hint="default"/>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63"/>
                <w:sz w:val="24"/>
                <w:szCs w:val="24"/>
              </w:rPr>
              <w:t> </w:t>
            </w:r>
            <w:r>
              <w:rPr>
                <w:rFonts w:ascii="Arial" w:hAnsi="Arial" w:cs="Arial" w:eastAsia="Arial" w:hint="default"/>
                <w:sz w:val="24"/>
                <w:szCs w:val="24"/>
              </w:rPr>
              <w:t>17.20</w:t>
            </w:r>
            <w:r>
              <w:rPr>
                <w:rFonts w:ascii="Arial" w:hAnsi="Arial" w:cs="Arial" w:eastAsia="Arial" w:hint="default"/>
                <w:spacing w:val="-9"/>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3"/>
                <w:sz w:val="24"/>
                <w:szCs w:val="24"/>
              </w:rPr>
              <w:t> </w:t>
            </w:r>
            <w:r>
              <w:rPr>
                <w:rFonts w:ascii="Arial" w:hAnsi="Arial" w:cs="Arial" w:eastAsia="Arial" w:hint="default"/>
                <w:sz w:val="24"/>
                <w:szCs w:val="24"/>
              </w:rPr>
              <w:t>4,664,141,244</w:t>
            </w:r>
            <w:r>
              <w:rPr>
                <w:rFonts w:ascii="Arial" w:hAnsi="Arial" w:cs="Arial" w:eastAsia="Arial" w:hint="default"/>
                <w:spacing w:val="-7"/>
                <w:sz w:val="24"/>
                <w:szCs w:val="24"/>
              </w:rPr>
              <w:t> </w:t>
            </w:r>
            <w:r>
              <w:rPr>
                <w:rFonts w:ascii="宋体" w:hAnsi="宋体" w:cs="宋体" w:eastAsia="宋体" w:hint="default"/>
                <w:sz w:val="24"/>
                <w:szCs w:val="24"/>
              </w:rPr>
              <w:t>元。</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22" w:lineRule="exact"/>
              <w:ind w:left="136"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1"/>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w w:val="99"/>
                <w:sz w:val="24"/>
                <w:szCs w:val="24"/>
              </w:rPr>
              <w:t>6</w:t>
            </w:r>
            <w:r>
              <w:rPr>
                <w:rFonts w:ascii="Arial" w:hAnsi="Arial" w:cs="Arial" w:eastAsia="Arial" w:hint="default"/>
                <w:spacing w:val="-6"/>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召开的</w:t>
            </w:r>
            <w:r>
              <w:rPr>
                <w:rFonts w:ascii="宋体" w:hAnsi="宋体" w:cs="宋体" w:eastAsia="宋体" w:hint="default"/>
                <w:spacing w:val="-60"/>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0</w:t>
            </w:r>
            <w:r>
              <w:rPr>
                <w:rFonts w:ascii="Arial" w:hAnsi="Arial" w:cs="Arial" w:eastAsia="Arial" w:hint="default"/>
                <w:w w:val="99"/>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年年度</w:t>
            </w:r>
            <w:r>
              <w:rPr>
                <w:rFonts w:ascii="宋体" w:hAnsi="宋体" w:cs="宋体" w:eastAsia="宋体" w:hint="default"/>
                <w:spacing w:val="-3"/>
                <w:sz w:val="24"/>
                <w:szCs w:val="24"/>
              </w:rPr>
              <w:t>股</w:t>
            </w:r>
            <w:r>
              <w:rPr>
                <w:rFonts w:ascii="宋体" w:hAnsi="宋体" w:cs="宋体" w:eastAsia="宋体" w:hint="default"/>
                <w:sz w:val="24"/>
                <w:szCs w:val="24"/>
              </w:rPr>
              <w:t>东大会决议通过</w:t>
            </w:r>
            <w:r>
              <w:rPr>
                <w:rFonts w:ascii="宋体" w:hAnsi="宋体" w:cs="宋体" w:eastAsia="宋体" w:hint="default"/>
                <w:spacing w:val="-115"/>
                <w:sz w:val="24"/>
                <w:szCs w:val="24"/>
              </w:rPr>
              <w:t>，</w:t>
            </w:r>
            <w:r>
              <w:rPr>
                <w:rFonts w:ascii="宋体" w:hAnsi="宋体" w:cs="宋体" w:eastAsia="宋体" w:hint="default"/>
                <w:sz w:val="24"/>
                <w:szCs w:val="24"/>
              </w:rPr>
              <w:t>本公司以资本公积转增股</w:t>
            </w:r>
          </w:p>
          <w:p>
            <w:pPr>
              <w:pStyle w:val="TableParagraph"/>
              <w:spacing w:line="322" w:lineRule="exact"/>
              <w:ind w:left="136" w:right="0"/>
              <w:jc w:val="both"/>
              <w:rPr>
                <w:rFonts w:ascii="宋体" w:hAnsi="宋体" w:cs="宋体" w:eastAsia="宋体" w:hint="default"/>
                <w:sz w:val="24"/>
                <w:szCs w:val="24"/>
              </w:rPr>
            </w:pPr>
            <w:r>
              <w:rPr>
                <w:rFonts w:ascii="宋体" w:hAnsi="宋体" w:cs="宋体" w:eastAsia="宋体" w:hint="default"/>
                <w:sz w:val="24"/>
                <w:szCs w:val="24"/>
              </w:rPr>
              <w:t>本人民币</w:t>
            </w:r>
            <w:r>
              <w:rPr>
                <w:rFonts w:ascii="宋体" w:hAnsi="宋体" w:cs="宋体" w:eastAsia="宋体" w:hint="default"/>
                <w:spacing w:val="-76"/>
                <w:sz w:val="24"/>
                <w:szCs w:val="24"/>
              </w:rPr>
              <w:t> </w:t>
            </w:r>
            <w:r>
              <w:rPr>
                <w:rFonts w:ascii="Arial" w:hAnsi="Arial" w:cs="Arial" w:eastAsia="Arial" w:hint="default"/>
                <w:sz w:val="24"/>
                <w:szCs w:val="24"/>
              </w:rPr>
              <w:t>2,332,070,622</w:t>
            </w:r>
            <w:r>
              <w:rPr>
                <w:rFonts w:ascii="Arial" w:hAnsi="Arial" w:cs="Arial" w:eastAsia="Arial" w:hint="default"/>
                <w:spacing w:val="-20"/>
                <w:sz w:val="24"/>
                <w:szCs w:val="24"/>
              </w:rPr>
              <w:t> </w:t>
            </w:r>
            <w:r>
              <w:rPr>
                <w:rFonts w:ascii="宋体" w:hAnsi="宋体" w:cs="宋体" w:eastAsia="宋体" w:hint="default"/>
                <w:sz w:val="24"/>
                <w:szCs w:val="24"/>
              </w:rPr>
              <w:t>元。经此次转增后，股本总额变更为人民币</w:t>
            </w:r>
            <w:r>
              <w:rPr>
                <w:rFonts w:ascii="宋体" w:hAnsi="宋体" w:cs="宋体" w:eastAsia="宋体" w:hint="default"/>
                <w:spacing w:val="-75"/>
                <w:sz w:val="24"/>
                <w:szCs w:val="24"/>
              </w:rPr>
              <w:t> </w:t>
            </w:r>
            <w:r>
              <w:rPr>
                <w:rFonts w:ascii="Arial" w:hAnsi="Arial" w:cs="Arial" w:eastAsia="Arial" w:hint="default"/>
                <w:sz w:val="24"/>
                <w:szCs w:val="24"/>
              </w:rPr>
              <w:t>6,996,211,866</w:t>
            </w:r>
            <w:r>
              <w:rPr>
                <w:rFonts w:ascii="Arial" w:hAnsi="Arial" w:cs="Arial" w:eastAsia="Arial" w:hint="default"/>
                <w:spacing w:val="-21"/>
                <w:sz w:val="24"/>
                <w:szCs w:val="24"/>
              </w:rPr>
              <w:t> </w:t>
            </w:r>
            <w:r>
              <w:rPr>
                <w:rFonts w:ascii="宋体" w:hAnsi="宋体" w:cs="宋体" w:eastAsia="宋体" w:hint="default"/>
                <w:spacing w:val="-3"/>
                <w:sz w:val="24"/>
                <w:szCs w:val="24"/>
              </w:rPr>
              <w:t>元。</w:t>
            </w:r>
            <w:r>
              <w:rPr>
                <w:rFonts w:ascii="宋体" w:hAnsi="宋体" w:cs="宋体" w:eastAsia="宋体" w:hint="default"/>
                <w:sz w:val="24"/>
                <w:szCs w:val="24"/>
              </w:rPr>
            </w:r>
          </w:p>
        </w:tc>
      </w:tr>
      <w:tr>
        <w:trPr>
          <w:trHeight w:val="1518"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313"/>
              <w:jc w:val="both"/>
              <w:rPr>
                <w:rFonts w:ascii="宋体" w:hAnsi="宋体" w:cs="宋体" w:eastAsia="宋体" w:hint="default"/>
                <w:sz w:val="24"/>
                <w:szCs w:val="24"/>
              </w:rPr>
            </w:pPr>
            <w:r>
              <w:rPr>
                <w:rFonts w:ascii="宋体" w:hAnsi="宋体" w:cs="宋体" w:eastAsia="宋体" w:hint="default"/>
                <w:spacing w:val="-3"/>
                <w:w w:val="99"/>
                <w:sz w:val="24"/>
                <w:szCs w:val="24"/>
              </w:rPr>
              <w:t>经于</w:t>
            </w:r>
            <w:r>
              <w:rPr>
                <w:rFonts w:ascii="Arial" w:hAnsi="Arial" w:cs="Arial" w:eastAsia="Arial" w:hint="default"/>
                <w:spacing w:val="-3"/>
                <w:w w:val="99"/>
                <w:sz w:val="24"/>
                <w:szCs w:val="24"/>
              </w:rPr>
              <w:t>2005</w:t>
            </w:r>
            <w:r>
              <w:rPr>
                <w:rFonts w:ascii="宋体" w:hAnsi="宋体" w:cs="宋体" w:eastAsia="宋体" w:hint="default"/>
                <w:spacing w:val="-3"/>
                <w:w w:val="99"/>
                <w:sz w:val="24"/>
                <w:szCs w:val="24"/>
              </w:rPr>
              <w:t>年</w:t>
            </w:r>
            <w:r>
              <w:rPr>
                <w:rFonts w:ascii="Arial" w:hAnsi="Arial" w:cs="Arial" w:eastAsia="Arial" w:hint="default"/>
                <w:spacing w:val="-3"/>
                <w:w w:val="99"/>
                <w:sz w:val="24"/>
                <w:szCs w:val="24"/>
              </w:rPr>
              <w:t>8</w:t>
            </w:r>
            <w:r>
              <w:rPr>
                <w:rFonts w:ascii="宋体" w:hAnsi="宋体" w:cs="宋体" w:eastAsia="宋体" w:hint="default"/>
                <w:spacing w:val="-3"/>
                <w:w w:val="99"/>
                <w:sz w:val="24"/>
                <w:szCs w:val="24"/>
              </w:rPr>
              <w:t>月</w:t>
            </w:r>
            <w:r>
              <w:rPr>
                <w:rFonts w:ascii="Arial" w:hAnsi="Arial" w:cs="Arial" w:eastAsia="Arial" w:hint="default"/>
                <w:spacing w:val="-3"/>
                <w:w w:val="99"/>
                <w:sz w:val="24"/>
                <w:szCs w:val="24"/>
              </w:rPr>
              <w:t>4</w:t>
            </w:r>
            <w:r>
              <w:rPr>
                <w:rFonts w:ascii="宋体" w:hAnsi="宋体" w:cs="宋体" w:eastAsia="宋体" w:hint="default"/>
                <w:spacing w:val="-3"/>
                <w:w w:val="99"/>
                <w:sz w:val="24"/>
                <w:szCs w:val="24"/>
              </w:rPr>
              <w:t>日召开的</w:t>
            </w:r>
            <w:r>
              <w:rPr>
                <w:rFonts w:ascii="Arial" w:hAnsi="Arial" w:cs="Arial" w:eastAsia="Arial" w:hint="default"/>
                <w:spacing w:val="-3"/>
                <w:w w:val="99"/>
                <w:sz w:val="24"/>
                <w:szCs w:val="24"/>
              </w:rPr>
              <w:t>2005</w:t>
            </w:r>
            <w:r>
              <w:rPr>
                <w:rFonts w:ascii="宋体" w:hAnsi="宋体" w:cs="宋体" w:eastAsia="宋体" w:hint="default"/>
                <w:spacing w:val="-3"/>
                <w:w w:val="99"/>
                <w:sz w:val="24"/>
                <w:szCs w:val="24"/>
              </w:rPr>
              <w:t>年第一次临时股东大会审议通过，本公司全体非流通股股</w:t>
            </w:r>
            <w:r>
              <w:rPr>
                <w:rFonts w:ascii="宋体" w:hAnsi="宋体" w:cs="宋体" w:eastAsia="宋体" w:hint="default"/>
                <w:spacing w:val="-116"/>
                <w:w w:val="99"/>
                <w:sz w:val="24"/>
                <w:szCs w:val="24"/>
              </w:rPr>
              <w:t> </w:t>
            </w:r>
            <w:r>
              <w:rPr>
                <w:rFonts w:ascii="宋体" w:hAnsi="宋体" w:cs="宋体" w:eastAsia="宋体" w:hint="default"/>
                <w:spacing w:val="-116"/>
                <w:w w:val="99"/>
                <w:sz w:val="24"/>
                <w:szCs w:val="24"/>
              </w:rPr>
            </w:r>
            <w:r>
              <w:rPr>
                <w:rFonts w:ascii="宋体" w:hAnsi="宋体" w:cs="宋体" w:eastAsia="宋体" w:hint="default"/>
                <w:sz w:val="24"/>
                <w:szCs w:val="24"/>
              </w:rPr>
              <w:t>东根据《股权分置改革方案》向股份变更登记日</w:t>
            </w:r>
            <w:r>
              <w:rPr>
                <w:rFonts w:ascii="Arial" w:hAnsi="Arial" w:cs="Arial" w:eastAsia="Arial" w:hint="default"/>
                <w:sz w:val="24"/>
                <w:szCs w:val="24"/>
              </w:rPr>
              <w:t>(2005</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9</w:t>
            </w:r>
            <w:r>
              <w:rPr>
                <w:rFonts w:ascii="宋体" w:hAnsi="宋体" w:cs="宋体" w:eastAsia="宋体" w:hint="default"/>
                <w:sz w:val="24"/>
                <w:szCs w:val="24"/>
              </w:rPr>
              <w:t>日</w:t>
            </w:r>
            <w:r>
              <w:rPr>
                <w:rFonts w:ascii="Arial" w:hAnsi="Arial" w:cs="Arial" w:eastAsia="Arial" w:hint="default"/>
                <w:sz w:val="24"/>
                <w:szCs w:val="24"/>
              </w:rPr>
              <w:t>)</w:t>
            </w:r>
            <w:r>
              <w:rPr>
                <w:rFonts w:ascii="宋体" w:hAnsi="宋体" w:cs="宋体" w:eastAsia="宋体" w:hint="default"/>
                <w:sz w:val="24"/>
                <w:szCs w:val="24"/>
              </w:rPr>
              <w:t>登记在册的流通股股东</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每</w:t>
            </w:r>
            <w:r>
              <w:rPr>
                <w:rFonts w:ascii="Arial" w:hAnsi="Arial" w:cs="Arial" w:eastAsia="Arial" w:hint="default"/>
                <w:spacing w:val="-2"/>
                <w:sz w:val="24"/>
                <w:szCs w:val="24"/>
              </w:rPr>
              <w:t>10</w:t>
            </w:r>
            <w:r>
              <w:rPr>
                <w:rFonts w:ascii="宋体" w:hAnsi="宋体" w:cs="宋体" w:eastAsia="宋体" w:hint="default"/>
                <w:spacing w:val="-2"/>
                <w:sz w:val="24"/>
                <w:szCs w:val="24"/>
              </w:rPr>
              <w:t>股支付</w:t>
            </w:r>
            <w:r>
              <w:rPr>
                <w:rFonts w:ascii="Arial" w:hAnsi="Arial" w:cs="Arial" w:eastAsia="Arial" w:hint="default"/>
                <w:spacing w:val="-2"/>
                <w:sz w:val="24"/>
                <w:szCs w:val="24"/>
              </w:rPr>
              <w:t>2.5</w:t>
            </w:r>
            <w:r>
              <w:rPr>
                <w:rFonts w:ascii="宋体" w:hAnsi="宋体" w:cs="宋体" w:eastAsia="宋体" w:hint="default"/>
                <w:spacing w:val="-2"/>
                <w:sz w:val="24"/>
                <w:szCs w:val="24"/>
              </w:rPr>
              <w:t>股对价股份，共</w:t>
            </w:r>
            <w:r>
              <w:rPr>
                <w:rFonts w:ascii="Arial" w:hAnsi="Arial" w:cs="Arial" w:eastAsia="Arial" w:hint="default"/>
                <w:spacing w:val="-2"/>
                <w:sz w:val="24"/>
                <w:szCs w:val="24"/>
              </w:rPr>
              <w:t>12,500,000</w:t>
            </w:r>
            <w:r>
              <w:rPr>
                <w:rFonts w:ascii="宋体" w:hAnsi="宋体" w:cs="宋体" w:eastAsia="宋体" w:hint="default"/>
                <w:spacing w:val="-2"/>
                <w:sz w:val="24"/>
                <w:szCs w:val="24"/>
              </w:rPr>
              <w:t>股对价股份。由此，自</w:t>
            </w:r>
            <w:r>
              <w:rPr>
                <w:rFonts w:ascii="Arial" w:hAnsi="Arial" w:cs="Arial" w:eastAsia="Arial" w:hint="default"/>
                <w:spacing w:val="-2"/>
                <w:sz w:val="24"/>
                <w:szCs w:val="24"/>
              </w:rPr>
              <w:t>2005</w:t>
            </w:r>
            <w:r>
              <w:rPr>
                <w:rFonts w:ascii="宋体" w:hAnsi="宋体" w:cs="宋体" w:eastAsia="宋体" w:hint="default"/>
                <w:spacing w:val="-2"/>
                <w:sz w:val="24"/>
                <w:szCs w:val="24"/>
              </w:rPr>
              <w:t>年</w:t>
            </w:r>
            <w:r>
              <w:rPr>
                <w:rFonts w:ascii="Arial" w:hAnsi="Arial" w:cs="Arial" w:eastAsia="Arial" w:hint="default"/>
                <w:spacing w:val="-2"/>
                <w:sz w:val="24"/>
                <w:szCs w:val="24"/>
              </w:rPr>
              <w:t>8</w:t>
            </w:r>
            <w:r>
              <w:rPr>
                <w:rFonts w:ascii="宋体" w:hAnsi="宋体" w:cs="宋体" w:eastAsia="宋体" w:hint="default"/>
                <w:spacing w:val="-2"/>
                <w:sz w:val="24"/>
                <w:szCs w:val="24"/>
              </w:rPr>
              <w:t>月</w:t>
            </w:r>
            <w:r>
              <w:rPr>
                <w:rFonts w:ascii="Arial" w:hAnsi="Arial" w:cs="Arial" w:eastAsia="Arial" w:hint="default"/>
                <w:spacing w:val="-2"/>
                <w:sz w:val="24"/>
                <w:szCs w:val="24"/>
              </w:rPr>
              <w:t>10</w:t>
            </w:r>
            <w:r>
              <w:rPr>
                <w:rFonts w:ascii="宋体" w:hAnsi="宋体" w:cs="宋体" w:eastAsia="宋体" w:hint="default"/>
                <w:spacing w:val="-2"/>
                <w:sz w:val="24"/>
                <w:szCs w:val="24"/>
              </w:rPr>
              <w:t>日起，本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公司原非流通股股东持有的非流通股股份的性质，变更为有限售条件的流通股。</w:t>
            </w:r>
          </w:p>
        </w:tc>
      </w:tr>
      <w:tr>
        <w:trPr>
          <w:trHeight w:val="1218"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本公司于</w:t>
            </w:r>
            <w:r>
              <w:rPr>
                <w:rFonts w:ascii="Arial" w:hAnsi="Arial" w:cs="Arial" w:eastAsia="Arial" w:hint="default"/>
                <w:sz w:val="24"/>
                <w:szCs w:val="24"/>
              </w:rPr>
              <w:t>2009</w:t>
            </w:r>
            <w:r>
              <w:rPr>
                <w:rFonts w:ascii="宋体" w:hAnsi="宋体" w:cs="宋体" w:eastAsia="宋体" w:hint="default"/>
                <w:sz w:val="24"/>
                <w:szCs w:val="24"/>
              </w:rPr>
              <w:t>年</w:t>
            </w:r>
            <w:r>
              <w:rPr>
                <w:rFonts w:ascii="Arial" w:hAnsi="Arial" w:cs="Arial" w:eastAsia="Arial" w:hint="default"/>
                <w:sz w:val="24"/>
                <w:szCs w:val="24"/>
              </w:rPr>
              <w:t>5</w:t>
            </w:r>
            <w:r>
              <w:rPr>
                <w:rFonts w:ascii="宋体" w:hAnsi="宋体" w:cs="宋体" w:eastAsia="宋体" w:hint="default"/>
                <w:sz w:val="24"/>
                <w:szCs w:val="24"/>
              </w:rPr>
              <w:t>月</w:t>
            </w:r>
            <w:r>
              <w:rPr>
                <w:rFonts w:ascii="Arial" w:hAnsi="Arial" w:cs="Arial" w:eastAsia="Arial" w:hint="default"/>
                <w:sz w:val="24"/>
                <w:szCs w:val="24"/>
              </w:rPr>
              <w:t>22</w:t>
            </w:r>
            <w:r>
              <w:rPr>
                <w:rFonts w:ascii="宋体" w:hAnsi="宋体" w:cs="宋体" w:eastAsia="宋体" w:hint="default"/>
                <w:sz w:val="24"/>
                <w:szCs w:val="24"/>
              </w:rPr>
              <w:t>日解禁有限售条件流通股股份</w:t>
            </w:r>
            <w:r>
              <w:rPr>
                <w:rFonts w:ascii="Arial" w:hAnsi="Arial" w:cs="Arial" w:eastAsia="Arial" w:hint="default"/>
                <w:sz w:val="24"/>
                <w:szCs w:val="24"/>
              </w:rPr>
              <w:t>16,200</w:t>
            </w:r>
            <w:r>
              <w:rPr>
                <w:rFonts w:ascii="宋体" w:hAnsi="宋体" w:cs="宋体" w:eastAsia="宋体" w:hint="default"/>
                <w:sz w:val="24"/>
                <w:szCs w:val="24"/>
              </w:rPr>
              <w:t>万股；于</w:t>
            </w:r>
            <w:r>
              <w:rPr>
                <w:rFonts w:ascii="Arial" w:hAnsi="Arial" w:cs="Arial" w:eastAsia="Arial" w:hint="default"/>
                <w:sz w:val="24"/>
                <w:szCs w:val="24"/>
              </w:rPr>
              <w:t>2010</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11</w:t>
            </w:r>
            <w:r>
              <w:rPr>
                <w:rFonts w:ascii="宋体" w:hAnsi="宋体" w:cs="宋体" w:eastAsia="宋体" w:hint="default"/>
                <w:sz w:val="24"/>
                <w:szCs w:val="24"/>
              </w:rPr>
              <w:t>日解</w:t>
            </w:r>
            <w:r>
              <w:rPr>
                <w:rFonts w:ascii="宋体" w:hAnsi="宋体" w:cs="宋体" w:eastAsia="宋体" w:hint="default"/>
                <w:spacing w:val="-79"/>
                <w:sz w:val="24"/>
                <w:szCs w:val="24"/>
              </w:rPr>
              <w:t> </w:t>
            </w:r>
            <w:r>
              <w:rPr>
                <w:rFonts w:ascii="宋体" w:hAnsi="宋体" w:cs="宋体" w:eastAsia="宋体" w:hint="default"/>
                <w:sz w:val="24"/>
                <w:szCs w:val="24"/>
              </w:rPr>
              <w:t>禁有限售条件流通股股份</w:t>
            </w:r>
            <w:r>
              <w:rPr>
                <w:rFonts w:ascii="Arial" w:hAnsi="Arial" w:cs="Arial" w:eastAsia="Arial" w:hint="default"/>
                <w:sz w:val="24"/>
                <w:szCs w:val="24"/>
              </w:rPr>
              <w:t>487,952,857</w:t>
            </w:r>
            <w:r>
              <w:rPr>
                <w:rFonts w:ascii="宋体" w:hAnsi="宋体" w:cs="宋体" w:eastAsia="宋体" w:hint="default"/>
                <w:sz w:val="24"/>
                <w:szCs w:val="24"/>
              </w:rPr>
              <w:t>股，于</w:t>
            </w:r>
            <w:r>
              <w:rPr>
                <w:rFonts w:ascii="Arial" w:hAnsi="Arial" w:cs="Arial" w:eastAsia="Arial" w:hint="default"/>
                <w:sz w:val="24"/>
                <w:szCs w:val="24"/>
              </w:rPr>
              <w:t>2010</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日解禁有限售条件流通股股</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6"/>
                <w:sz w:val="24"/>
                <w:szCs w:val="24"/>
              </w:rPr>
              <w:t>份</w:t>
            </w:r>
            <w:r>
              <w:rPr>
                <w:rFonts w:ascii="Arial" w:hAnsi="Arial" w:cs="Arial" w:eastAsia="Arial" w:hint="default"/>
                <w:spacing w:val="-6"/>
                <w:sz w:val="24"/>
                <w:szCs w:val="24"/>
              </w:rPr>
              <w:t>240,281,076</w:t>
            </w:r>
            <w:r>
              <w:rPr>
                <w:rFonts w:ascii="宋体" w:hAnsi="宋体" w:cs="宋体" w:eastAsia="宋体" w:hint="default"/>
                <w:spacing w:val="-6"/>
                <w:sz w:val="24"/>
                <w:szCs w:val="24"/>
              </w:rPr>
              <w:t>股。截止</w:t>
            </w:r>
            <w:r>
              <w:rPr>
                <w:rFonts w:ascii="Arial" w:hAnsi="Arial" w:cs="Arial" w:eastAsia="Arial" w:hint="default"/>
                <w:spacing w:val="-6"/>
                <w:sz w:val="24"/>
                <w:szCs w:val="24"/>
              </w:rPr>
              <w:t>2011</w:t>
            </w:r>
            <w:r>
              <w:rPr>
                <w:rFonts w:ascii="宋体" w:hAnsi="宋体" w:cs="宋体" w:eastAsia="宋体" w:hint="default"/>
                <w:spacing w:val="-6"/>
                <w:sz w:val="24"/>
                <w:szCs w:val="24"/>
              </w:rPr>
              <w:t>年</w:t>
            </w:r>
            <w:r>
              <w:rPr>
                <w:rFonts w:ascii="Arial" w:hAnsi="Arial" w:cs="Arial" w:eastAsia="Arial" w:hint="default"/>
                <w:spacing w:val="-6"/>
                <w:sz w:val="24"/>
                <w:szCs w:val="24"/>
              </w:rPr>
              <w:t>12</w:t>
            </w:r>
            <w:r>
              <w:rPr>
                <w:rFonts w:ascii="宋体" w:hAnsi="宋体" w:cs="宋体" w:eastAsia="宋体" w:hint="default"/>
                <w:spacing w:val="-6"/>
                <w:sz w:val="24"/>
                <w:szCs w:val="24"/>
              </w:rPr>
              <w:t>月</w:t>
            </w:r>
            <w:r>
              <w:rPr>
                <w:rFonts w:ascii="Arial" w:hAnsi="Arial" w:cs="Arial" w:eastAsia="Arial" w:hint="default"/>
                <w:spacing w:val="-6"/>
                <w:sz w:val="24"/>
                <w:szCs w:val="24"/>
              </w:rPr>
              <w:t>31</w:t>
            </w:r>
            <w:r>
              <w:rPr>
                <w:rFonts w:ascii="宋体" w:hAnsi="宋体" w:cs="宋体" w:eastAsia="宋体" w:hint="default"/>
                <w:spacing w:val="-6"/>
                <w:sz w:val="24"/>
                <w:szCs w:val="24"/>
              </w:rPr>
              <w:t>日，有限售条件的流通股的情况，详见附注五</w:t>
            </w:r>
            <w:r>
              <w:rPr>
                <w:rFonts w:ascii="Arial" w:hAnsi="Arial" w:cs="Arial" w:eastAsia="Arial" w:hint="default"/>
                <w:spacing w:val="-6"/>
                <w:sz w:val="24"/>
                <w:szCs w:val="24"/>
              </w:rPr>
              <w:t>(31)</w:t>
            </w:r>
            <w:r>
              <w:rPr>
                <w:rFonts w:ascii="宋体" w:hAnsi="宋体" w:cs="宋体" w:eastAsia="宋体" w:hint="default"/>
                <w:spacing w:val="-6"/>
                <w:sz w:val="24"/>
                <w:szCs w:val="24"/>
              </w:rPr>
              <w:t>。</w:t>
            </w:r>
          </w:p>
        </w:tc>
      </w:tr>
      <w:tr>
        <w:trPr>
          <w:trHeight w:val="1656" w:hRule="exact"/>
        </w:trPr>
        <w:tc>
          <w:tcPr>
            <w:tcW w:w="772" w:type="dxa"/>
            <w:tcBorders>
              <w:top w:val="nil" w:sz="6" w:space="0" w:color="auto"/>
              <w:left w:val="nil" w:sz="6" w:space="0" w:color="auto"/>
              <w:bottom w:val="nil" w:sz="6" w:space="0" w:color="auto"/>
              <w:right w:val="nil" w:sz="6" w:space="0" w:color="auto"/>
            </w:tcBorders>
          </w:tcPr>
          <w:p>
            <w:pPr/>
          </w:p>
        </w:tc>
        <w:tc>
          <w:tcPr>
            <w:tcW w:w="959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315"/>
              <w:jc w:val="both"/>
              <w:rPr>
                <w:rFonts w:ascii="宋体" w:hAnsi="宋体" w:cs="宋体" w:eastAsia="宋体" w:hint="default"/>
                <w:sz w:val="24"/>
                <w:szCs w:val="24"/>
              </w:rPr>
            </w:pPr>
            <w:r>
              <w:rPr>
                <w:rFonts w:ascii="宋体" w:hAnsi="宋体" w:cs="宋体" w:eastAsia="宋体" w:hint="default"/>
                <w:spacing w:val="-2"/>
                <w:sz w:val="24"/>
                <w:szCs w:val="24"/>
              </w:rPr>
              <w:t>本公司及子公司</w:t>
            </w:r>
            <w:r>
              <w:rPr>
                <w:rFonts w:ascii="Arial" w:hAnsi="Arial" w:cs="Arial" w:eastAsia="Arial" w:hint="default"/>
                <w:spacing w:val="-2"/>
                <w:sz w:val="24"/>
                <w:szCs w:val="24"/>
              </w:rPr>
              <w:t>(</w:t>
            </w:r>
            <w:r>
              <w:rPr>
                <w:rFonts w:ascii="宋体" w:hAnsi="宋体" w:cs="宋体" w:eastAsia="宋体" w:hint="default"/>
                <w:spacing w:val="-2"/>
                <w:sz w:val="24"/>
                <w:szCs w:val="24"/>
              </w:rPr>
              <w:t>以下合称</w:t>
            </w:r>
            <w:r>
              <w:rPr>
                <w:rFonts w:ascii="Arial" w:hAnsi="Arial" w:cs="Arial" w:eastAsia="Arial" w:hint="default"/>
                <w:spacing w:val="-2"/>
                <w:sz w:val="24"/>
                <w:szCs w:val="24"/>
              </w:rPr>
              <w:t>“</w:t>
            </w:r>
            <w:r>
              <w:rPr>
                <w:rFonts w:ascii="宋体" w:hAnsi="宋体" w:cs="宋体" w:eastAsia="宋体" w:hint="default"/>
                <w:spacing w:val="-2"/>
                <w:sz w:val="24"/>
                <w:szCs w:val="24"/>
              </w:rPr>
              <w:t>本集团</w:t>
            </w:r>
            <w:r>
              <w:rPr>
                <w:rFonts w:ascii="Arial" w:hAnsi="Arial" w:cs="Arial" w:eastAsia="Arial" w:hint="default"/>
                <w:spacing w:val="-2"/>
                <w:sz w:val="24"/>
                <w:szCs w:val="24"/>
              </w:rPr>
              <w:t>”)</w:t>
            </w:r>
            <w:r>
              <w:rPr>
                <w:rFonts w:ascii="宋体" w:hAnsi="宋体" w:cs="宋体" w:eastAsia="宋体" w:hint="default"/>
                <w:spacing w:val="-2"/>
                <w:sz w:val="24"/>
                <w:szCs w:val="24"/>
              </w:rPr>
              <w:t>主要经营家用电器、电子产品、办公设备、通讯产品</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及配件的连锁销售和服务，计算机软件开发、销售和系统集成，百货、自行车、电动助</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力车、摩托车、汽车的连锁销售，电子商务，实业投资，场地租赁，柜台出租，国内商</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品展览服务，企业形象策划，经济信息咨询，人才培训，商务代理，仓储，微型计算机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配件、软件的销售，微型计算机的安装及维修，废旧物资的回收与销售业务。</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904"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6311"/>
      </w:tblGrid>
      <w:tr>
        <w:trPr>
          <w:trHeight w:val="70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一</w:t>
            </w:r>
            <w:r>
              <w:rPr>
                <w:rFonts w:ascii="宋体" w:hAnsi="宋体" w:cs="宋体" w:eastAsia="宋体" w:hint="default"/>
                <w:sz w:val="24"/>
                <w:szCs w:val="24"/>
              </w:rPr>
            </w:r>
          </w:p>
        </w:tc>
        <w:tc>
          <w:tcPr>
            <w:tcW w:w="6311"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公司基本情况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0" w:hRule="exact"/>
        </w:trPr>
        <w:tc>
          <w:tcPr>
            <w:tcW w:w="772" w:type="dxa"/>
            <w:tcBorders>
              <w:top w:val="nil" w:sz="6" w:space="0" w:color="auto"/>
              <w:left w:val="nil" w:sz="6" w:space="0" w:color="auto"/>
              <w:bottom w:val="nil" w:sz="6" w:space="0" w:color="auto"/>
              <w:right w:val="nil" w:sz="6" w:space="0" w:color="auto"/>
            </w:tcBorders>
          </w:tcPr>
          <w:p>
            <w:pPr/>
          </w:p>
        </w:tc>
        <w:tc>
          <w:tcPr>
            <w:tcW w:w="63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3</w:t>
            </w:r>
            <w:r>
              <w:rPr>
                <w:rFonts w:ascii="宋体" w:hAnsi="宋体" w:cs="宋体" w:eastAsia="宋体" w:hint="default"/>
                <w:sz w:val="24"/>
                <w:szCs w:val="24"/>
              </w:rPr>
              <w:t>月</w:t>
            </w:r>
            <w:r>
              <w:rPr>
                <w:rFonts w:ascii="Arial" w:hAnsi="Arial" w:cs="Arial" w:eastAsia="Arial" w:hint="default"/>
                <w:sz w:val="24"/>
                <w:szCs w:val="24"/>
              </w:rPr>
              <w:t>29</w:t>
            </w:r>
            <w:r>
              <w:rPr>
                <w:rFonts w:ascii="宋体" w:hAnsi="宋体" w:cs="宋体" w:eastAsia="宋体" w:hint="default"/>
                <w:sz w:val="24"/>
                <w:szCs w:val="24"/>
              </w:rPr>
              <w:t>日批准报出。</w:t>
            </w:r>
          </w:p>
        </w:tc>
      </w:tr>
    </w:tbl>
    <w:p>
      <w:pPr>
        <w:spacing w:line="240" w:lineRule="auto" w:before="4"/>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01"/>
        <w:gridCol w:w="9551"/>
      </w:tblGrid>
      <w:tr>
        <w:trPr>
          <w:trHeight w:val="41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51" w:type="dxa"/>
            <w:tcBorders>
              <w:top w:val="nil" w:sz="6" w:space="0" w:color="auto"/>
              <w:left w:val="nil" w:sz="6" w:space="0" w:color="auto"/>
              <w:bottom w:val="nil" w:sz="6" w:space="0" w:color="auto"/>
              <w:right w:val="nil" w:sz="6" w:space="0" w:color="auto"/>
            </w:tcBorders>
          </w:tcPr>
          <w:p>
            <w:pPr>
              <w:pStyle w:val="TableParagraph"/>
              <w:spacing w:line="240" w:lineRule="exact"/>
              <w:ind w:left="207" w:right="0"/>
              <w:jc w:val="left"/>
              <w:rPr>
                <w:rFonts w:ascii="宋体" w:hAnsi="宋体" w:cs="宋体" w:eastAsia="宋体" w:hint="default"/>
                <w:sz w:val="24"/>
                <w:szCs w:val="24"/>
              </w:rPr>
            </w:pPr>
            <w:r>
              <w:rPr>
                <w:rFonts w:ascii="宋体" w:hAnsi="宋体" w:cs="宋体" w:eastAsia="宋体" w:hint="default"/>
                <w:b/>
                <w:bCs/>
                <w:sz w:val="24"/>
                <w:szCs w:val="24"/>
              </w:rPr>
              <w:t>主要会计政策和会计估计</w:t>
            </w:r>
            <w:r>
              <w:rPr>
                <w:rFonts w:ascii="宋体" w:hAnsi="宋体" w:cs="宋体" w:eastAsia="宋体" w:hint="default"/>
                <w:sz w:val="24"/>
                <w:szCs w:val="24"/>
              </w:rPr>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955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b/>
                <w:bCs/>
                <w:sz w:val="24"/>
                <w:szCs w:val="24"/>
              </w:rPr>
              <w:t>财务报表的编制基础</w:t>
            </w:r>
            <w:r>
              <w:rPr>
                <w:rFonts w:ascii="宋体" w:hAnsi="宋体" w:cs="宋体" w:eastAsia="宋体" w:hint="default"/>
                <w:sz w:val="24"/>
                <w:szCs w:val="24"/>
              </w:rPr>
            </w:r>
          </w:p>
        </w:tc>
      </w:tr>
      <w:tr>
        <w:trPr>
          <w:trHeight w:val="1362" w:hRule="exact"/>
        </w:trPr>
        <w:tc>
          <w:tcPr>
            <w:tcW w:w="701" w:type="dxa"/>
            <w:tcBorders>
              <w:top w:val="nil" w:sz="6" w:space="0" w:color="auto"/>
              <w:left w:val="nil" w:sz="6" w:space="0" w:color="auto"/>
              <w:bottom w:val="nil" w:sz="6" w:space="0" w:color="auto"/>
              <w:right w:val="nil" w:sz="6" w:space="0" w:color="auto"/>
            </w:tcBorders>
          </w:tcPr>
          <w:p>
            <w:pPr/>
          </w:p>
        </w:tc>
        <w:tc>
          <w:tcPr>
            <w:tcW w:w="955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07" w:right="198"/>
              <w:jc w:val="both"/>
              <w:rPr>
                <w:rFonts w:ascii="宋体" w:hAnsi="宋体" w:cs="宋体" w:eastAsia="宋体" w:hint="default"/>
                <w:sz w:val="24"/>
                <w:szCs w:val="24"/>
              </w:rPr>
            </w:pPr>
            <w:r>
              <w:rPr>
                <w:rFonts w:ascii="宋体" w:hAnsi="宋体" w:cs="宋体" w:eastAsia="宋体" w:hint="default"/>
                <w:sz w:val="24"/>
                <w:szCs w:val="24"/>
              </w:rPr>
              <w:t>本财务报表按照财政部于</w:t>
            </w:r>
            <w:r>
              <w:rPr>
                <w:rFonts w:ascii="宋体" w:hAnsi="宋体" w:cs="宋体" w:eastAsia="宋体" w:hint="default"/>
                <w:spacing w:val="-61"/>
                <w:sz w:val="24"/>
                <w:szCs w:val="24"/>
              </w:rPr>
              <w:t> </w:t>
            </w:r>
            <w:r>
              <w:rPr>
                <w:rFonts w:ascii="Arial" w:hAnsi="Arial" w:cs="Arial" w:eastAsia="Arial" w:hint="default"/>
                <w:sz w:val="24"/>
                <w:szCs w:val="24"/>
              </w:rPr>
              <w:t>2006</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15</w:t>
            </w:r>
            <w:r>
              <w:rPr>
                <w:rFonts w:ascii="Arial" w:hAnsi="Arial" w:cs="Arial" w:eastAsia="Arial" w:hint="default"/>
                <w:spacing w:val="-7"/>
                <w:sz w:val="24"/>
                <w:szCs w:val="24"/>
              </w:rPr>
              <w:t> </w:t>
            </w:r>
            <w:r>
              <w:rPr>
                <w:rFonts w:ascii="宋体" w:hAnsi="宋体" w:cs="宋体" w:eastAsia="宋体" w:hint="default"/>
                <w:sz w:val="24"/>
                <w:szCs w:val="24"/>
              </w:rPr>
              <w:t>日颁布的《企业会计准则</w:t>
            </w:r>
            <w:r>
              <w:rPr>
                <w:rFonts w:ascii="宋体" w:hAnsi="宋体" w:cs="宋体" w:eastAsia="宋体" w:hint="default"/>
                <w:spacing w:val="-1"/>
                <w:sz w:val="24"/>
                <w:szCs w:val="24"/>
              </w:rPr>
              <w:t> </w:t>
            </w:r>
            <w:r>
              <w:rPr>
                <w:rFonts w:ascii="Arial" w:hAnsi="Arial" w:cs="Arial" w:eastAsia="Arial" w:hint="default"/>
                <w:sz w:val="24"/>
                <w:szCs w:val="24"/>
              </w:rPr>
              <w:t>-</w:t>
            </w:r>
            <w:r>
              <w:rPr>
                <w:rFonts w:ascii="Arial" w:hAnsi="Arial" w:cs="Arial" w:eastAsia="Arial" w:hint="default"/>
                <w:spacing w:val="50"/>
                <w:sz w:val="24"/>
                <w:szCs w:val="24"/>
              </w:rPr>
              <w:t> </w:t>
            </w:r>
            <w:r>
              <w:rPr>
                <w:rFonts w:ascii="宋体" w:hAnsi="宋体" w:cs="宋体" w:eastAsia="宋体" w:hint="default"/>
                <w:sz w:val="24"/>
                <w:szCs w:val="24"/>
              </w:rPr>
              <w:t>基本准则》和</w:t>
            </w:r>
            <w:r>
              <w:rPr>
                <w:rFonts w:ascii="宋体" w:hAnsi="宋体" w:cs="宋体" w:eastAsia="宋体" w:hint="default"/>
                <w:spacing w:val="-61"/>
                <w:sz w:val="24"/>
                <w:szCs w:val="24"/>
              </w:rPr>
              <w:t> </w:t>
            </w:r>
            <w:r>
              <w:rPr>
                <w:rFonts w:ascii="Arial" w:hAnsi="Arial" w:cs="Arial" w:eastAsia="Arial" w:hint="default"/>
                <w:sz w:val="24"/>
                <w:szCs w:val="24"/>
              </w:rPr>
              <w:t>38</w:t>
            </w:r>
            <w:r>
              <w:rPr>
                <w:rFonts w:ascii="Arial" w:hAnsi="Arial" w:cs="Arial" w:eastAsia="Arial" w:hint="default"/>
                <w:w w:val="99"/>
                <w:sz w:val="24"/>
                <w:szCs w:val="24"/>
              </w:rPr>
              <w:t> </w:t>
            </w:r>
            <w:r>
              <w:rPr>
                <w:rFonts w:ascii="宋体" w:hAnsi="宋体" w:cs="宋体" w:eastAsia="宋体" w:hint="default"/>
                <w:sz w:val="24"/>
                <w:szCs w:val="24"/>
              </w:rPr>
              <w:t>项具体会计准则、其后颁布的企业会计准则应用指南、企业会计准则解释以及其他相关</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规定</w:t>
            </w:r>
            <w:r>
              <w:rPr>
                <w:rFonts w:ascii="Arial" w:hAnsi="Arial" w:cs="Arial" w:eastAsia="Arial" w:hint="default"/>
                <w:spacing w:val="-2"/>
                <w:sz w:val="24"/>
                <w:szCs w:val="24"/>
              </w:rPr>
              <w:t>(</w:t>
            </w:r>
            <w:r>
              <w:rPr>
                <w:rFonts w:ascii="宋体" w:hAnsi="宋体" w:cs="宋体" w:eastAsia="宋体" w:hint="default"/>
                <w:spacing w:val="-2"/>
                <w:sz w:val="24"/>
                <w:szCs w:val="24"/>
              </w:rPr>
              <w:t>以下合称</w:t>
            </w:r>
            <w:r>
              <w:rPr>
                <w:rFonts w:ascii="Arial" w:hAnsi="Arial" w:cs="Arial" w:eastAsia="Arial" w:hint="default"/>
                <w:spacing w:val="-2"/>
                <w:sz w:val="24"/>
                <w:szCs w:val="24"/>
              </w:rPr>
              <w:t>“</w:t>
            </w:r>
            <w:r>
              <w:rPr>
                <w:rFonts w:ascii="宋体" w:hAnsi="宋体" w:cs="宋体" w:eastAsia="宋体" w:hint="default"/>
                <w:spacing w:val="-2"/>
                <w:sz w:val="24"/>
                <w:szCs w:val="24"/>
              </w:rPr>
              <w:t>企业会计准则</w:t>
            </w:r>
            <w:r>
              <w:rPr>
                <w:rFonts w:ascii="Arial" w:hAnsi="Arial" w:cs="Arial" w:eastAsia="Arial" w:hint="default"/>
                <w:spacing w:val="-2"/>
                <w:sz w:val="24"/>
                <w:szCs w:val="24"/>
              </w:rPr>
              <w:t>”)</w:t>
            </w:r>
            <w:r>
              <w:rPr>
                <w:rFonts w:ascii="宋体" w:hAnsi="宋体" w:cs="宋体" w:eastAsia="宋体" w:hint="default"/>
                <w:spacing w:val="-2"/>
                <w:sz w:val="24"/>
                <w:szCs w:val="24"/>
              </w:rPr>
              <w:t>、以及中国证券监督管理委员会《公开发行证券的公司信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息披露编报规则第 </w:t>
            </w:r>
            <w:r>
              <w:rPr>
                <w:rFonts w:ascii="Arial" w:hAnsi="Arial" w:cs="Arial" w:eastAsia="Arial" w:hint="default"/>
                <w:sz w:val="24"/>
                <w:szCs w:val="24"/>
              </w:rPr>
              <w:t>15  </w:t>
            </w:r>
            <w:r>
              <w:rPr>
                <w:rFonts w:ascii="宋体" w:hAnsi="宋体" w:cs="宋体" w:eastAsia="宋体" w:hint="default"/>
                <w:sz w:val="24"/>
                <w:szCs w:val="24"/>
              </w:rPr>
              <w:t>号  </w:t>
            </w:r>
            <w:r>
              <w:rPr>
                <w:rFonts w:ascii="Arial" w:hAnsi="Arial" w:cs="Arial" w:eastAsia="Arial" w:hint="default"/>
                <w:sz w:val="24"/>
                <w:szCs w:val="24"/>
              </w:rPr>
              <w:t>-   </w:t>
            </w:r>
            <w:r>
              <w:rPr>
                <w:rFonts w:ascii="宋体" w:hAnsi="宋体" w:cs="宋体" w:eastAsia="宋体" w:hint="default"/>
                <w:sz w:val="24"/>
                <w:szCs w:val="24"/>
              </w:rPr>
              <w:t>财务报告的一般规定》</w:t>
            </w:r>
            <w:r>
              <w:rPr>
                <w:rFonts w:ascii="Arial" w:hAnsi="Arial" w:cs="Arial" w:eastAsia="Arial" w:hint="default"/>
                <w:sz w:val="24"/>
                <w:szCs w:val="24"/>
              </w:rPr>
              <w:t>(2010</w:t>
            </w:r>
            <w:r>
              <w:rPr>
                <w:rFonts w:ascii="Arial" w:hAnsi="Arial" w:cs="Arial" w:eastAsia="Arial" w:hint="default"/>
                <w:spacing w:val="-45"/>
                <w:sz w:val="24"/>
                <w:szCs w:val="24"/>
              </w:rPr>
              <w:t> </w:t>
            </w:r>
            <w:r>
              <w:rPr>
                <w:rFonts w:ascii="宋体" w:hAnsi="宋体" w:cs="宋体" w:eastAsia="宋体" w:hint="default"/>
                <w:sz w:val="24"/>
                <w:szCs w:val="24"/>
              </w:rPr>
              <w:t>年修订</w:t>
            </w:r>
            <w:r>
              <w:rPr>
                <w:rFonts w:ascii="Arial" w:hAnsi="Arial" w:cs="Arial" w:eastAsia="Arial" w:hint="default"/>
                <w:sz w:val="24"/>
                <w:szCs w:val="24"/>
              </w:rPr>
              <w:t>)</w:t>
            </w:r>
            <w:r>
              <w:rPr>
                <w:rFonts w:ascii="宋体" w:hAnsi="宋体" w:cs="宋体" w:eastAsia="宋体" w:hint="default"/>
                <w:sz w:val="24"/>
                <w:szCs w:val="24"/>
              </w:rPr>
              <w:t>的披露规定编制。</w:t>
            </w:r>
          </w:p>
        </w:tc>
      </w:tr>
    </w:tbl>
    <w:p>
      <w:pPr>
        <w:spacing w:line="240" w:lineRule="auto" w:before="8"/>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01"/>
        <w:gridCol w:w="9548"/>
      </w:tblGrid>
      <w:tr>
        <w:trPr>
          <w:trHeight w:val="41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9548" w:type="dxa"/>
            <w:tcBorders>
              <w:top w:val="nil" w:sz="6" w:space="0" w:color="auto"/>
              <w:left w:val="nil" w:sz="6" w:space="0" w:color="auto"/>
              <w:bottom w:val="nil" w:sz="6" w:space="0" w:color="auto"/>
              <w:right w:val="nil" w:sz="6" w:space="0" w:color="auto"/>
            </w:tcBorders>
          </w:tcPr>
          <w:p>
            <w:pPr>
              <w:pStyle w:val="TableParagraph"/>
              <w:spacing w:line="245" w:lineRule="exact"/>
              <w:ind w:left="207" w:right="0"/>
              <w:jc w:val="left"/>
              <w:rPr>
                <w:rFonts w:ascii="宋体" w:hAnsi="宋体" w:cs="宋体" w:eastAsia="宋体" w:hint="default"/>
                <w:sz w:val="24"/>
                <w:szCs w:val="24"/>
              </w:rPr>
            </w:pPr>
            <w:r>
              <w:rPr>
                <w:rFonts w:ascii="宋体" w:hAnsi="宋体" w:cs="宋体" w:eastAsia="宋体" w:hint="default"/>
                <w:b/>
                <w:bCs/>
                <w:sz w:val="24"/>
                <w:szCs w:val="24"/>
              </w:rPr>
              <w:t>遵循企业会计准则的声明</w:t>
            </w:r>
            <w:r>
              <w:rPr>
                <w:rFonts w:ascii="宋体" w:hAnsi="宋体" w:cs="宋体" w:eastAsia="宋体" w:hint="default"/>
                <w:sz w:val="24"/>
                <w:szCs w:val="24"/>
              </w:rPr>
            </w:r>
          </w:p>
        </w:tc>
      </w:tr>
      <w:tr>
        <w:trPr>
          <w:trHeight w:val="1038" w:hRule="exact"/>
        </w:trPr>
        <w:tc>
          <w:tcPr>
            <w:tcW w:w="701" w:type="dxa"/>
            <w:tcBorders>
              <w:top w:val="nil" w:sz="6" w:space="0" w:color="auto"/>
              <w:left w:val="nil" w:sz="6" w:space="0" w:color="auto"/>
              <w:bottom w:val="nil" w:sz="6" w:space="0" w:color="auto"/>
              <w:right w:val="nil" w:sz="6" w:space="0" w:color="auto"/>
            </w:tcBorders>
          </w:tcPr>
          <w:p>
            <w:pPr/>
          </w:p>
        </w:tc>
        <w:tc>
          <w:tcPr>
            <w:tcW w:w="9548"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207" w:right="0"/>
              <w:jc w:val="left"/>
              <w:rPr>
                <w:rFonts w:ascii="Arial" w:hAnsi="Arial" w:cs="Arial" w:eastAsia="Arial" w:hint="default"/>
                <w:sz w:val="24"/>
                <w:szCs w:val="24"/>
              </w:rPr>
            </w:pPr>
            <w:r>
              <w:rPr>
                <w:rFonts w:ascii="宋体" w:hAnsi="宋体" w:cs="宋体" w:eastAsia="宋体" w:hint="default"/>
                <w:sz w:val="24"/>
                <w:szCs w:val="24"/>
              </w:rPr>
              <w:t>本公司</w:t>
            </w:r>
            <w:r>
              <w:rPr>
                <w:rFonts w:ascii="宋体" w:hAnsi="宋体" w:cs="宋体" w:eastAsia="宋体" w:hint="default"/>
                <w:spacing w:val="-59"/>
                <w:sz w:val="24"/>
                <w:szCs w:val="24"/>
              </w:rPr>
              <w:t> </w:t>
            </w:r>
            <w:r>
              <w:rPr>
                <w:rFonts w:ascii="Arial" w:hAnsi="Arial" w:cs="Arial" w:eastAsia="Arial" w:hint="default"/>
                <w:spacing w:val="-5"/>
                <w:sz w:val="24"/>
                <w:szCs w:val="24"/>
              </w:rPr>
              <w:t>2011</w:t>
            </w:r>
            <w:r>
              <w:rPr>
                <w:rFonts w:ascii="Arial" w:hAnsi="Arial" w:cs="Arial" w:eastAsia="Arial" w:hint="default"/>
                <w:spacing w:val="-4"/>
                <w:sz w:val="24"/>
                <w:szCs w:val="24"/>
              </w:rPr>
              <w:t> </w:t>
            </w:r>
            <w:r>
              <w:rPr>
                <w:rFonts w:ascii="宋体" w:hAnsi="宋体" w:cs="宋体" w:eastAsia="宋体" w:hint="default"/>
                <w:sz w:val="24"/>
                <w:szCs w:val="24"/>
              </w:rPr>
              <w:t>年度财务报表符合企业会计准则的要求，真实、完整地反映了本公司</w:t>
            </w:r>
            <w:r>
              <w:rPr>
                <w:rFonts w:ascii="宋体" w:hAnsi="宋体" w:cs="宋体" w:eastAsia="宋体" w:hint="default"/>
                <w:spacing w:val="-57"/>
                <w:sz w:val="24"/>
                <w:szCs w:val="24"/>
              </w:rPr>
              <w:t> </w:t>
            </w:r>
            <w:r>
              <w:rPr>
                <w:rFonts w:ascii="Arial" w:hAnsi="Arial" w:cs="Arial" w:eastAsia="Arial" w:hint="default"/>
                <w:spacing w:val="-10"/>
                <w:sz w:val="24"/>
                <w:szCs w:val="24"/>
              </w:rPr>
              <w:t>2011</w:t>
            </w:r>
            <w:r>
              <w:rPr>
                <w:rFonts w:ascii="Arial" w:hAnsi="Arial" w:cs="Arial" w:eastAsia="Arial" w:hint="default"/>
                <w:sz w:val="24"/>
                <w:szCs w:val="24"/>
              </w:rPr>
            </w:r>
          </w:p>
          <w:p>
            <w:pPr>
              <w:pStyle w:val="TableParagraph"/>
              <w:spacing w:line="312" w:lineRule="exact" w:before="21"/>
              <w:ind w:left="207" w:right="198"/>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 </w:t>
            </w:r>
            <w:r>
              <w:rPr>
                <w:rFonts w:ascii="宋体" w:hAnsi="宋体" w:cs="宋体" w:eastAsia="宋体" w:hint="default"/>
                <w:sz w:val="24"/>
                <w:szCs w:val="24"/>
              </w:rPr>
              <w:t>日的合并及公司财务状况以及</w:t>
            </w:r>
            <w:r>
              <w:rPr>
                <w:rFonts w:ascii="宋体" w:hAnsi="宋体" w:cs="宋体" w:eastAsia="宋体" w:hint="default"/>
                <w:spacing w:val="-54"/>
                <w:sz w:val="24"/>
                <w:szCs w:val="24"/>
              </w:rPr>
              <w:t> </w:t>
            </w:r>
            <w:r>
              <w:rPr>
                <w:rFonts w:ascii="Arial" w:hAnsi="Arial" w:cs="Arial" w:eastAsia="Arial" w:hint="default"/>
                <w:spacing w:val="-4"/>
                <w:sz w:val="24"/>
                <w:szCs w:val="24"/>
              </w:rPr>
              <w:t>2011</w:t>
            </w:r>
            <w:r>
              <w:rPr>
                <w:rFonts w:ascii="Arial" w:hAnsi="Arial" w:cs="Arial" w:eastAsia="Arial" w:hint="default"/>
                <w:sz w:val="24"/>
                <w:szCs w:val="24"/>
              </w:rPr>
              <w:t> </w:t>
            </w:r>
            <w:r>
              <w:rPr>
                <w:rFonts w:ascii="宋体" w:hAnsi="宋体" w:cs="宋体" w:eastAsia="宋体" w:hint="default"/>
                <w:sz w:val="24"/>
                <w:szCs w:val="24"/>
              </w:rPr>
              <w:t>年度的合并及公司经营成果和现金流量 等有关信息。</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01"/>
        <w:gridCol w:w="9549"/>
      </w:tblGrid>
      <w:tr>
        <w:trPr>
          <w:trHeight w:val="41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(3)</w:t>
            </w:r>
          </w:p>
        </w:tc>
        <w:tc>
          <w:tcPr>
            <w:tcW w:w="9549" w:type="dxa"/>
            <w:tcBorders>
              <w:top w:val="nil" w:sz="6" w:space="0" w:color="auto"/>
              <w:left w:val="nil" w:sz="6" w:space="0" w:color="auto"/>
              <w:bottom w:val="nil" w:sz="6" w:space="0" w:color="auto"/>
              <w:right w:val="nil" w:sz="6" w:space="0" w:color="auto"/>
            </w:tcBorders>
          </w:tcPr>
          <w:p>
            <w:pPr>
              <w:pStyle w:val="TableParagraph"/>
              <w:spacing w:line="245" w:lineRule="exact"/>
              <w:ind w:left="207" w:right="0"/>
              <w:jc w:val="left"/>
              <w:rPr>
                <w:rFonts w:ascii="宋体" w:hAnsi="宋体" w:cs="宋体" w:eastAsia="宋体" w:hint="default"/>
                <w:sz w:val="24"/>
                <w:szCs w:val="24"/>
              </w:rPr>
            </w:pPr>
            <w:r>
              <w:rPr>
                <w:rFonts w:ascii="宋体" w:hAnsi="宋体" w:cs="宋体" w:eastAsia="宋体" w:hint="default"/>
                <w:b/>
                <w:bCs/>
                <w:sz w:val="24"/>
                <w:szCs w:val="24"/>
              </w:rPr>
              <w:t>会计年度</w:t>
            </w:r>
            <w:r>
              <w:rPr>
                <w:rFonts w:ascii="宋体" w:hAnsi="宋体" w:cs="宋体" w:eastAsia="宋体" w:hint="default"/>
                <w:sz w:val="24"/>
                <w:szCs w:val="24"/>
              </w:rPr>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
        </w:tc>
        <w:tc>
          <w:tcPr>
            <w:tcW w:w="95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宋体" w:hAnsi="宋体" w:cs="宋体" w:eastAsia="宋体" w:hint="default"/>
                <w:sz w:val="24"/>
                <w:szCs w:val="24"/>
              </w:rPr>
              <w:t>会计年度为公历</w:t>
            </w:r>
            <w:r>
              <w:rPr>
                <w:rFonts w:ascii="宋体" w:hAnsi="宋体" w:cs="宋体" w:eastAsia="宋体" w:hint="default"/>
                <w:spacing w:val="-62"/>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日止。</w:t>
            </w: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
              <w:jc w:val="center"/>
              <w:rPr>
                <w:rFonts w:ascii="Arial" w:hAnsi="Arial" w:cs="Arial" w:eastAsia="Arial" w:hint="default"/>
                <w:sz w:val="24"/>
                <w:szCs w:val="24"/>
              </w:rPr>
            </w:pPr>
            <w:r>
              <w:rPr>
                <w:rFonts w:ascii="Arial"/>
                <w:sz w:val="24"/>
              </w:rPr>
              <w:t>(4)</w:t>
            </w:r>
          </w:p>
        </w:tc>
        <w:tc>
          <w:tcPr>
            <w:tcW w:w="954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7" w:right="0"/>
              <w:jc w:val="left"/>
              <w:rPr>
                <w:rFonts w:ascii="宋体" w:hAnsi="宋体" w:cs="宋体" w:eastAsia="宋体" w:hint="default"/>
                <w:sz w:val="24"/>
                <w:szCs w:val="24"/>
              </w:rPr>
            </w:pPr>
            <w:r>
              <w:rPr>
                <w:rFonts w:ascii="宋体" w:hAnsi="宋体" w:cs="宋体" w:eastAsia="宋体" w:hint="default"/>
                <w:b/>
                <w:bCs/>
                <w:sz w:val="24"/>
                <w:szCs w:val="24"/>
              </w:rPr>
              <w:t>记账本位币</w:t>
            </w:r>
            <w:r>
              <w:rPr>
                <w:rFonts w:ascii="宋体" w:hAnsi="宋体" w:cs="宋体" w:eastAsia="宋体" w:hint="default"/>
                <w:sz w:val="24"/>
                <w:szCs w:val="24"/>
              </w:rPr>
            </w: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
        </w:tc>
        <w:tc>
          <w:tcPr>
            <w:tcW w:w="95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宋体" w:hAnsi="宋体" w:cs="宋体" w:eastAsia="宋体" w:hint="default"/>
                <w:sz w:val="24"/>
                <w:szCs w:val="24"/>
              </w:rPr>
              <w:t>记账本位币为人民币。</w:t>
            </w: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
              <w:jc w:val="center"/>
              <w:rPr>
                <w:rFonts w:ascii="Arial" w:hAnsi="Arial" w:cs="Arial" w:eastAsia="Arial" w:hint="default"/>
                <w:sz w:val="24"/>
                <w:szCs w:val="24"/>
              </w:rPr>
            </w:pPr>
            <w:r>
              <w:rPr>
                <w:rFonts w:ascii="Arial"/>
                <w:sz w:val="24"/>
              </w:rPr>
              <w:t>(5)</w:t>
            </w:r>
          </w:p>
        </w:tc>
        <w:tc>
          <w:tcPr>
            <w:tcW w:w="954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b/>
                <w:bCs/>
                <w:sz w:val="24"/>
                <w:szCs w:val="24"/>
              </w:rPr>
              <w:t>企业合并</w:t>
            </w:r>
            <w:r>
              <w:rPr>
                <w:rFonts w:ascii="宋体" w:hAnsi="宋体" w:cs="宋体" w:eastAsia="宋体" w:hint="default"/>
                <w:sz w:val="24"/>
                <w:szCs w:val="24"/>
              </w:rPr>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
              <w:jc w:val="center"/>
              <w:rPr>
                <w:rFonts w:ascii="Arial" w:hAnsi="Arial" w:cs="Arial" w:eastAsia="Arial" w:hint="default"/>
                <w:sz w:val="24"/>
                <w:szCs w:val="24"/>
              </w:rPr>
            </w:pPr>
            <w:r>
              <w:rPr>
                <w:rFonts w:ascii="Arial"/>
                <w:sz w:val="24"/>
              </w:rPr>
              <w:t>(a)</w:t>
            </w:r>
          </w:p>
        </w:tc>
        <w:tc>
          <w:tcPr>
            <w:tcW w:w="954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同一控制下的企业合并</w:t>
            </w:r>
          </w:p>
        </w:tc>
      </w:tr>
      <w:tr>
        <w:trPr>
          <w:trHeight w:val="1662" w:hRule="exact"/>
        </w:trPr>
        <w:tc>
          <w:tcPr>
            <w:tcW w:w="701" w:type="dxa"/>
            <w:tcBorders>
              <w:top w:val="nil" w:sz="6" w:space="0" w:color="auto"/>
              <w:left w:val="nil" w:sz="6" w:space="0" w:color="auto"/>
              <w:bottom w:val="nil" w:sz="6" w:space="0" w:color="auto"/>
              <w:right w:val="nil" w:sz="6" w:space="0" w:color="auto"/>
            </w:tcBorders>
          </w:tcPr>
          <w:p>
            <w:pPr/>
          </w:p>
        </w:tc>
        <w:tc>
          <w:tcPr>
            <w:tcW w:w="954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07" w:right="198"/>
              <w:jc w:val="both"/>
              <w:rPr>
                <w:rFonts w:ascii="宋体" w:hAnsi="宋体" w:cs="宋体" w:eastAsia="宋体" w:hint="default"/>
                <w:sz w:val="24"/>
                <w:szCs w:val="24"/>
              </w:rPr>
            </w:pPr>
            <w:r>
              <w:rPr>
                <w:rFonts w:ascii="宋体" w:hAnsi="宋体" w:cs="宋体" w:eastAsia="宋体" w:hint="default"/>
                <w:sz w:val="24"/>
                <w:szCs w:val="24"/>
              </w:rPr>
              <w:t>合并方支付的合并对价及取得的净资产均按账面价值计量。合并方取得的净资产账面价</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值与支付的合并对价账面价值的差额，调整资本公积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宋体" w:hAnsi="宋体" w:cs="宋体" w:eastAsia="宋体" w:hint="default"/>
                <w:spacing w:val="3"/>
                <w:sz w:val="24"/>
                <w:szCs w:val="24"/>
              </w:rPr>
              <w:t>；资本公积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Arial" w:hAnsi="Arial" w:cs="Arial" w:eastAsia="Arial" w:hint="default"/>
                <w:spacing w:val="-34"/>
                <w:sz w:val="24"/>
                <w:szCs w:val="24"/>
              </w:rPr>
              <w:t> </w:t>
            </w:r>
            <w:r>
              <w:rPr>
                <w:rFonts w:ascii="宋体" w:hAnsi="宋体" w:cs="宋体" w:eastAsia="宋体" w:hint="default"/>
                <w:sz w:val="24"/>
                <w:szCs w:val="24"/>
              </w:rPr>
              <w:t>不足以冲减的，调整留存收益。为进行企业合并发生的直接相关费用于发生时计入当期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损益。为企业合并而发行权益性证券或债务性证券的交易费用，计入权益性证券或债务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性证券的初始确认金额。</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7"/>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7"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94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94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非同一控制下的企业合并</w:t>
            </w:r>
          </w:p>
        </w:tc>
      </w:tr>
      <w:tr>
        <w:trPr>
          <w:trHeight w:val="1854"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202"/>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购买方发生的合并成本及在合并中取得的可辨认净资产按购买日的公允价值计量。合并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成本大于合并中取得的被购买方于购买日可辨认净资产公允价值份额的差额，确认为商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誉；合并成本小于合并中取得的被购买方可辨认净资产公允价值份额的差额，计入当期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损益。为进行企业合并发生的直接相关费用于发生时计入当期损益。为企业合并而发行</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权益性证券或债务性证券的交易费用，计入权益性证券或债务性证券的初始确认金额。</w:t>
            </w:r>
          </w:p>
        </w:tc>
      </w:tr>
      <w:tr>
        <w:trPr>
          <w:trHeight w:val="3412"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235" w:lineRule="auto" w:before="123"/>
              <w:ind w:left="136" w:right="198"/>
              <w:jc w:val="both"/>
              <w:rPr>
                <w:rFonts w:ascii="宋体" w:hAnsi="宋体" w:cs="宋体" w:eastAsia="宋体" w:hint="default"/>
                <w:sz w:val="24"/>
                <w:szCs w:val="24"/>
              </w:rPr>
            </w:pPr>
            <w:r>
              <w:rPr>
                <w:rFonts w:ascii="宋体" w:hAnsi="宋体" w:cs="宋体" w:eastAsia="宋体" w:hint="default"/>
                <w:sz w:val="24"/>
                <w:szCs w:val="24"/>
              </w:rPr>
              <w:t>通过多次交易分步实现的非同一控制下企业合并，在个别财务报表中，以购买日之前所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持被购买方的股权投资的账面价值与购买日新增投资成本之和，作为该项投资的初始投</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资成本；购买日之前持有的被购买方的股权涉及其他综合收益的，在处置该项投资时将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与其相关的其他综合收益</w:t>
            </w:r>
            <w:r>
              <w:rPr>
                <w:rFonts w:ascii="Arial" w:hAnsi="Arial" w:cs="Arial" w:eastAsia="Arial" w:hint="default"/>
                <w:spacing w:val="-2"/>
                <w:sz w:val="24"/>
                <w:szCs w:val="24"/>
              </w:rPr>
              <w:t>(</w:t>
            </w:r>
            <w:r>
              <w:rPr>
                <w:rFonts w:ascii="宋体" w:hAnsi="宋体" w:cs="宋体" w:eastAsia="宋体" w:hint="default"/>
                <w:spacing w:val="-2"/>
                <w:sz w:val="24"/>
                <w:szCs w:val="24"/>
              </w:rPr>
              <w:t>例如可供出售金融资产公允价值变动计入资本公积的部分，下</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同</w:t>
            </w:r>
            <w:r>
              <w:rPr>
                <w:rFonts w:ascii="Arial" w:hAnsi="Arial" w:cs="Arial" w:eastAsia="Arial" w:hint="default"/>
                <w:spacing w:val="-2"/>
                <w:sz w:val="24"/>
                <w:szCs w:val="24"/>
              </w:rPr>
              <w:t>)</w:t>
            </w:r>
            <w:r>
              <w:rPr>
                <w:rFonts w:ascii="宋体" w:hAnsi="宋体" w:cs="宋体" w:eastAsia="宋体" w:hint="default"/>
                <w:spacing w:val="-2"/>
                <w:sz w:val="24"/>
                <w:szCs w:val="24"/>
              </w:rPr>
              <w:t>转入当期投资收益。在合并财务报表中，对于购买日之前持有的被购买方的股权，按</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照该股权在购买日的公允价值进行重新计量，公允价值与其账面价值的差额计入当期投</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资收益；购买日之前持有的被购买方的股权涉及其他综合收益的，与其相关的其他综合</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收益转为购买日所属当期投资收益。商誉为之前持有的被购买方股权的公允价值与购买</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日支付对价的公允价值之和，与取得的子公司可辨认净资产于购买日的公允价值份额的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差额。</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(6)</w:t>
            </w:r>
          </w:p>
        </w:tc>
        <w:tc>
          <w:tcPr>
            <w:tcW w:w="947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b/>
                <w:bCs/>
                <w:sz w:val="24"/>
                <w:szCs w:val="24"/>
              </w:rPr>
              <w:t>合并财务报表的编制方法</w:t>
            </w:r>
            <w:r>
              <w:rPr>
                <w:rFonts w:ascii="宋体" w:hAnsi="宋体" w:cs="宋体" w:eastAsia="宋体"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编制合并财务报表时，合并范围包括本公司及全部子公司。</w:t>
            </w:r>
          </w:p>
        </w:tc>
      </w:tr>
      <w:tr>
        <w:trPr>
          <w:trHeight w:val="1525"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199"/>
              <w:jc w:val="both"/>
              <w:rPr>
                <w:rFonts w:ascii="宋体" w:hAnsi="宋体" w:cs="宋体" w:eastAsia="宋体" w:hint="default"/>
                <w:sz w:val="24"/>
                <w:szCs w:val="24"/>
              </w:rPr>
            </w:pPr>
            <w:r>
              <w:rPr>
                <w:rFonts w:ascii="宋体" w:hAnsi="宋体" w:cs="宋体" w:eastAsia="宋体" w:hint="default"/>
                <w:sz w:val="24"/>
                <w:szCs w:val="24"/>
              </w:rPr>
              <w:t>从取得子公司的实际控制权之日起，本集团开始将其纳入合并范围；从丧失实际控制权</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之日起停止纳入合并范围。对于同一控制下企业合并取得的子公司，自其与本公司同受</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最终控制方控制之日起纳入本公司合并范围，并将其在合并日前实现的净利润在合并利</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润表中单列项目反映。</w:t>
            </w:r>
          </w:p>
        </w:tc>
      </w:tr>
      <w:tr>
        <w:trPr>
          <w:trHeight w:val="1212"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0"/>
              <w:jc w:val="both"/>
              <w:rPr>
                <w:rFonts w:ascii="宋体" w:hAnsi="宋体" w:cs="宋体" w:eastAsia="宋体" w:hint="default"/>
                <w:sz w:val="24"/>
                <w:szCs w:val="24"/>
              </w:rPr>
            </w:pPr>
            <w:r>
              <w:rPr>
                <w:rFonts w:ascii="宋体" w:hAnsi="宋体" w:cs="宋体" w:eastAsia="宋体" w:hint="default"/>
                <w:sz w:val="24"/>
                <w:szCs w:val="24"/>
              </w:rPr>
              <w:t>在编制合并财务报表时，子公司与本公司采用的会计政策或会计期间不一致的，按照本</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公司的会计政策和会计期间对子公司财务报表进行必要的调整。对于非同一控制下企业</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合并取得的子公司，以购买日可辨认净资产公允价值为基础对其财务报表进行调整。</w:t>
            </w: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9477"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0"/>
              <w:jc w:val="both"/>
              <w:rPr>
                <w:rFonts w:ascii="宋体" w:hAnsi="宋体" w:cs="宋体" w:eastAsia="宋体" w:hint="default"/>
                <w:sz w:val="24"/>
                <w:szCs w:val="24"/>
              </w:rPr>
            </w:pPr>
            <w:r>
              <w:rPr>
                <w:rFonts w:ascii="宋体" w:hAnsi="宋体" w:cs="宋体" w:eastAsia="宋体" w:hint="default"/>
                <w:sz w:val="24"/>
                <w:szCs w:val="24"/>
              </w:rPr>
              <w:t>集团内所有重大往来余额、交易及未实现利润在合并财务报表编制时予以抵销。子公司</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的股东权益及当期净损益中不属于本公司所拥有的部分分别作为少数股东权益及少数股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东损益在合并财务报表中股东权益及净利润项下单独列示。</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2"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(7)</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购买子公司少数股权</w:t>
            </w:r>
            <w:r>
              <w:rPr>
                <w:rFonts w:ascii="宋体" w:hAnsi="宋体" w:cs="宋体" w:eastAsia="宋体" w:hint="default"/>
                <w:sz w:val="24"/>
                <w:szCs w:val="24"/>
              </w:rPr>
            </w:r>
          </w:p>
        </w:tc>
      </w:tr>
      <w:tr>
        <w:trPr>
          <w:trHeight w:val="1840"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198"/>
              <w:jc w:val="both"/>
              <w:rPr>
                <w:rFonts w:ascii="宋体" w:hAnsi="宋体" w:cs="宋体" w:eastAsia="宋体" w:hint="default"/>
                <w:sz w:val="24"/>
                <w:szCs w:val="24"/>
              </w:rPr>
            </w:pPr>
            <w:r>
              <w:rPr>
                <w:rFonts w:ascii="宋体" w:hAnsi="宋体" w:cs="宋体" w:eastAsia="宋体" w:hint="default"/>
                <w:sz w:val="24"/>
                <w:szCs w:val="24"/>
              </w:rPr>
              <w:t>在取得对子公司的控制权之后，自子公司的少数股东处取得少数股东拥有的对该子公司</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全部或部分少数股权，在合并财务报表中，子公司的资产、负债以购买日或合并日开始</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持续计算的金额反映。因购买少数股权新增加的长期股权投资成本与按照新增持股比例</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计算应享有子公司自购买日或合并日开始持续计算的可辨认净资产份额之间的差额调整</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资本公积，资本公积</w:t>
            </w:r>
            <w:r>
              <w:rPr>
                <w:rFonts w:ascii="Arial" w:hAnsi="Arial" w:cs="Arial" w:eastAsia="Arial" w:hint="default"/>
                <w:sz w:val="24"/>
                <w:szCs w:val="24"/>
              </w:rPr>
              <w:t>(</w:t>
            </w:r>
            <w:r>
              <w:rPr>
                <w:rFonts w:ascii="宋体" w:hAnsi="宋体" w:cs="宋体" w:eastAsia="宋体" w:hint="default"/>
                <w:sz w:val="24"/>
                <w:szCs w:val="24"/>
              </w:rPr>
              <w:t>资本溢价</w:t>
            </w:r>
            <w:r>
              <w:rPr>
                <w:rFonts w:ascii="Arial" w:hAnsi="Arial" w:cs="Arial" w:eastAsia="Arial" w:hint="default"/>
                <w:sz w:val="24"/>
                <w:szCs w:val="24"/>
              </w:rPr>
              <w:t>)</w:t>
            </w:r>
            <w:r>
              <w:rPr>
                <w:rFonts w:ascii="宋体" w:hAnsi="宋体" w:cs="宋体" w:eastAsia="宋体" w:hint="default"/>
                <w:sz w:val="24"/>
                <w:szCs w:val="24"/>
              </w:rPr>
              <w:t>的金额不足冲减的，调整留存收益。</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(8)</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现金及现金等价物</w:t>
            </w:r>
            <w:r>
              <w:rPr>
                <w:rFonts w:ascii="宋体" w:hAnsi="宋体" w:cs="宋体" w:eastAsia="宋体" w:hint="default"/>
                <w:sz w:val="24"/>
                <w:szCs w:val="24"/>
              </w:rPr>
            </w:r>
          </w:p>
        </w:tc>
      </w:tr>
      <w:tr>
        <w:trPr>
          <w:trHeight w:val="897"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z w:val="24"/>
                <w:szCs w:val="24"/>
              </w:rPr>
              <w:t>现金及现金等价物是指库存现金，可随时用于支付的存款，以及持有的期限短、流动性</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强、易于转换为已知金额现金、价值变动风险很小的投资。</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(9)</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b/>
                <w:bCs/>
                <w:sz w:val="24"/>
                <w:szCs w:val="24"/>
              </w:rPr>
              <w:t>外币折算</w:t>
            </w:r>
            <w:r>
              <w:rPr>
                <w:rFonts w:ascii="宋体" w:hAnsi="宋体" w:cs="宋体" w:eastAsia="宋体"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外币交易</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外币交易按交易发生日的即期汇率将外币金额折算为人民币入账。</w:t>
            </w:r>
          </w:p>
        </w:tc>
      </w:tr>
      <w:tr>
        <w:trPr>
          <w:trHeight w:val="1833"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both"/>
              <w:rPr>
                <w:rFonts w:ascii="宋体" w:hAnsi="宋体" w:cs="宋体" w:eastAsia="宋体" w:hint="default"/>
                <w:sz w:val="24"/>
                <w:szCs w:val="24"/>
              </w:rPr>
            </w:pPr>
            <w:r>
              <w:rPr>
                <w:rFonts w:ascii="宋体" w:hAnsi="宋体" w:cs="宋体" w:eastAsia="宋体" w:hint="default"/>
                <w:sz w:val="24"/>
                <w:szCs w:val="24"/>
              </w:rPr>
              <w:t>于资产负债表日，外币货币性项目采用资产负债表日的即期汇率折算为人民币。为购建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符合借款费用资本化条件的资产而借入的外币专门借款产生的汇兑差额在资本化期间内</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予以资本化；其他汇兑差额直接计入当期损益。以历史成本计量的外币非货币性项目，</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于资产负债表日采用交易发生日的即期汇率折算。汇率变动对现金的影响额在现金流量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表中单独列示。</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外币财务报表的折算</w:t>
            </w:r>
          </w:p>
        </w:tc>
      </w:tr>
      <w:tr>
        <w:trPr>
          <w:trHeight w:val="1662"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境外经营的资产负债表中的资产和负债项目，采用资产负债表日的即期汇率折算，股东</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权益中除未分配利润项目外，其他项目采用发生时的即期汇率折算。境外经营的利润表</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中的收入与费用项目，采用交易发生日的即期汇率折算。上述折算产生的外币报表折算</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差额，在股东权益中以单独项目列示。境外经营的现金流量项目，采用现金流量发生日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的即期汇率折算。汇率变动对现金的影响额，在现金流量表中单独列示。</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880"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38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9"/>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768"/>
        <w:gridCol w:w="9483"/>
      </w:tblGrid>
      <w:tr>
        <w:trPr>
          <w:trHeight w:val="417"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(10)</w:t>
            </w:r>
          </w:p>
        </w:tc>
        <w:tc>
          <w:tcPr>
            <w:tcW w:w="9483" w:type="dxa"/>
            <w:tcBorders>
              <w:top w:val="nil" w:sz="6" w:space="0" w:color="auto"/>
              <w:left w:val="nil" w:sz="6" w:space="0" w:color="auto"/>
              <w:bottom w:val="nil" w:sz="6" w:space="0" w:color="auto"/>
              <w:right w:val="nil" w:sz="6" w:space="0" w:color="auto"/>
            </w:tcBorders>
          </w:tcPr>
          <w:p>
            <w:pPr>
              <w:pStyle w:val="TableParagraph"/>
              <w:spacing w:line="245" w:lineRule="exact"/>
              <w:ind w:left="140" w:right="0"/>
              <w:jc w:val="left"/>
              <w:rPr>
                <w:rFonts w:ascii="宋体" w:hAnsi="宋体" w:cs="宋体" w:eastAsia="宋体" w:hint="default"/>
                <w:sz w:val="24"/>
                <w:szCs w:val="24"/>
              </w:rPr>
            </w:pPr>
            <w:r>
              <w:rPr>
                <w:rFonts w:ascii="宋体" w:hAnsi="宋体" w:cs="宋体" w:eastAsia="宋体" w:hint="default"/>
                <w:b/>
                <w:bCs/>
                <w:sz w:val="24"/>
                <w:szCs w:val="24"/>
              </w:rPr>
              <w:t>金融工具</w:t>
            </w:r>
            <w:r>
              <w:rPr>
                <w:rFonts w:ascii="宋体" w:hAnsi="宋体" w:cs="宋体" w:eastAsia="宋体" w:hint="default"/>
                <w:sz w:val="24"/>
                <w:szCs w:val="24"/>
              </w:rPr>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金融资产</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w:t>
            </w: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金融资产分类</w:t>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7"/>
              <w:jc w:val="both"/>
              <w:rPr>
                <w:rFonts w:ascii="宋体" w:hAnsi="宋体" w:cs="宋体" w:eastAsia="宋体" w:hint="default"/>
                <w:sz w:val="24"/>
                <w:szCs w:val="24"/>
              </w:rPr>
            </w:pPr>
            <w:r>
              <w:rPr>
                <w:rFonts w:ascii="宋体" w:hAnsi="宋体" w:cs="宋体" w:eastAsia="宋体" w:hint="default"/>
                <w:sz w:val="24"/>
                <w:szCs w:val="24"/>
              </w:rPr>
              <w:t>金融资产于初始确认时分类为：以公允价值计量且其变动计入当期损益的金融资产、应</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收款项、可供出售金融资产和持有至到期投资。金融资产的分类取决于本集团对金融资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产的持有意图和持有能力。</w:t>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r>
      <w:tr>
        <w:trPr>
          <w:trHeight w:val="900"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7"/>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以公允价值计量且其变动计入当期损益的金融资产主要包括持有目的为短期内出售的金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融资产，该资产在资产负债表中以交易性金融资产列示。</w:t>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应收款项</w:t>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应收款项是指在活跃市场中没有报价、回收金额固定或可确定的非衍生金融资产。</w:t>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r>
      <w:tr>
        <w:trPr>
          <w:trHeight w:val="1218"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left"/>
              <w:rPr>
                <w:rFonts w:ascii="宋体" w:hAnsi="宋体" w:cs="宋体" w:eastAsia="宋体" w:hint="default"/>
                <w:sz w:val="24"/>
                <w:szCs w:val="24"/>
              </w:rPr>
            </w:pPr>
            <w:r>
              <w:rPr>
                <w:rFonts w:ascii="宋体" w:hAnsi="宋体" w:cs="宋体" w:eastAsia="宋体" w:hint="default"/>
                <w:sz w:val="24"/>
                <w:szCs w:val="24"/>
              </w:rPr>
              <w:t>可供出售金融资产包括初始确认时即被指定为可供出售的非衍生金融资产及未被划分为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其他类的金融资产。自资产负债表日起 </w:t>
            </w:r>
            <w:r>
              <w:rPr>
                <w:rFonts w:ascii="Arial" w:hAnsi="Arial" w:cs="Arial" w:eastAsia="Arial" w:hint="default"/>
                <w:sz w:val="24"/>
                <w:szCs w:val="24"/>
              </w:rPr>
              <w:t>12</w:t>
            </w:r>
            <w:r>
              <w:rPr>
                <w:rFonts w:ascii="Arial" w:hAnsi="Arial" w:cs="Arial" w:eastAsia="Arial" w:hint="default"/>
                <w:spacing w:val="44"/>
                <w:sz w:val="24"/>
                <w:szCs w:val="24"/>
              </w:rPr>
              <w:t> </w:t>
            </w:r>
            <w:r>
              <w:rPr>
                <w:rFonts w:ascii="宋体" w:hAnsi="宋体" w:cs="宋体" w:eastAsia="宋体" w:hint="default"/>
                <w:sz w:val="24"/>
                <w:szCs w:val="24"/>
              </w:rPr>
              <w:t>个月内将出售的可供出售金融资产在资产负</w:t>
            </w:r>
          </w:p>
          <w:p>
            <w:pPr>
              <w:pStyle w:val="TableParagraph"/>
              <w:spacing w:line="300" w:lineRule="exact"/>
              <w:ind w:left="140" w:right="0"/>
              <w:jc w:val="left"/>
              <w:rPr>
                <w:rFonts w:ascii="宋体" w:hAnsi="宋体" w:cs="宋体" w:eastAsia="宋体" w:hint="default"/>
                <w:sz w:val="24"/>
                <w:szCs w:val="24"/>
              </w:rPr>
            </w:pPr>
            <w:r>
              <w:rPr>
                <w:rFonts w:ascii="宋体" w:hAnsi="宋体" w:cs="宋体" w:eastAsia="宋体" w:hint="default"/>
                <w:sz w:val="24"/>
                <w:szCs w:val="24"/>
              </w:rPr>
              <w:t>债表中列示为其他流动资产。于</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年度，本集团的可供出售金融资产为股票投资。</w:t>
            </w:r>
          </w:p>
        </w:tc>
      </w:tr>
      <w:tr>
        <w:trPr>
          <w:trHeight w:val="582"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r>
      <w:tr>
        <w:trPr>
          <w:trHeight w:val="1662" w:hRule="exact"/>
        </w:trPr>
        <w:tc>
          <w:tcPr>
            <w:tcW w:w="768" w:type="dxa"/>
            <w:tcBorders>
              <w:top w:val="nil" w:sz="6" w:space="0" w:color="auto"/>
              <w:left w:val="nil" w:sz="6" w:space="0" w:color="auto"/>
              <w:bottom w:val="nil" w:sz="6" w:space="0" w:color="auto"/>
              <w:right w:val="nil" w:sz="6" w:space="0" w:color="auto"/>
            </w:tcBorders>
          </w:tcPr>
          <w:p>
            <w:pPr/>
          </w:p>
        </w:tc>
        <w:tc>
          <w:tcPr>
            <w:tcW w:w="9483"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40" w:right="198"/>
              <w:jc w:val="left"/>
              <w:rPr>
                <w:rFonts w:ascii="宋体" w:hAnsi="宋体" w:cs="宋体" w:eastAsia="宋体" w:hint="default"/>
                <w:sz w:val="24"/>
                <w:szCs w:val="24"/>
              </w:rPr>
            </w:pPr>
            <w:r>
              <w:rPr>
                <w:rFonts w:ascii="宋体" w:hAnsi="宋体" w:cs="宋体" w:eastAsia="宋体" w:hint="default"/>
                <w:sz w:val="24"/>
                <w:szCs w:val="24"/>
              </w:rPr>
              <w:t>持有至到期投资是指到期日固定、回收金额固定或可确定，且管理层有明确意图和能力</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6"/>
                <w:sz w:val="24"/>
                <w:szCs w:val="24"/>
              </w:rPr>
              <w:t>持有至到期的非衍生金融资产。取得时期限超过</w:t>
            </w:r>
            <w:r>
              <w:rPr>
                <w:rFonts w:ascii="宋体" w:hAnsi="宋体" w:cs="宋体" w:eastAsia="宋体" w:hint="default"/>
                <w:spacing w:val="-55"/>
                <w:sz w:val="24"/>
                <w:szCs w:val="24"/>
              </w:rPr>
              <w:t> </w:t>
            </w:r>
            <w:r>
              <w:rPr>
                <w:rFonts w:ascii="Arial" w:hAnsi="Arial" w:cs="Arial" w:eastAsia="Arial" w:hint="default"/>
                <w:w w:val="99"/>
                <w:sz w:val="24"/>
                <w:szCs w:val="24"/>
              </w:rPr>
              <w:t>12 </w:t>
            </w:r>
            <w:r>
              <w:rPr>
                <w:rFonts w:ascii="宋体" w:hAnsi="宋体" w:cs="宋体" w:eastAsia="宋体" w:hint="default"/>
                <w:spacing w:val="-1"/>
                <w:sz w:val="24"/>
                <w:szCs w:val="24"/>
              </w:rPr>
              <w:t>个月但自资产负债表日起</w:t>
            </w:r>
            <w:r>
              <w:rPr>
                <w:rFonts w:ascii="宋体" w:hAnsi="宋体" w:cs="宋体" w:eastAsia="宋体" w:hint="default"/>
                <w:spacing w:val="-55"/>
                <w:sz w:val="24"/>
                <w:szCs w:val="24"/>
              </w:rPr>
              <w:t> </w:t>
            </w:r>
            <w:r>
              <w:rPr>
                <w:rFonts w:ascii="Arial" w:hAnsi="Arial" w:cs="Arial" w:eastAsia="Arial" w:hint="default"/>
                <w:w w:val="99"/>
                <w:sz w:val="24"/>
                <w:szCs w:val="24"/>
              </w:rPr>
              <w:t>12 </w:t>
            </w:r>
            <w:r>
              <w:rPr>
                <w:rFonts w:ascii="宋体" w:hAnsi="宋体" w:cs="宋体" w:eastAsia="宋体" w:hint="default"/>
                <w:spacing w:val="-1"/>
                <w:sz w:val="24"/>
                <w:szCs w:val="24"/>
              </w:rPr>
              <w:t>个月</w:t>
            </w:r>
            <w:r>
              <w:rPr>
                <w:rFonts w:ascii="Arial" w:hAnsi="Arial" w:cs="Arial" w:eastAsia="Arial" w:hint="default"/>
                <w:spacing w:val="-1"/>
                <w:sz w:val="24"/>
                <w:szCs w:val="24"/>
              </w:rPr>
              <w:t>(</w:t>
            </w:r>
            <w:r>
              <w:rPr>
                <w:rFonts w:ascii="宋体" w:hAnsi="宋体" w:cs="宋体" w:eastAsia="宋体" w:hint="default"/>
                <w:spacing w:val="-1"/>
                <w:sz w:val="24"/>
                <w:szCs w:val="24"/>
              </w:rPr>
              <w:t>含</w:t>
            </w:r>
          </w:p>
          <w:p>
            <w:pPr>
              <w:pStyle w:val="TableParagraph"/>
              <w:spacing w:line="291" w:lineRule="exact"/>
              <w:ind w:left="140" w:right="0"/>
              <w:jc w:val="left"/>
              <w:rPr>
                <w:rFonts w:ascii="Arial" w:hAnsi="Arial" w:cs="Arial" w:eastAsia="Arial" w:hint="default"/>
                <w:sz w:val="24"/>
                <w:szCs w:val="24"/>
              </w:rPr>
            </w:pPr>
            <w:r>
              <w:rPr>
                <w:rFonts w:ascii="Arial" w:hAnsi="Arial" w:cs="Arial" w:eastAsia="Arial" w:hint="default"/>
                <w:sz w:val="24"/>
                <w:szCs w:val="24"/>
              </w:rPr>
              <w:t>12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内到期的持有至到期投资，列示为一年内到期的非流动资产；取得时期限在</w:t>
            </w:r>
            <w:r>
              <w:rPr>
                <w:rFonts w:ascii="宋体" w:hAnsi="宋体" w:cs="宋体" w:eastAsia="宋体" w:hint="default"/>
                <w:spacing w:val="-63"/>
                <w:sz w:val="24"/>
                <w:szCs w:val="24"/>
              </w:rPr>
              <w:t> </w:t>
            </w:r>
            <w:r>
              <w:rPr>
                <w:rFonts w:ascii="Arial" w:hAnsi="Arial" w:cs="Arial" w:eastAsia="Arial" w:hint="default"/>
                <w:sz w:val="24"/>
                <w:szCs w:val="24"/>
              </w:rPr>
              <w:t>12</w:t>
            </w:r>
          </w:p>
          <w:p>
            <w:pPr>
              <w:pStyle w:val="TableParagraph"/>
              <w:spacing w:line="312" w:lineRule="exact"/>
              <w:ind w:left="140" w:right="0"/>
              <w:jc w:val="left"/>
              <w:rPr>
                <w:rFonts w:ascii="Arial" w:hAnsi="Arial" w:cs="Arial" w:eastAsia="Arial" w:hint="default"/>
                <w:sz w:val="24"/>
                <w:szCs w:val="24"/>
              </w:rPr>
            </w:pPr>
            <w:r>
              <w:rPr>
                <w:rFonts w:ascii="宋体" w:hAnsi="宋体" w:cs="宋体" w:eastAsia="宋体" w:hint="default"/>
                <w:sz w:val="24"/>
                <w:szCs w:val="24"/>
              </w:rPr>
              <w:t>个月之内</w:t>
            </w:r>
            <w:r>
              <w:rPr>
                <w:rFonts w:ascii="Arial" w:hAnsi="Arial" w:cs="Arial" w:eastAsia="Arial" w:hint="default"/>
                <w:sz w:val="24"/>
                <w:szCs w:val="24"/>
              </w:rPr>
              <w:t>(</w:t>
            </w:r>
            <w:r>
              <w:rPr>
                <w:rFonts w:ascii="宋体" w:hAnsi="宋体" w:cs="宋体" w:eastAsia="宋体" w:hint="default"/>
                <w:sz w:val="24"/>
                <w:szCs w:val="24"/>
              </w:rPr>
              <w:t>含 </w:t>
            </w:r>
            <w:r>
              <w:rPr>
                <w:rFonts w:ascii="Arial" w:hAnsi="Arial" w:cs="Arial" w:eastAsia="Arial" w:hint="default"/>
                <w:sz w:val="24"/>
                <w:szCs w:val="24"/>
              </w:rPr>
              <w:t>12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的持有至到期投资，列示为其他流动资产。于 </w:t>
            </w:r>
            <w:r>
              <w:rPr>
                <w:rFonts w:ascii="Arial" w:hAnsi="Arial" w:cs="Arial" w:eastAsia="Arial" w:hint="default"/>
                <w:sz w:val="24"/>
                <w:szCs w:val="24"/>
              </w:rPr>
              <w:t>2010 </w:t>
            </w:r>
            <w:r>
              <w:rPr>
                <w:rFonts w:ascii="宋体" w:hAnsi="宋体" w:cs="宋体" w:eastAsia="宋体" w:hint="default"/>
                <w:sz w:val="24"/>
                <w:szCs w:val="24"/>
              </w:rPr>
              <w:t>年度及</w:t>
            </w:r>
            <w:r>
              <w:rPr>
                <w:rFonts w:ascii="宋体" w:hAnsi="宋体" w:cs="宋体" w:eastAsia="宋体" w:hint="default"/>
                <w:spacing w:val="-34"/>
                <w:sz w:val="24"/>
                <w:szCs w:val="24"/>
              </w:rPr>
              <w:t> </w:t>
            </w:r>
            <w:r>
              <w:rPr>
                <w:rFonts w:ascii="Arial" w:hAnsi="Arial" w:cs="Arial" w:eastAsia="Arial" w:hint="default"/>
                <w:spacing w:val="-6"/>
                <w:sz w:val="24"/>
                <w:szCs w:val="24"/>
              </w:rPr>
              <w:t>2011</w:t>
            </w:r>
          </w:p>
          <w:p>
            <w:pPr>
              <w:pStyle w:val="TableParagraph"/>
              <w:spacing w:line="304" w:lineRule="exact"/>
              <w:ind w:left="140" w:right="0"/>
              <w:jc w:val="left"/>
              <w:rPr>
                <w:rFonts w:ascii="宋体" w:hAnsi="宋体" w:cs="宋体" w:eastAsia="宋体" w:hint="default"/>
                <w:sz w:val="24"/>
                <w:szCs w:val="24"/>
              </w:rPr>
            </w:pPr>
            <w:r>
              <w:rPr>
                <w:rFonts w:ascii="宋体" w:hAnsi="宋体" w:cs="宋体" w:eastAsia="宋体" w:hint="default"/>
                <w:sz w:val="24"/>
                <w:szCs w:val="24"/>
              </w:rPr>
              <w:t>年度，本集团无此类金融资产。</w:t>
            </w:r>
          </w:p>
        </w:tc>
      </w:tr>
    </w:tbl>
    <w:p>
      <w:pPr>
        <w:spacing w:after="0" w:line="304"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856"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38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68"/>
        <w:gridCol w:w="9482"/>
      </w:tblGrid>
      <w:tr>
        <w:trPr>
          <w:trHeight w:val="422"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59" w:right="0"/>
              <w:jc w:val="center"/>
              <w:rPr>
                <w:rFonts w:ascii="Arial" w:hAnsi="Arial" w:cs="Arial" w:eastAsia="Arial" w:hint="default"/>
                <w:sz w:val="24"/>
                <w:szCs w:val="24"/>
              </w:rPr>
            </w:pPr>
            <w:r>
              <w:rPr>
                <w:rFonts w:ascii="Arial"/>
                <w:sz w:val="24"/>
              </w:rPr>
              <w:t>(10)</w:t>
            </w:r>
          </w:p>
        </w:tc>
        <w:tc>
          <w:tcPr>
            <w:tcW w:w="9482" w:type="dxa"/>
            <w:tcBorders>
              <w:top w:val="nil" w:sz="6" w:space="0" w:color="auto"/>
              <w:left w:val="nil" w:sz="6" w:space="0" w:color="auto"/>
              <w:bottom w:val="nil" w:sz="6" w:space="0" w:color="auto"/>
              <w:right w:val="nil" w:sz="6" w:space="0" w:color="auto"/>
            </w:tcBorders>
          </w:tcPr>
          <w:p>
            <w:pPr>
              <w:pStyle w:val="TableParagraph"/>
              <w:spacing w:line="262" w:lineRule="exact"/>
              <w:ind w:left="140" w:right="0"/>
              <w:jc w:val="left"/>
              <w:rPr>
                <w:rFonts w:ascii="Arial" w:hAnsi="Arial" w:cs="Arial" w:eastAsia="Arial" w:hint="default"/>
                <w:sz w:val="24"/>
                <w:szCs w:val="24"/>
              </w:rPr>
            </w:pP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73"/>
              <w:jc w:val="center"/>
              <w:rPr>
                <w:rFonts w:ascii="Arial" w:hAnsi="Arial" w:cs="Arial" w:eastAsia="Arial" w:hint="default"/>
                <w:sz w:val="24"/>
                <w:szCs w:val="24"/>
              </w:rPr>
            </w:pPr>
            <w:r>
              <w:rPr>
                <w:rFonts w:ascii="Arial"/>
                <w:sz w:val="24"/>
              </w:rPr>
              <w:t>(a)</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0"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1"/>
              <w:jc w:val="center"/>
              <w:rPr>
                <w:rFonts w:ascii="Arial" w:hAnsi="Arial" w:cs="Arial" w:eastAsia="Arial" w:hint="default"/>
                <w:sz w:val="24"/>
                <w:szCs w:val="24"/>
              </w:rPr>
            </w:pPr>
            <w:r>
              <w:rPr>
                <w:rFonts w:ascii="Arial"/>
                <w:sz w:val="24"/>
              </w:rPr>
              <w:t>(ii)</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0" w:right="0"/>
              <w:jc w:val="left"/>
              <w:rPr>
                <w:rFonts w:ascii="宋体" w:hAnsi="宋体" w:cs="宋体" w:eastAsia="宋体" w:hint="default"/>
                <w:sz w:val="24"/>
                <w:szCs w:val="24"/>
              </w:rPr>
            </w:pPr>
            <w:r>
              <w:rPr>
                <w:rFonts w:ascii="宋体" w:hAnsi="宋体" w:cs="宋体" w:eastAsia="宋体" w:hint="default"/>
                <w:sz w:val="24"/>
                <w:szCs w:val="24"/>
              </w:rPr>
              <w:t>确认和计量</w:t>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both"/>
              <w:rPr>
                <w:rFonts w:ascii="宋体" w:hAnsi="宋体" w:cs="宋体" w:eastAsia="宋体" w:hint="default"/>
                <w:sz w:val="24"/>
                <w:szCs w:val="24"/>
              </w:rPr>
            </w:pPr>
            <w:r>
              <w:rPr>
                <w:rFonts w:ascii="宋体" w:hAnsi="宋体" w:cs="宋体" w:eastAsia="宋体" w:hint="default"/>
                <w:sz w:val="24"/>
                <w:szCs w:val="24"/>
              </w:rPr>
              <w:t>金融资产于本集团成为金融工具合同的一方时，按公允价值在资产负债表内确认。以公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允价值计量且其变动计入当期损益的金融资产，取得时发生的相关交易费用计入当期损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益；其他金融资产的相关交易费用计入初始确认金额。</w:t>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both"/>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以公允价值计量且其变动计入当期损益的金融资产和可供出售金融资产按照公允价值进</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行后续计量，但在活跃市场中没有报价且其公允价值不能可靠计量的权益工具投资，按</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照成本计量；应收款项以及持有至到期投资采用实际利率法，以摊余成本计量。</w:t>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both"/>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以公允价值计量且其变动计入当期损益的金融资产的公允价值变动作为公允价值变动损</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益计入当期损益；在资产持有期间所取得的利息或现金股利以及处置时产生的处置损益</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计入当期损益。</w:t>
            </w:r>
          </w:p>
        </w:tc>
      </w:tr>
      <w:tr>
        <w:trPr>
          <w:trHeight w:val="1833"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both"/>
              <w:rPr>
                <w:rFonts w:ascii="宋体" w:hAnsi="宋体" w:cs="宋体" w:eastAsia="宋体" w:hint="default"/>
                <w:sz w:val="24"/>
                <w:szCs w:val="24"/>
              </w:rPr>
            </w:pPr>
            <w:r>
              <w:rPr>
                <w:rFonts w:ascii="宋体" w:hAnsi="宋体" w:cs="宋体" w:eastAsia="宋体" w:hint="default"/>
                <w:sz w:val="24"/>
                <w:szCs w:val="24"/>
              </w:rPr>
              <w:t>除减值损失及外币货币性金融资产形成的汇兑损益外，可供出售金融资产公允价值变动</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直接计入股东权益，待该金融资产终止确认时，原直接计入权益的公允价值变动累计额</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转入当期损益。可供出售债务工具投资在持有期间按实际利率法计算的利息，以及被投</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资单位已宣告发放的与可供出售权益工具投资相关的现金股利，作为投资收益计入当期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损益。</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8"/>
              <w:jc w:val="center"/>
              <w:rPr>
                <w:rFonts w:ascii="Arial" w:hAnsi="Arial" w:cs="Arial" w:eastAsia="Arial" w:hint="default"/>
                <w:sz w:val="24"/>
                <w:szCs w:val="24"/>
              </w:rPr>
            </w:pPr>
            <w:r>
              <w:rPr>
                <w:rFonts w:ascii="Arial"/>
                <w:sz w:val="24"/>
              </w:rPr>
              <w:t>(iii)</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金融资产减值</w:t>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40" w:right="203"/>
              <w:jc w:val="both"/>
              <w:rPr>
                <w:rFonts w:ascii="宋体" w:hAnsi="宋体" w:cs="宋体" w:eastAsia="宋体" w:hint="default"/>
                <w:sz w:val="24"/>
                <w:szCs w:val="24"/>
              </w:rPr>
            </w:pPr>
            <w:r>
              <w:rPr>
                <w:rFonts w:ascii="宋体" w:hAnsi="宋体" w:cs="宋体" w:eastAsia="宋体" w:hint="default"/>
                <w:sz w:val="24"/>
                <w:szCs w:val="24"/>
              </w:rPr>
              <w:t>除以公允价值计量且其变动计入当期损益的金融资产外，本集团于资产负债表日对金融</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资产的账面价值进行检查，如果有客观证据表明某项金融资产发生减值的，计提减值准</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备。</w:t>
            </w:r>
          </w:p>
        </w:tc>
      </w:tr>
      <w:tr>
        <w:trPr>
          <w:trHeight w:val="1350"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both"/>
              <w:rPr>
                <w:rFonts w:ascii="宋体" w:hAnsi="宋体" w:cs="宋体" w:eastAsia="宋体" w:hint="default"/>
                <w:sz w:val="24"/>
                <w:szCs w:val="24"/>
              </w:rPr>
            </w:pPr>
            <w:r>
              <w:rPr>
                <w:rFonts w:ascii="宋体" w:hAnsi="宋体" w:cs="宋体" w:eastAsia="宋体" w:hint="default"/>
                <w:spacing w:val="-2"/>
                <w:sz w:val="24"/>
                <w:szCs w:val="24"/>
              </w:rPr>
              <w:t>以摊余成本计量的金融资产发生减值时，按预计未来现金流量</w:t>
            </w:r>
            <w:r>
              <w:rPr>
                <w:rFonts w:ascii="Arial" w:hAnsi="Arial" w:cs="Arial" w:eastAsia="Arial" w:hint="default"/>
                <w:spacing w:val="-2"/>
                <w:sz w:val="24"/>
                <w:szCs w:val="24"/>
              </w:rPr>
              <w:t>(</w:t>
            </w:r>
            <w:r>
              <w:rPr>
                <w:rFonts w:ascii="宋体" w:hAnsi="宋体" w:cs="宋体" w:eastAsia="宋体" w:hint="default"/>
                <w:spacing w:val="-2"/>
                <w:sz w:val="24"/>
                <w:szCs w:val="24"/>
              </w:rPr>
              <w:t>不包括尚未发生的未来信</w:t>
            </w:r>
            <w:r>
              <w:rPr>
                <w:rFonts w:ascii="宋体" w:hAnsi="宋体" w:cs="宋体" w:eastAsia="宋体" w:hint="default"/>
                <w:spacing w:val="-103"/>
                <w:sz w:val="24"/>
                <w:szCs w:val="24"/>
              </w:rPr>
              <w:t> </w:t>
            </w:r>
            <w:r>
              <w:rPr>
                <w:rFonts w:ascii="宋体" w:hAnsi="宋体" w:cs="宋体" w:eastAsia="宋体" w:hint="default"/>
                <w:spacing w:val="-2"/>
                <w:sz w:val="24"/>
                <w:szCs w:val="24"/>
              </w:rPr>
              <w:t>用损失</w:t>
            </w:r>
            <w:r>
              <w:rPr>
                <w:rFonts w:ascii="Arial" w:hAnsi="Arial" w:cs="Arial" w:eastAsia="Arial" w:hint="default"/>
                <w:spacing w:val="-2"/>
                <w:sz w:val="24"/>
                <w:szCs w:val="24"/>
              </w:rPr>
              <w:t>)</w:t>
            </w:r>
            <w:r>
              <w:rPr>
                <w:rFonts w:ascii="宋体" w:hAnsi="宋体" w:cs="宋体" w:eastAsia="宋体" w:hint="default"/>
                <w:spacing w:val="-2"/>
                <w:sz w:val="24"/>
                <w:szCs w:val="24"/>
              </w:rPr>
              <w:t>现值低于账面价值的差额，计提减值准备。如果有客观证据表明该金融资产价值</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已恢复，且客观上与确认该损失后发生的事项有关，原确认的减值损失予以转回，计入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当期损益。</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832"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38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68"/>
        <w:gridCol w:w="1704"/>
      </w:tblGrid>
      <w:tr>
        <w:trPr>
          <w:trHeight w:val="422"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(10)</w:t>
            </w:r>
          </w:p>
        </w:tc>
        <w:tc>
          <w:tcPr>
            <w:tcW w:w="1704" w:type="dxa"/>
            <w:tcBorders>
              <w:top w:val="nil" w:sz="6" w:space="0" w:color="auto"/>
              <w:left w:val="nil" w:sz="6" w:space="0" w:color="auto"/>
              <w:bottom w:val="nil" w:sz="6" w:space="0" w:color="auto"/>
              <w:right w:val="nil" w:sz="6" w:space="0" w:color="auto"/>
            </w:tcBorders>
          </w:tcPr>
          <w:p>
            <w:pPr>
              <w:pStyle w:val="TableParagraph"/>
              <w:spacing w:line="262" w:lineRule="exact"/>
              <w:ind w:left="140" w:right="0"/>
              <w:jc w:val="left"/>
              <w:rPr>
                <w:rFonts w:ascii="Arial" w:hAnsi="Arial" w:cs="Arial" w:eastAsia="Arial" w:hint="default"/>
                <w:sz w:val="24"/>
                <w:szCs w:val="24"/>
              </w:rPr>
            </w:pP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2"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0"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8"/>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20"/>
        <w:gridCol w:w="9531"/>
      </w:tblGrid>
      <w:tr>
        <w:trPr>
          <w:trHeight w:val="425"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9531" w:type="dxa"/>
            <w:tcBorders>
              <w:top w:val="nil" w:sz="6" w:space="0" w:color="auto"/>
              <w:left w:val="nil" w:sz="6" w:space="0" w:color="auto"/>
              <w:bottom w:val="nil" w:sz="6" w:space="0" w:color="auto"/>
              <w:right w:val="nil" w:sz="6" w:space="0" w:color="auto"/>
            </w:tcBorders>
          </w:tcPr>
          <w:p>
            <w:pPr>
              <w:pStyle w:val="TableParagraph"/>
              <w:spacing w:line="262" w:lineRule="exact"/>
              <w:ind w:left="188" w:right="0"/>
              <w:jc w:val="left"/>
              <w:rPr>
                <w:rFonts w:ascii="Arial" w:hAnsi="Arial" w:cs="Arial" w:eastAsia="Arial" w:hint="default"/>
                <w:sz w:val="24"/>
                <w:szCs w:val="24"/>
              </w:rPr>
            </w:pPr>
            <w:r>
              <w:rPr>
                <w:rFonts w:ascii="宋体" w:hAnsi="宋体" w:cs="宋体" w:eastAsia="宋体" w:hint="default"/>
                <w:sz w:val="24"/>
                <w:szCs w:val="24"/>
              </w:rPr>
              <w:t>金融资产减值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828"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88" w:right="202"/>
              <w:jc w:val="both"/>
              <w:rPr>
                <w:rFonts w:ascii="宋体" w:hAnsi="宋体" w:cs="宋体" w:eastAsia="宋体" w:hint="default"/>
                <w:sz w:val="24"/>
                <w:szCs w:val="24"/>
              </w:rPr>
            </w:pPr>
            <w:r>
              <w:rPr>
                <w:rFonts w:ascii="宋体" w:hAnsi="宋体" w:cs="宋体" w:eastAsia="宋体" w:hint="default"/>
                <w:sz w:val="24"/>
                <w:szCs w:val="24"/>
              </w:rPr>
              <w:t>当有客观证据表明可供出售金融资产发生减值时，原直接计入股东权益的因公允价值下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降形成的累计损失予以转出并计入减值损失。对已确认减值损失的可供出售债务工具投</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资，在期后公允价值上升且客观上与确认原减值损失后发生的事项有关的，原确认的减</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值损失予以转回并计入当期损益。对已确认减值损失的可供出售权益工具投资，期后公</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允价值上升直接计入股东权益。</w:t>
            </w:r>
          </w:p>
        </w:tc>
      </w:tr>
      <w:tr>
        <w:trPr>
          <w:trHeight w:val="59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(iv)</w:t>
            </w:r>
          </w:p>
        </w:tc>
        <w:tc>
          <w:tcPr>
            <w:tcW w:w="95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88" w:right="0"/>
              <w:jc w:val="left"/>
              <w:rPr>
                <w:rFonts w:ascii="宋体" w:hAnsi="宋体" w:cs="宋体" w:eastAsia="宋体" w:hint="default"/>
                <w:sz w:val="24"/>
                <w:szCs w:val="24"/>
              </w:rPr>
            </w:pPr>
            <w:r>
              <w:rPr>
                <w:rFonts w:ascii="宋体" w:hAnsi="宋体" w:cs="宋体" w:eastAsia="宋体" w:hint="default"/>
                <w:sz w:val="24"/>
                <w:szCs w:val="24"/>
              </w:rPr>
              <w:t>金融资产的终止确认</w:t>
            </w:r>
          </w:p>
        </w:tc>
      </w:tr>
      <w:tr>
        <w:trPr>
          <w:trHeight w:val="1524"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188" w:right="198"/>
              <w:jc w:val="both"/>
              <w:rPr>
                <w:rFonts w:ascii="宋体" w:hAnsi="宋体" w:cs="宋体" w:eastAsia="宋体" w:hint="default"/>
                <w:sz w:val="24"/>
                <w:szCs w:val="24"/>
              </w:rPr>
            </w:pPr>
            <w:r>
              <w:rPr>
                <w:rFonts w:ascii="宋体" w:hAnsi="宋体" w:cs="宋体" w:eastAsia="宋体" w:hint="default"/>
                <w:sz w:val="24"/>
                <w:szCs w:val="24"/>
              </w:rPr>
              <w:t>金融资产满足下列条件之一的，予以终止确认：</w:t>
            </w:r>
            <w:r>
              <w:rPr>
                <w:rFonts w:ascii="Arial" w:hAnsi="Arial" w:cs="Arial" w:eastAsia="Arial" w:hint="default"/>
                <w:sz w:val="24"/>
                <w:szCs w:val="24"/>
              </w:rPr>
              <w:t>(1)</w:t>
            </w:r>
            <w:r>
              <w:rPr>
                <w:rFonts w:ascii="Arial" w:hAnsi="Arial" w:cs="Arial" w:eastAsia="Arial" w:hint="default"/>
                <w:spacing w:val="50"/>
                <w:sz w:val="24"/>
                <w:szCs w:val="24"/>
              </w:rPr>
              <w:t> </w:t>
            </w:r>
            <w:r>
              <w:rPr>
                <w:rFonts w:ascii="宋体" w:hAnsi="宋体" w:cs="宋体" w:eastAsia="宋体" w:hint="default"/>
                <w:sz w:val="24"/>
                <w:szCs w:val="24"/>
              </w:rPr>
              <w:t>收取该金融资产现金流量的合同权</w:t>
            </w:r>
            <w:r>
              <w:rPr>
                <w:rFonts w:ascii="宋体" w:hAnsi="宋体" w:cs="宋体" w:eastAsia="宋体" w:hint="default"/>
                <w:spacing w:val="-111"/>
                <w:sz w:val="24"/>
                <w:szCs w:val="24"/>
              </w:rPr>
              <w:t> </w:t>
            </w:r>
            <w:r>
              <w:rPr>
                <w:rFonts w:ascii="宋体" w:hAnsi="宋体" w:cs="宋体" w:eastAsia="宋体" w:hint="default"/>
                <w:sz w:val="24"/>
                <w:szCs w:val="24"/>
              </w:rPr>
              <w:t>利终止；</w:t>
            </w:r>
            <w:r>
              <w:rPr>
                <w:rFonts w:ascii="Arial" w:hAnsi="Arial" w:cs="Arial" w:eastAsia="Arial" w:hint="default"/>
                <w:sz w:val="24"/>
                <w:szCs w:val="24"/>
              </w:rPr>
              <w:t>(2)</w:t>
            </w:r>
            <w:r>
              <w:rPr>
                <w:rFonts w:ascii="Arial" w:hAnsi="Arial" w:cs="Arial" w:eastAsia="Arial" w:hint="default"/>
                <w:spacing w:val="48"/>
                <w:sz w:val="24"/>
                <w:szCs w:val="24"/>
              </w:rPr>
              <w:t> </w:t>
            </w:r>
            <w:r>
              <w:rPr>
                <w:rFonts w:ascii="宋体" w:hAnsi="宋体" w:cs="宋体" w:eastAsia="宋体" w:hint="default"/>
                <w:sz w:val="24"/>
                <w:szCs w:val="24"/>
              </w:rPr>
              <w:t>该金融资产已转移，且本集团将金融资产所有权上几乎所有的风险和报酬</w:t>
            </w:r>
            <w:r>
              <w:rPr>
                <w:rFonts w:ascii="宋体" w:hAnsi="宋体" w:cs="宋体" w:eastAsia="宋体" w:hint="default"/>
                <w:spacing w:val="-111"/>
                <w:sz w:val="24"/>
                <w:szCs w:val="24"/>
              </w:rPr>
              <w:t> </w:t>
            </w:r>
            <w:r>
              <w:rPr>
                <w:rFonts w:ascii="宋体" w:hAnsi="宋体" w:cs="宋体" w:eastAsia="宋体" w:hint="default"/>
                <w:sz w:val="24"/>
                <w:szCs w:val="24"/>
              </w:rPr>
              <w:t>转移给转入方；或者</w:t>
            </w:r>
            <w:r>
              <w:rPr>
                <w:rFonts w:ascii="Arial" w:hAnsi="Arial" w:cs="Arial" w:eastAsia="Arial" w:hint="default"/>
                <w:sz w:val="24"/>
                <w:szCs w:val="24"/>
              </w:rPr>
              <w:t>(3)</w:t>
            </w:r>
            <w:r>
              <w:rPr>
                <w:rFonts w:ascii="Arial" w:hAnsi="Arial" w:cs="Arial" w:eastAsia="Arial" w:hint="default"/>
                <w:spacing w:val="48"/>
                <w:sz w:val="24"/>
                <w:szCs w:val="24"/>
              </w:rPr>
              <w:t> </w:t>
            </w:r>
            <w:r>
              <w:rPr>
                <w:rFonts w:ascii="宋体" w:hAnsi="宋体" w:cs="宋体" w:eastAsia="宋体" w:hint="default"/>
                <w:sz w:val="24"/>
                <w:szCs w:val="24"/>
              </w:rPr>
              <w:t>该金融资产已转移，虽然本集团既没有转移也没有保留金融资</w:t>
            </w:r>
            <w:r>
              <w:rPr>
                <w:rFonts w:ascii="宋体" w:hAnsi="宋体" w:cs="宋体" w:eastAsia="宋体" w:hint="default"/>
                <w:spacing w:val="-111"/>
                <w:sz w:val="24"/>
                <w:szCs w:val="24"/>
              </w:rPr>
              <w:t> </w:t>
            </w:r>
            <w:r>
              <w:rPr>
                <w:rFonts w:ascii="宋体" w:hAnsi="宋体" w:cs="宋体" w:eastAsia="宋体" w:hint="default"/>
                <w:sz w:val="24"/>
                <w:szCs w:val="24"/>
              </w:rPr>
              <w:t>产所有权上几乎所有的风险和报酬，但是放弃了对该金融资产控制。</w:t>
            </w:r>
          </w:p>
        </w:tc>
      </w:tr>
      <w:tr>
        <w:trPr>
          <w:trHeight w:val="897"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88" w:right="203"/>
              <w:jc w:val="left"/>
              <w:rPr>
                <w:rFonts w:ascii="宋体" w:hAnsi="宋体" w:cs="宋体" w:eastAsia="宋体" w:hint="default"/>
                <w:sz w:val="24"/>
                <w:szCs w:val="24"/>
              </w:rPr>
            </w:pPr>
            <w:r>
              <w:rPr>
                <w:rFonts w:ascii="宋体" w:hAnsi="宋体" w:cs="宋体" w:eastAsia="宋体" w:hint="default"/>
                <w:sz w:val="24"/>
                <w:szCs w:val="24"/>
              </w:rPr>
              <w:t>金融资产终止确认时，其账面价值与收到的对价以及原直接计入股东权益的公允价值变</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动累计额之和的差额，计入当期损益。</w:t>
            </w:r>
          </w:p>
        </w:tc>
      </w:tr>
      <w:tr>
        <w:trPr>
          <w:trHeight w:val="59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5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88" w:right="0"/>
              <w:jc w:val="left"/>
              <w:rPr>
                <w:rFonts w:ascii="宋体" w:hAnsi="宋体" w:cs="宋体" w:eastAsia="宋体" w:hint="default"/>
                <w:sz w:val="24"/>
                <w:szCs w:val="24"/>
              </w:rPr>
            </w:pPr>
            <w:r>
              <w:rPr>
                <w:rFonts w:ascii="宋体" w:hAnsi="宋体" w:cs="宋体" w:eastAsia="宋体" w:hint="default"/>
                <w:sz w:val="24"/>
                <w:szCs w:val="24"/>
              </w:rPr>
              <w:t>金融负债</w:t>
            </w:r>
          </w:p>
        </w:tc>
      </w:tr>
      <w:tr>
        <w:trPr>
          <w:trHeight w:val="900"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88" w:right="205"/>
              <w:jc w:val="left"/>
              <w:rPr>
                <w:rFonts w:ascii="宋体" w:hAnsi="宋体" w:cs="宋体" w:eastAsia="宋体" w:hint="default"/>
                <w:sz w:val="24"/>
                <w:szCs w:val="24"/>
              </w:rPr>
            </w:pPr>
            <w:r>
              <w:rPr>
                <w:rFonts w:ascii="宋体" w:hAnsi="宋体" w:cs="宋体" w:eastAsia="宋体" w:hint="default"/>
                <w:sz w:val="24"/>
                <w:szCs w:val="24"/>
              </w:rPr>
              <w:t>金融负债于初始确认时分类为以公允价值计量且其变动计入当期损益的金融负债和其他</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金融负债。本集团金融负债主要为其他金融负债，包括短期借款、应付款项等。</w:t>
            </w:r>
          </w:p>
        </w:tc>
      </w:tr>
      <w:tr>
        <w:trPr>
          <w:trHeight w:val="900"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88" w:right="205"/>
              <w:jc w:val="left"/>
              <w:rPr>
                <w:rFonts w:ascii="宋体" w:hAnsi="宋体" w:cs="宋体" w:eastAsia="宋体" w:hint="default"/>
                <w:sz w:val="24"/>
                <w:szCs w:val="24"/>
              </w:rPr>
            </w:pPr>
            <w:r>
              <w:rPr>
                <w:rFonts w:ascii="宋体" w:hAnsi="宋体" w:cs="宋体" w:eastAsia="宋体" w:hint="default"/>
                <w:sz w:val="24"/>
                <w:szCs w:val="24"/>
              </w:rPr>
              <w:t>应付款项包括应付账款、其他应付款等，以公允价值进行初始计量，并采用实际利率法</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按摊余成本进行后续计量。</w:t>
            </w:r>
          </w:p>
        </w:tc>
      </w:tr>
      <w:tr>
        <w:trPr>
          <w:trHeight w:val="900"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88" w:right="205"/>
              <w:jc w:val="left"/>
              <w:rPr>
                <w:rFonts w:ascii="宋体" w:hAnsi="宋体" w:cs="宋体" w:eastAsia="宋体" w:hint="default"/>
                <w:sz w:val="24"/>
                <w:szCs w:val="24"/>
              </w:rPr>
            </w:pPr>
            <w:r>
              <w:rPr>
                <w:rFonts w:ascii="宋体" w:hAnsi="宋体" w:cs="宋体" w:eastAsia="宋体" w:hint="default"/>
                <w:sz w:val="24"/>
                <w:szCs w:val="24"/>
              </w:rPr>
              <w:t>短期借款按其公允价值扣除交易费用后的金额进行初始计量，并采用实际利率法按摊余</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成本进行后续计量。</w:t>
            </w:r>
          </w:p>
        </w:tc>
      </w:tr>
      <w:tr>
        <w:trPr>
          <w:trHeight w:val="1212"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88" w:right="205"/>
              <w:jc w:val="both"/>
              <w:rPr>
                <w:rFonts w:ascii="宋体" w:hAnsi="宋体" w:cs="宋体" w:eastAsia="宋体" w:hint="default"/>
                <w:sz w:val="24"/>
                <w:szCs w:val="24"/>
              </w:rPr>
            </w:pPr>
            <w:r>
              <w:rPr>
                <w:rFonts w:ascii="宋体" w:hAnsi="宋体" w:cs="宋体" w:eastAsia="宋体" w:hint="default"/>
                <w:spacing w:val="2"/>
                <w:sz w:val="24"/>
                <w:szCs w:val="24"/>
              </w:rPr>
              <w:t>其他金融负债期限在一年以下</w:t>
            </w:r>
            <w:r>
              <w:rPr>
                <w:rFonts w:ascii="Arial" w:hAnsi="Arial" w:cs="Arial" w:eastAsia="Arial" w:hint="default"/>
                <w:spacing w:val="2"/>
                <w:sz w:val="24"/>
                <w:szCs w:val="24"/>
              </w:rPr>
              <w:t>(</w:t>
            </w:r>
            <w:r>
              <w:rPr>
                <w:rFonts w:ascii="宋体" w:hAnsi="宋体" w:cs="宋体" w:eastAsia="宋体" w:hint="default"/>
                <w:spacing w:val="2"/>
                <w:sz w:val="24"/>
                <w:szCs w:val="24"/>
              </w:rPr>
              <w:t>含一年</w:t>
            </w:r>
            <w:r>
              <w:rPr>
                <w:rFonts w:ascii="Arial" w:hAnsi="Arial" w:cs="Arial" w:eastAsia="Arial" w:hint="default"/>
                <w:spacing w:val="2"/>
                <w:sz w:val="24"/>
                <w:szCs w:val="24"/>
              </w:rPr>
              <w:t>)</w:t>
            </w:r>
            <w:r>
              <w:rPr>
                <w:rFonts w:ascii="宋体" w:hAnsi="宋体" w:cs="宋体" w:eastAsia="宋体" w:hint="default"/>
                <w:spacing w:val="2"/>
                <w:sz w:val="24"/>
                <w:szCs w:val="24"/>
              </w:rPr>
              <w:t>的，列示为流动负债；期限在一年以上但自资产</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负债表日起一年内</w:t>
            </w:r>
            <w:r>
              <w:rPr>
                <w:rFonts w:ascii="Arial" w:hAnsi="Arial" w:cs="Arial" w:eastAsia="Arial" w:hint="default"/>
                <w:spacing w:val="2"/>
                <w:sz w:val="24"/>
                <w:szCs w:val="24"/>
              </w:rPr>
              <w:t>(</w:t>
            </w:r>
            <w:r>
              <w:rPr>
                <w:rFonts w:ascii="宋体" w:hAnsi="宋体" w:cs="宋体" w:eastAsia="宋体" w:hint="default"/>
                <w:spacing w:val="2"/>
                <w:sz w:val="24"/>
                <w:szCs w:val="24"/>
              </w:rPr>
              <w:t>含一年</w:t>
            </w:r>
            <w:r>
              <w:rPr>
                <w:rFonts w:ascii="Arial" w:hAnsi="Arial" w:cs="Arial" w:eastAsia="Arial" w:hint="default"/>
                <w:spacing w:val="2"/>
                <w:sz w:val="24"/>
                <w:szCs w:val="24"/>
              </w:rPr>
              <w:t>)</w:t>
            </w:r>
            <w:r>
              <w:rPr>
                <w:rFonts w:ascii="宋体" w:hAnsi="宋体" w:cs="宋体" w:eastAsia="宋体" w:hint="default"/>
                <w:spacing w:val="2"/>
                <w:sz w:val="24"/>
                <w:szCs w:val="24"/>
              </w:rPr>
              <w:t>到期的，列示为一年内到期的非流动负债；其余列示为非流</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动负债。</w:t>
            </w:r>
          </w:p>
        </w:tc>
      </w:tr>
      <w:tr>
        <w:trPr>
          <w:trHeight w:val="726" w:hRule="exact"/>
        </w:trPr>
        <w:tc>
          <w:tcPr>
            <w:tcW w:w="720" w:type="dxa"/>
            <w:tcBorders>
              <w:top w:val="nil" w:sz="6" w:space="0" w:color="auto"/>
              <w:left w:val="nil" w:sz="6" w:space="0" w:color="auto"/>
              <w:bottom w:val="nil" w:sz="6" w:space="0" w:color="auto"/>
              <w:right w:val="nil" w:sz="6" w:space="0" w:color="auto"/>
            </w:tcBorders>
          </w:tcPr>
          <w:p>
            <w:pPr/>
          </w:p>
        </w:tc>
        <w:tc>
          <w:tcPr>
            <w:tcW w:w="95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8" w:right="205"/>
              <w:jc w:val="left"/>
              <w:rPr>
                <w:rFonts w:ascii="宋体" w:hAnsi="宋体" w:cs="宋体" w:eastAsia="宋体" w:hint="default"/>
                <w:sz w:val="24"/>
                <w:szCs w:val="24"/>
              </w:rPr>
            </w:pPr>
            <w:r>
              <w:rPr>
                <w:rFonts w:ascii="宋体" w:hAnsi="宋体" w:cs="宋体" w:eastAsia="宋体" w:hint="default"/>
                <w:sz w:val="24"/>
                <w:szCs w:val="24"/>
              </w:rPr>
              <w:t>当金融负债的现时义务全部或部分已经解除时，终止确认该金融负债或义务已解除的部</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分。终止确认部分的账面价值与支付的对价之间的差额，计入当期损益。</w:t>
            </w:r>
          </w:p>
        </w:tc>
      </w:tr>
    </w:tbl>
    <w:p>
      <w:pPr>
        <w:spacing w:after="0" w:line="240" w:lineRule="auto"/>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3"/>
      </w:tblGrid>
      <w:tr>
        <w:trPr>
          <w:trHeight w:val="73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3"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(10)</w:t>
            </w:r>
          </w:p>
        </w:tc>
        <w:tc>
          <w:tcPr>
            <w:tcW w:w="947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金融工具</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(c)</w:t>
            </w:r>
          </w:p>
        </w:tc>
        <w:tc>
          <w:tcPr>
            <w:tcW w:w="947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金融工具的公允价值确定</w:t>
            </w:r>
          </w:p>
        </w:tc>
      </w:tr>
      <w:tr>
        <w:trPr>
          <w:trHeight w:val="1662" w:hRule="exact"/>
        </w:trPr>
        <w:tc>
          <w:tcPr>
            <w:tcW w:w="772" w:type="dxa"/>
            <w:tcBorders>
              <w:top w:val="nil" w:sz="6" w:space="0" w:color="auto"/>
              <w:left w:val="nil" w:sz="6" w:space="0" w:color="auto"/>
              <w:bottom w:val="nil" w:sz="6" w:space="0" w:color="auto"/>
              <w:right w:val="nil" w:sz="6" w:space="0" w:color="auto"/>
            </w:tcBorders>
          </w:tcPr>
          <w:p>
            <w:pPr/>
          </w:p>
        </w:tc>
        <w:tc>
          <w:tcPr>
            <w:tcW w:w="9473"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存在活跃市场的金融工具，以活跃市场中的报价确定其公允价值。不存在活跃市场的金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融工具，采用估值技术确定其公允价值。估值技术包括参考熟悉情况并自愿交易的各方</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最近进行的市场交易中使用的价格、参照实质上相同的其他金融资产的当前公允价值、</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现金流量折现法等。采用估值技术时，尽可能最大程度使用可观察到的市场参数，减少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使用与本集团特定相关的参数。</w:t>
            </w:r>
          </w:p>
        </w:tc>
      </w:tr>
    </w:tbl>
    <w:p>
      <w:pPr>
        <w:spacing w:line="240" w:lineRule="auto" w:before="8"/>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0"/>
        <w:gridCol w:w="9487"/>
      </w:tblGrid>
      <w:tr>
        <w:trPr>
          <w:trHeight w:val="419"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pacing w:val="-4"/>
                <w:sz w:val="24"/>
              </w:rPr>
              <w:t>(11)</w:t>
            </w:r>
          </w:p>
        </w:tc>
        <w:tc>
          <w:tcPr>
            <w:tcW w:w="9487" w:type="dxa"/>
            <w:tcBorders>
              <w:top w:val="nil" w:sz="6" w:space="0" w:color="auto"/>
              <w:left w:val="nil" w:sz="6" w:space="0" w:color="auto"/>
              <w:bottom w:val="nil" w:sz="6" w:space="0" w:color="auto"/>
              <w:right w:val="nil" w:sz="6" w:space="0" w:color="auto"/>
            </w:tcBorders>
          </w:tcPr>
          <w:p>
            <w:pPr>
              <w:pStyle w:val="TableParagraph"/>
              <w:spacing w:line="245" w:lineRule="exact"/>
              <w:ind w:left="148" w:right="0"/>
              <w:jc w:val="left"/>
              <w:rPr>
                <w:rFonts w:ascii="宋体" w:hAnsi="宋体" w:cs="宋体" w:eastAsia="宋体" w:hint="default"/>
                <w:sz w:val="24"/>
                <w:szCs w:val="24"/>
              </w:rPr>
            </w:pPr>
            <w:r>
              <w:rPr>
                <w:rFonts w:ascii="宋体" w:hAnsi="宋体" w:cs="宋体" w:eastAsia="宋体" w:hint="default"/>
                <w:b/>
                <w:bCs/>
                <w:sz w:val="24"/>
                <w:szCs w:val="24"/>
              </w:rPr>
              <w:t>应收款项</w:t>
            </w:r>
            <w:r>
              <w:rPr>
                <w:rFonts w:ascii="宋体" w:hAnsi="宋体" w:cs="宋体" w:eastAsia="宋体" w:hint="default"/>
                <w:sz w:val="24"/>
                <w:szCs w:val="24"/>
              </w:rPr>
            </w:r>
          </w:p>
        </w:tc>
      </w:tr>
      <w:tr>
        <w:trPr>
          <w:trHeight w:val="898" w:hRule="exact"/>
        </w:trPr>
        <w:tc>
          <w:tcPr>
            <w:tcW w:w="760" w:type="dxa"/>
            <w:tcBorders>
              <w:top w:val="nil" w:sz="6" w:space="0" w:color="auto"/>
              <w:left w:val="nil" w:sz="6" w:space="0" w:color="auto"/>
              <w:bottom w:val="nil" w:sz="6" w:space="0" w:color="auto"/>
              <w:right w:val="nil" w:sz="6" w:space="0" w:color="auto"/>
            </w:tcBorders>
          </w:tcPr>
          <w:p>
            <w:pPr/>
          </w:p>
        </w:tc>
        <w:tc>
          <w:tcPr>
            <w:tcW w:w="9487"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8" w:right="200"/>
              <w:jc w:val="left"/>
              <w:rPr>
                <w:rFonts w:ascii="宋体" w:hAnsi="宋体" w:cs="宋体" w:eastAsia="宋体" w:hint="default"/>
                <w:sz w:val="24"/>
                <w:szCs w:val="24"/>
              </w:rPr>
            </w:pPr>
            <w:r>
              <w:rPr>
                <w:rFonts w:ascii="宋体" w:hAnsi="宋体" w:cs="宋体" w:eastAsia="宋体" w:hint="default"/>
                <w:sz w:val="24"/>
                <w:szCs w:val="24"/>
              </w:rPr>
              <w:t>应收款项包括应收账款、其他应收款等。本集团对外销售商品或提供劳务形成的应收账</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款，按从购货方或劳务接受方应收的合同或协议价款的公允价值作为初始确认金额。</w:t>
            </w:r>
          </w:p>
        </w:tc>
      </w:tr>
      <w:tr>
        <w:trPr>
          <w:trHeight w:val="591"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8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8" w:right="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单项金额重大并单独计提坏账准备的应收款项</w:t>
            </w:r>
          </w:p>
        </w:tc>
      </w:tr>
      <w:tr>
        <w:trPr>
          <w:trHeight w:val="900" w:hRule="exact"/>
        </w:trPr>
        <w:tc>
          <w:tcPr>
            <w:tcW w:w="760" w:type="dxa"/>
            <w:tcBorders>
              <w:top w:val="nil" w:sz="6" w:space="0" w:color="auto"/>
              <w:left w:val="nil" w:sz="6" w:space="0" w:color="auto"/>
              <w:bottom w:val="nil" w:sz="6" w:space="0" w:color="auto"/>
              <w:right w:val="nil" w:sz="6" w:space="0" w:color="auto"/>
            </w:tcBorders>
          </w:tcPr>
          <w:p>
            <w:pPr/>
          </w:p>
        </w:tc>
        <w:tc>
          <w:tcPr>
            <w:tcW w:w="9487"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8" w:right="199"/>
              <w:jc w:val="left"/>
              <w:rPr>
                <w:rFonts w:ascii="宋体" w:hAnsi="宋体" w:cs="宋体" w:eastAsia="宋体" w:hint="default"/>
                <w:sz w:val="24"/>
                <w:szCs w:val="24"/>
              </w:rPr>
            </w:pPr>
            <w:r>
              <w:rPr>
                <w:rFonts w:ascii="宋体" w:hAnsi="宋体" w:cs="宋体" w:eastAsia="宋体" w:hint="default"/>
                <w:sz w:val="24"/>
                <w:szCs w:val="24"/>
              </w:rPr>
              <w:t>对于单项金额重大的应收款项，单独进行减值测试。当存在客观证据表明本集团将无法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按应收款项的原有条款收回款项时，计提坏账准备。</w:t>
            </w:r>
          </w:p>
        </w:tc>
      </w:tr>
      <w:tr>
        <w:trPr>
          <w:trHeight w:val="594" w:hRule="exact"/>
        </w:trPr>
        <w:tc>
          <w:tcPr>
            <w:tcW w:w="760" w:type="dxa"/>
            <w:tcBorders>
              <w:top w:val="nil" w:sz="6" w:space="0" w:color="auto"/>
              <w:left w:val="nil" w:sz="6" w:space="0" w:color="auto"/>
              <w:bottom w:val="nil" w:sz="6" w:space="0" w:color="auto"/>
              <w:right w:val="nil" w:sz="6" w:space="0" w:color="auto"/>
            </w:tcBorders>
          </w:tcPr>
          <w:p>
            <w:pPr/>
          </w:p>
        </w:tc>
        <w:tc>
          <w:tcPr>
            <w:tcW w:w="948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8" w:right="0"/>
              <w:jc w:val="left"/>
              <w:rPr>
                <w:rFonts w:ascii="宋体" w:hAnsi="宋体" w:cs="宋体" w:eastAsia="宋体" w:hint="default"/>
                <w:sz w:val="24"/>
                <w:szCs w:val="24"/>
              </w:rPr>
            </w:pPr>
            <w:r>
              <w:rPr>
                <w:rFonts w:ascii="宋体" w:hAnsi="宋体" w:cs="宋体" w:eastAsia="宋体" w:hint="default"/>
                <w:sz w:val="24"/>
                <w:szCs w:val="24"/>
              </w:rPr>
              <w:t>单项金额重大的判断标准为：单项金额超过</w:t>
            </w:r>
            <w:r>
              <w:rPr>
                <w:rFonts w:ascii="宋体" w:hAnsi="宋体" w:cs="宋体" w:eastAsia="宋体" w:hint="default"/>
                <w:spacing w:val="-63"/>
                <w:sz w:val="24"/>
                <w:szCs w:val="24"/>
              </w:rPr>
              <w:t> </w:t>
            </w:r>
            <w:r>
              <w:rPr>
                <w:rFonts w:ascii="Arial" w:hAnsi="Arial" w:cs="Arial" w:eastAsia="Arial" w:hint="default"/>
                <w:sz w:val="24"/>
                <w:szCs w:val="24"/>
              </w:rPr>
              <w:t>100,000,000</w:t>
            </w:r>
            <w:r>
              <w:rPr>
                <w:rFonts w:ascii="Arial" w:hAnsi="Arial" w:cs="Arial" w:eastAsia="Arial" w:hint="default"/>
                <w:spacing w:val="-8"/>
                <w:sz w:val="24"/>
                <w:szCs w:val="24"/>
              </w:rPr>
              <w:t> </w:t>
            </w:r>
            <w:r>
              <w:rPr>
                <w:rFonts w:ascii="宋体" w:hAnsi="宋体" w:cs="宋体" w:eastAsia="宋体" w:hint="default"/>
                <w:sz w:val="24"/>
                <w:szCs w:val="24"/>
              </w:rPr>
              <w:t>元。</w:t>
            </w:r>
          </w:p>
        </w:tc>
      </w:tr>
      <w:tr>
        <w:trPr>
          <w:trHeight w:val="892" w:hRule="exact"/>
        </w:trPr>
        <w:tc>
          <w:tcPr>
            <w:tcW w:w="760" w:type="dxa"/>
            <w:tcBorders>
              <w:top w:val="nil" w:sz="6" w:space="0" w:color="auto"/>
              <w:left w:val="nil" w:sz="6" w:space="0" w:color="auto"/>
              <w:bottom w:val="nil" w:sz="6" w:space="0" w:color="auto"/>
              <w:right w:val="nil" w:sz="6" w:space="0" w:color="auto"/>
            </w:tcBorders>
          </w:tcPr>
          <w:p>
            <w:pPr/>
          </w:p>
        </w:tc>
        <w:tc>
          <w:tcPr>
            <w:tcW w:w="9487"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48" w:right="20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单项金额重大并单独计提坏账准备的计提方法为：根据应收款项的预计未来现金流量现</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值低于其账面价值的差额进行计提。</w:t>
            </w:r>
          </w:p>
        </w:tc>
      </w:tr>
      <w:tr>
        <w:trPr>
          <w:trHeight w:val="1629"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48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8" w:right="0"/>
              <w:jc w:val="both"/>
              <w:rPr>
                <w:rFonts w:ascii="宋体" w:hAnsi="宋体" w:cs="宋体" w:eastAsia="宋体" w:hint="default"/>
                <w:sz w:val="24"/>
                <w:szCs w:val="24"/>
              </w:rPr>
            </w:pPr>
            <w:r>
              <w:rPr>
                <w:rFonts w:ascii="宋体" w:hAnsi="宋体" w:cs="宋体" w:eastAsia="宋体" w:hint="default"/>
                <w:sz w:val="24"/>
                <w:szCs w:val="24"/>
              </w:rPr>
              <w:t>按组合计提坏账准备的应收款项</w:t>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148" w:right="198"/>
              <w:jc w:val="both"/>
              <w:rPr>
                <w:rFonts w:ascii="宋体" w:hAnsi="宋体" w:cs="宋体" w:eastAsia="宋体" w:hint="default"/>
                <w:sz w:val="24"/>
                <w:szCs w:val="24"/>
              </w:rPr>
            </w:pPr>
            <w:r>
              <w:rPr>
                <w:rFonts w:ascii="宋体" w:hAnsi="宋体" w:cs="宋体" w:eastAsia="宋体" w:hint="default"/>
                <w:sz w:val="24"/>
                <w:szCs w:val="24"/>
              </w:rPr>
              <w:t>对于单项金额不重大的应收款项，与经单独测试后未减值的应收款项一起按信用风险特</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征划分为若干组合，根据以前年度与之具有类似信用风险特征的应收款项组合的实际损</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失率为基础，结合现时情况确定应计提的坏账准备。</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3208"/>
        <w:gridCol w:w="6181"/>
      </w:tblGrid>
      <w:tr>
        <w:trPr>
          <w:trHeight w:val="73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320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6181"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pacing w:val="-4"/>
                <w:sz w:val="24"/>
              </w:rPr>
              <w:t>(11)</w:t>
            </w: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应收款项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6181"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9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确定组合的依据如下：</w:t>
            </w:r>
          </w:p>
        </w:tc>
        <w:tc>
          <w:tcPr>
            <w:tcW w:w="6181" w:type="dxa"/>
            <w:tcBorders>
              <w:top w:val="nil" w:sz="6" w:space="0" w:color="auto"/>
              <w:left w:val="nil" w:sz="6" w:space="0" w:color="auto"/>
              <w:bottom w:val="nil" w:sz="6" w:space="0" w:color="auto"/>
              <w:right w:val="nil" w:sz="6" w:space="0" w:color="auto"/>
            </w:tcBorders>
          </w:tcPr>
          <w:p>
            <w:pPr/>
          </w:p>
        </w:tc>
      </w:tr>
      <w:tr>
        <w:trPr>
          <w:trHeight w:val="450"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61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9" w:right="0"/>
              <w:jc w:val="left"/>
              <w:rPr>
                <w:rFonts w:ascii="宋体" w:hAnsi="宋体" w:cs="宋体" w:eastAsia="宋体" w:hint="default"/>
                <w:sz w:val="24"/>
                <w:szCs w:val="24"/>
              </w:rPr>
            </w:pPr>
            <w:r>
              <w:rPr>
                <w:rFonts w:ascii="宋体" w:hAnsi="宋体" w:cs="宋体" w:eastAsia="宋体" w:hint="default"/>
                <w:sz w:val="24"/>
                <w:szCs w:val="24"/>
              </w:rPr>
              <w:t>所有应收的政府补贴款项</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76" w:lineRule="exact"/>
              <w:ind w:left="136" w:right="0"/>
              <w:jc w:val="left"/>
              <w:rPr>
                <w:rFonts w:ascii="宋体" w:hAnsi="宋体" w:cs="宋体" w:eastAsia="宋体" w:hint="default"/>
                <w:sz w:val="24"/>
                <w:szCs w:val="24"/>
              </w:rPr>
            </w:pPr>
            <w:r>
              <w:rPr>
                <w:rFonts w:ascii="宋体" w:hAnsi="宋体" w:cs="宋体" w:eastAsia="宋体" w:hint="default"/>
                <w:sz w:val="24"/>
                <w:szCs w:val="24"/>
              </w:rPr>
              <w:t>其他单项金额不重大的款项</w:t>
            </w:r>
          </w:p>
        </w:tc>
        <w:tc>
          <w:tcPr>
            <w:tcW w:w="6181" w:type="dxa"/>
            <w:tcBorders>
              <w:top w:val="nil" w:sz="6" w:space="0" w:color="auto"/>
              <w:left w:val="nil" w:sz="6" w:space="0" w:color="auto"/>
              <w:bottom w:val="nil" w:sz="6" w:space="0" w:color="auto"/>
              <w:right w:val="nil" w:sz="6" w:space="0" w:color="auto"/>
            </w:tcBorders>
          </w:tcPr>
          <w:p>
            <w:pPr>
              <w:pStyle w:val="TableParagraph"/>
              <w:spacing w:line="276" w:lineRule="exact"/>
              <w:ind w:left="219" w:right="0"/>
              <w:jc w:val="left"/>
              <w:rPr>
                <w:rFonts w:ascii="宋体" w:hAnsi="宋体" w:cs="宋体" w:eastAsia="宋体" w:hint="default"/>
                <w:sz w:val="24"/>
                <w:szCs w:val="24"/>
              </w:rPr>
            </w:pPr>
            <w:r>
              <w:rPr>
                <w:rFonts w:ascii="宋体" w:hAnsi="宋体" w:cs="宋体" w:eastAsia="宋体" w:hint="default"/>
                <w:sz w:val="24"/>
                <w:szCs w:val="24"/>
              </w:rPr>
              <w:t>应收款项中除政府补贴外的其他单项金额不重大的款项</w:t>
            </w:r>
          </w:p>
        </w:tc>
      </w:tr>
      <w:tr>
        <w:trPr>
          <w:trHeight w:val="762"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75" w:lineRule="exact"/>
              <w:ind w:left="136" w:right="0"/>
              <w:jc w:val="left"/>
              <w:rPr>
                <w:rFonts w:ascii="宋体" w:hAnsi="宋体" w:cs="宋体" w:eastAsia="宋体" w:hint="default"/>
                <w:sz w:val="24"/>
                <w:szCs w:val="24"/>
              </w:rPr>
            </w:pPr>
            <w:r>
              <w:rPr>
                <w:rFonts w:ascii="宋体" w:hAnsi="宋体" w:cs="宋体" w:eastAsia="宋体" w:hint="default"/>
                <w:sz w:val="24"/>
                <w:szCs w:val="24"/>
              </w:rPr>
              <w:t>房屋租赁保证金及采购</w:t>
            </w:r>
          </w:p>
          <w:p>
            <w:pPr>
              <w:pStyle w:val="TableParagraph"/>
              <w:spacing w:line="313" w:lineRule="exact"/>
              <w:ind w:left="379" w:right="0"/>
              <w:jc w:val="left"/>
              <w:rPr>
                <w:rFonts w:ascii="宋体" w:hAnsi="宋体" w:cs="宋体" w:eastAsia="宋体" w:hint="default"/>
                <w:sz w:val="24"/>
                <w:szCs w:val="24"/>
              </w:rPr>
            </w:pPr>
            <w:r>
              <w:rPr>
                <w:rFonts w:ascii="宋体" w:hAnsi="宋体" w:cs="宋体" w:eastAsia="宋体" w:hint="default"/>
                <w:sz w:val="24"/>
                <w:szCs w:val="24"/>
              </w:rPr>
              <w:t>保证金组合</w:t>
            </w:r>
          </w:p>
        </w:tc>
        <w:tc>
          <w:tcPr>
            <w:tcW w:w="61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19" w:right="0"/>
              <w:jc w:val="left"/>
              <w:rPr>
                <w:rFonts w:ascii="宋体" w:hAnsi="宋体" w:cs="宋体" w:eastAsia="宋体" w:hint="default"/>
                <w:sz w:val="24"/>
                <w:szCs w:val="24"/>
              </w:rPr>
            </w:pPr>
            <w:r>
              <w:rPr>
                <w:rFonts w:ascii="宋体" w:hAnsi="宋体" w:cs="宋体" w:eastAsia="宋体" w:hint="default"/>
                <w:sz w:val="24"/>
                <w:szCs w:val="24"/>
              </w:rPr>
              <w:t>所有长期应收款中的房屋租赁保证金及采购保证金</w:t>
            </w:r>
          </w:p>
        </w:tc>
      </w:tr>
      <w:tr>
        <w:trPr>
          <w:trHeight w:val="606" w:hRule="exact"/>
        </w:trPr>
        <w:tc>
          <w:tcPr>
            <w:tcW w:w="772" w:type="dxa"/>
            <w:tcBorders>
              <w:top w:val="nil" w:sz="6" w:space="0" w:color="auto"/>
              <w:left w:val="nil" w:sz="6" w:space="0" w:color="auto"/>
              <w:bottom w:val="nil" w:sz="6" w:space="0" w:color="auto"/>
              <w:right w:val="nil" w:sz="6" w:space="0" w:color="auto"/>
            </w:tcBorders>
          </w:tcPr>
          <w:p>
            <w:pPr/>
          </w:p>
        </w:tc>
        <w:tc>
          <w:tcPr>
            <w:tcW w:w="9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r>
      <w:tr>
        <w:trPr>
          <w:trHeight w:val="468"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36"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618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91"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76" w:lineRule="exact"/>
              <w:ind w:left="136" w:right="0"/>
              <w:jc w:val="left"/>
              <w:rPr>
                <w:rFonts w:ascii="宋体" w:hAnsi="宋体" w:cs="宋体" w:eastAsia="宋体" w:hint="default"/>
                <w:sz w:val="24"/>
                <w:szCs w:val="24"/>
              </w:rPr>
            </w:pPr>
            <w:r>
              <w:rPr>
                <w:rFonts w:ascii="宋体" w:hAnsi="宋体" w:cs="宋体" w:eastAsia="宋体" w:hint="default"/>
                <w:sz w:val="24"/>
                <w:szCs w:val="24"/>
              </w:rPr>
              <w:t>其他单项金额不重大的款项</w:t>
            </w:r>
          </w:p>
        </w:tc>
        <w:tc>
          <w:tcPr>
            <w:tcW w:w="6181" w:type="dxa"/>
            <w:tcBorders>
              <w:top w:val="nil" w:sz="6" w:space="0" w:color="auto"/>
              <w:left w:val="nil" w:sz="6" w:space="0" w:color="auto"/>
              <w:bottom w:val="nil" w:sz="6" w:space="0" w:color="auto"/>
              <w:right w:val="nil" w:sz="6" w:space="0" w:color="auto"/>
            </w:tcBorders>
          </w:tcPr>
          <w:p>
            <w:pPr>
              <w:pStyle w:val="TableParagraph"/>
              <w:spacing w:line="276" w:lineRule="exact"/>
              <w:ind w:left="191"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3208" w:type="dxa"/>
            <w:tcBorders>
              <w:top w:val="nil" w:sz="6" w:space="0" w:color="auto"/>
              <w:left w:val="nil" w:sz="6" w:space="0" w:color="auto"/>
              <w:bottom w:val="nil" w:sz="6" w:space="0" w:color="auto"/>
              <w:right w:val="nil" w:sz="6" w:space="0" w:color="auto"/>
            </w:tcBorders>
          </w:tcPr>
          <w:p>
            <w:pPr>
              <w:pStyle w:val="TableParagraph"/>
              <w:spacing w:line="275" w:lineRule="exact"/>
              <w:ind w:left="136" w:right="0"/>
              <w:jc w:val="left"/>
              <w:rPr>
                <w:rFonts w:ascii="宋体" w:hAnsi="宋体" w:cs="宋体" w:eastAsia="宋体" w:hint="default"/>
                <w:sz w:val="24"/>
                <w:szCs w:val="24"/>
              </w:rPr>
            </w:pPr>
            <w:r>
              <w:rPr>
                <w:rFonts w:ascii="宋体" w:hAnsi="宋体" w:cs="宋体" w:eastAsia="宋体" w:hint="default"/>
                <w:sz w:val="24"/>
                <w:szCs w:val="24"/>
              </w:rPr>
              <w:t>房屋租赁保证金及采购</w:t>
            </w:r>
          </w:p>
          <w:p>
            <w:pPr>
              <w:pStyle w:val="TableParagraph"/>
              <w:spacing w:line="313" w:lineRule="exact"/>
              <w:ind w:left="379" w:right="0"/>
              <w:jc w:val="left"/>
              <w:rPr>
                <w:rFonts w:ascii="宋体" w:hAnsi="宋体" w:cs="宋体" w:eastAsia="宋体" w:hint="default"/>
                <w:sz w:val="24"/>
                <w:szCs w:val="24"/>
              </w:rPr>
            </w:pPr>
            <w:r>
              <w:rPr>
                <w:rFonts w:ascii="宋体" w:hAnsi="宋体" w:cs="宋体" w:eastAsia="宋体" w:hint="default"/>
                <w:sz w:val="24"/>
                <w:szCs w:val="24"/>
              </w:rPr>
              <w:t>保证金组合</w:t>
            </w:r>
          </w:p>
        </w:tc>
        <w:tc>
          <w:tcPr>
            <w:tcW w:w="61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不计提坏账准备</w:t>
            </w:r>
          </w:p>
        </w:tc>
      </w:tr>
    </w:tbl>
    <w:p>
      <w:pPr>
        <w:spacing w:line="240" w:lineRule="auto" w:before="2"/>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01"/>
        <w:gridCol w:w="3311"/>
        <w:gridCol w:w="3331"/>
        <w:gridCol w:w="2935"/>
      </w:tblGrid>
      <w:tr>
        <w:trPr>
          <w:trHeight w:val="414" w:hRule="exact"/>
        </w:trPr>
        <w:tc>
          <w:tcPr>
            <w:tcW w:w="10278"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908"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75"/>
              <w:jc w:val="righ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2"/>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50"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70"/>
              <w:jc w:val="right"/>
              <w:rPr>
                <w:rFonts w:ascii="Arial" w:hAnsi="Arial" w:cs="Arial" w:eastAsia="Arial" w:hint="default"/>
                <w:sz w:val="24"/>
                <w:szCs w:val="24"/>
              </w:rPr>
            </w:pPr>
            <w:r>
              <w:rPr>
                <w:rFonts w:ascii="Arial"/>
                <w:w w:val="95"/>
                <w:sz w:val="24"/>
              </w:rPr>
              <w:t>5%</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0"/>
              <w:jc w:val="right"/>
              <w:rPr>
                <w:rFonts w:ascii="Arial" w:hAnsi="Arial" w:cs="Arial" w:eastAsia="Arial" w:hint="default"/>
                <w:sz w:val="24"/>
                <w:szCs w:val="24"/>
              </w:rPr>
            </w:pPr>
            <w:r>
              <w:rPr>
                <w:rFonts w:ascii="Arial"/>
                <w:w w:val="95"/>
                <w:sz w:val="24"/>
              </w:rPr>
              <w:t>5%</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8"/>
              <w:jc w:val="right"/>
              <w:rPr>
                <w:rFonts w:ascii="Arial" w:hAnsi="Arial" w:cs="Arial" w:eastAsia="Arial" w:hint="default"/>
                <w:sz w:val="24"/>
                <w:szCs w:val="24"/>
              </w:rPr>
            </w:pPr>
            <w:r>
              <w:rPr>
                <w:rFonts w:ascii="Arial"/>
                <w:w w:val="95"/>
                <w:sz w:val="24"/>
              </w:rPr>
              <w:t>10%</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24"/>
                <w:szCs w:val="24"/>
              </w:rPr>
            </w:pPr>
            <w:r>
              <w:rPr>
                <w:rFonts w:ascii="Arial"/>
                <w:w w:val="95"/>
                <w:sz w:val="24"/>
              </w:rPr>
              <w:t>10%</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8"/>
              <w:jc w:val="right"/>
              <w:rPr>
                <w:rFonts w:ascii="Arial" w:hAnsi="Arial" w:cs="Arial" w:eastAsia="Arial" w:hint="default"/>
                <w:sz w:val="24"/>
                <w:szCs w:val="24"/>
              </w:rPr>
            </w:pPr>
            <w:r>
              <w:rPr>
                <w:rFonts w:ascii="Arial"/>
                <w:w w:val="95"/>
                <w:sz w:val="24"/>
              </w:rPr>
              <w:t>20%</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24"/>
                <w:szCs w:val="24"/>
              </w:rPr>
            </w:pPr>
            <w:r>
              <w:rPr>
                <w:rFonts w:ascii="Arial"/>
                <w:w w:val="95"/>
                <w:sz w:val="24"/>
              </w:rPr>
              <w:t>20%</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8"/>
              <w:jc w:val="right"/>
              <w:rPr>
                <w:rFonts w:ascii="Arial" w:hAnsi="Arial" w:cs="Arial" w:eastAsia="Arial" w:hint="default"/>
                <w:sz w:val="24"/>
                <w:szCs w:val="24"/>
              </w:rPr>
            </w:pPr>
            <w:r>
              <w:rPr>
                <w:rFonts w:ascii="Arial"/>
                <w:w w:val="95"/>
                <w:sz w:val="24"/>
              </w:rPr>
              <w:t>30%</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24"/>
                <w:szCs w:val="24"/>
              </w:rPr>
            </w:pPr>
            <w:r>
              <w:rPr>
                <w:rFonts w:ascii="Arial"/>
                <w:w w:val="95"/>
                <w:sz w:val="24"/>
              </w:rPr>
              <w:t>30%</w:t>
            </w:r>
            <w:r>
              <w:rPr>
                <w:rFonts w:ascii="Arial"/>
                <w:sz w:val="24"/>
              </w:rPr>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8"/>
              <w:jc w:val="right"/>
              <w:rPr>
                <w:rFonts w:ascii="Arial" w:hAnsi="Arial" w:cs="Arial" w:eastAsia="Arial" w:hint="default"/>
                <w:sz w:val="24"/>
                <w:szCs w:val="24"/>
              </w:rPr>
            </w:pPr>
            <w:r>
              <w:rPr>
                <w:rFonts w:ascii="Arial"/>
                <w:w w:val="95"/>
                <w:sz w:val="24"/>
              </w:rPr>
              <w:t>60%</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24"/>
                <w:szCs w:val="24"/>
              </w:rPr>
            </w:pPr>
            <w:r>
              <w:rPr>
                <w:rFonts w:ascii="Arial"/>
                <w:w w:val="95"/>
                <w:sz w:val="24"/>
              </w:rPr>
              <w:t>60%</w:t>
            </w:r>
            <w:r>
              <w:rPr>
                <w:rFonts w:ascii="Arial"/>
                <w:sz w:val="24"/>
              </w:rPr>
            </w:r>
          </w:p>
        </w:tc>
      </w:tr>
      <w:tr>
        <w:trPr>
          <w:trHeight w:val="450" w:hRule="exact"/>
        </w:trPr>
        <w:tc>
          <w:tcPr>
            <w:tcW w:w="701" w:type="dxa"/>
            <w:tcBorders>
              <w:top w:val="nil" w:sz="6" w:space="0" w:color="auto"/>
              <w:left w:val="nil" w:sz="6" w:space="0" w:color="auto"/>
              <w:bottom w:val="nil" w:sz="6" w:space="0" w:color="auto"/>
              <w:right w:val="nil" w:sz="6" w:space="0" w:color="auto"/>
            </w:tcBorders>
          </w:tcPr>
          <w:p>
            <w:pPr/>
          </w:p>
        </w:tc>
        <w:tc>
          <w:tcPr>
            <w:tcW w:w="331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68"/>
              <w:jc w:val="right"/>
              <w:rPr>
                <w:rFonts w:ascii="Arial" w:hAnsi="Arial" w:cs="Arial" w:eastAsia="Arial" w:hint="default"/>
                <w:sz w:val="24"/>
                <w:szCs w:val="24"/>
              </w:rPr>
            </w:pPr>
            <w:r>
              <w:rPr>
                <w:rFonts w:ascii="Arial"/>
                <w:w w:val="95"/>
                <w:sz w:val="24"/>
              </w:rPr>
              <w:t>100%</w:t>
            </w:r>
            <w:r>
              <w:rPr>
                <w:rFonts w:ascii="Arial"/>
                <w:sz w:val="24"/>
              </w:rPr>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24"/>
                <w:szCs w:val="24"/>
              </w:rPr>
            </w:pPr>
            <w:r>
              <w:rPr>
                <w:rFonts w:ascii="Arial"/>
                <w:w w:val="95"/>
                <w:sz w:val="24"/>
              </w:rPr>
              <w:t>100%</w:t>
            </w:r>
            <w:r>
              <w:rPr>
                <w:rFonts w:ascii="Arial"/>
                <w:sz w:val="24"/>
              </w:rPr>
            </w:r>
          </w:p>
        </w:tc>
      </w:tr>
      <w:tr>
        <w:trPr>
          <w:trHeight w:val="242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
              <w:jc w:val="center"/>
              <w:rPr>
                <w:rFonts w:ascii="Arial" w:hAnsi="Arial" w:cs="Arial" w:eastAsia="Arial" w:hint="default"/>
                <w:sz w:val="24"/>
                <w:szCs w:val="24"/>
              </w:rPr>
            </w:pPr>
            <w:r>
              <w:rPr>
                <w:rFonts w:ascii="Arial"/>
                <w:sz w:val="24"/>
              </w:rPr>
              <w:t>(c)</w:t>
            </w:r>
          </w:p>
        </w:tc>
        <w:tc>
          <w:tcPr>
            <w:tcW w:w="957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312" w:lineRule="exact"/>
              <w:ind w:left="207" w:right="201"/>
              <w:jc w:val="left"/>
              <w:rPr>
                <w:rFonts w:ascii="宋体" w:hAnsi="宋体" w:cs="宋体" w:eastAsia="宋体" w:hint="default"/>
                <w:sz w:val="24"/>
                <w:szCs w:val="24"/>
              </w:rPr>
            </w:pPr>
            <w:r>
              <w:rPr>
                <w:rFonts w:ascii="宋体" w:hAnsi="宋体" w:cs="宋体" w:eastAsia="宋体" w:hint="default"/>
                <w:sz w:val="24"/>
                <w:szCs w:val="24"/>
              </w:rPr>
              <w:t>单项计提坏账准备的理由为：存在客观证据表明本集团将无法按应收款项的原有条款收</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回款项。</w:t>
            </w: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2" w:lineRule="exact"/>
              <w:ind w:left="207" w:right="204"/>
              <w:jc w:val="left"/>
              <w:rPr>
                <w:rFonts w:ascii="宋体" w:hAnsi="宋体" w:cs="宋体" w:eastAsia="宋体" w:hint="default"/>
                <w:sz w:val="24"/>
                <w:szCs w:val="24"/>
              </w:rPr>
            </w:pPr>
            <w:r>
              <w:rPr>
                <w:rFonts w:ascii="宋体" w:hAnsi="宋体" w:cs="宋体" w:eastAsia="宋体" w:hint="default"/>
                <w:sz w:val="24"/>
                <w:szCs w:val="24"/>
              </w:rPr>
              <w:t>坏账准备的计提方法为：根据应收款项的预计未来现金流量现值低于其账面价值的差额</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进行计提。</w:t>
            </w:r>
          </w:p>
        </w:tc>
      </w:tr>
      <w:tr>
        <w:trPr>
          <w:trHeight w:val="72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
              <w:jc w:val="center"/>
              <w:rPr>
                <w:rFonts w:ascii="Arial" w:hAnsi="Arial" w:cs="Arial" w:eastAsia="Arial" w:hint="default"/>
                <w:sz w:val="24"/>
                <w:szCs w:val="24"/>
              </w:rPr>
            </w:pPr>
            <w:r>
              <w:rPr>
                <w:rFonts w:ascii="Arial"/>
                <w:sz w:val="24"/>
              </w:rPr>
              <w:t>(d)</w:t>
            </w:r>
          </w:p>
        </w:tc>
        <w:tc>
          <w:tcPr>
            <w:tcW w:w="9577"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3"/>
              <w:ind w:left="207" w:right="204"/>
              <w:jc w:val="left"/>
              <w:rPr>
                <w:rFonts w:ascii="宋体" w:hAnsi="宋体" w:cs="宋体" w:eastAsia="宋体" w:hint="default"/>
                <w:sz w:val="24"/>
                <w:szCs w:val="24"/>
              </w:rPr>
            </w:pPr>
            <w:r>
              <w:rPr>
                <w:rFonts w:ascii="宋体" w:hAnsi="宋体" w:cs="宋体" w:eastAsia="宋体" w:hint="default"/>
                <w:sz w:val="24"/>
                <w:szCs w:val="24"/>
              </w:rPr>
              <w:t>本集团向金融机构以不附追索权方式转让应收款项的，按交易款项扣除已转销应收账款</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的账面价值和相关税费后的差额计入当期损益。</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00"/>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0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(12)</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存货</w:t>
            </w:r>
            <w:r>
              <w:rPr>
                <w:rFonts w:ascii="宋体" w:hAnsi="宋体" w:cs="宋体" w:eastAsia="宋体"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分类</w:t>
            </w:r>
          </w:p>
        </w:tc>
      </w:tr>
      <w:tr>
        <w:trPr>
          <w:trHeight w:val="586" w:hRule="exact"/>
        </w:trPr>
        <w:tc>
          <w:tcPr>
            <w:tcW w:w="772" w:type="dxa"/>
            <w:tcBorders>
              <w:top w:val="nil" w:sz="6" w:space="0" w:color="auto"/>
              <w:left w:val="nil" w:sz="6" w:space="0" w:color="auto"/>
              <w:bottom w:val="nil" w:sz="6" w:space="0" w:color="auto"/>
              <w:right w:val="nil" w:sz="6" w:space="0" w:color="auto"/>
            </w:tcBorders>
          </w:tcPr>
          <w:p>
            <w:pP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存货包括库存商品和安装维修用备件，按成本与可变现净值孰低计量。</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发出存货的计价方法</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库存商品销售时的成本按先进先出法核算。</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存货可变现净值的确定依据及存货跌价准备的计提方法</w:t>
            </w:r>
          </w:p>
        </w:tc>
      </w:tr>
      <w:tr>
        <w:trPr>
          <w:trHeight w:val="898" w:hRule="exact"/>
        </w:trPr>
        <w:tc>
          <w:tcPr>
            <w:tcW w:w="772" w:type="dxa"/>
            <w:tcBorders>
              <w:top w:val="nil" w:sz="6" w:space="0" w:color="auto"/>
              <w:left w:val="nil" w:sz="6" w:space="0" w:color="auto"/>
              <w:bottom w:val="nil" w:sz="6" w:space="0" w:color="auto"/>
              <w:right w:val="nil" w:sz="6" w:space="0" w:color="auto"/>
            </w:tcBorders>
          </w:tcPr>
          <w:p>
            <w:pPr/>
          </w:p>
        </w:tc>
        <w:tc>
          <w:tcPr>
            <w:tcW w:w="950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z w:val="24"/>
                <w:szCs w:val="24"/>
              </w:rPr>
              <w:t>存货跌价准备按存货成本高于其可变现净值的差额计提。可变现净值按日常活动中，以</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存货的估计售价减去估计的销售费用以及相关税费后的金额确定。</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(d)</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本集团的存货盘存制度采用永续盘存制。</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(e)</w:t>
            </w: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安装维修用备件的摊销方法</w:t>
            </w: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950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安装维修用备件采用一次转销法进行摊销。</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8"/>
        <w:gridCol w:w="9512"/>
      </w:tblGrid>
      <w:tr>
        <w:trPr>
          <w:trHeight w:val="41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(13)</w:t>
            </w:r>
          </w:p>
        </w:tc>
        <w:tc>
          <w:tcPr>
            <w:tcW w:w="9512" w:type="dxa"/>
            <w:tcBorders>
              <w:top w:val="nil" w:sz="6" w:space="0" w:color="auto"/>
              <w:left w:val="nil" w:sz="6" w:space="0" w:color="auto"/>
              <w:bottom w:val="nil" w:sz="6" w:space="0" w:color="auto"/>
              <w:right w:val="nil" w:sz="6" w:space="0" w:color="auto"/>
            </w:tcBorders>
          </w:tcPr>
          <w:p>
            <w:pPr>
              <w:pStyle w:val="TableParagraph"/>
              <w:spacing w:line="245" w:lineRule="exact"/>
              <w:ind w:left="140"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r>
      <w:tr>
        <w:trPr>
          <w:trHeight w:val="1212" w:hRule="exact"/>
        </w:trPr>
        <w:tc>
          <w:tcPr>
            <w:tcW w:w="768" w:type="dxa"/>
            <w:tcBorders>
              <w:top w:val="nil" w:sz="6" w:space="0" w:color="auto"/>
              <w:left w:val="nil" w:sz="6" w:space="0" w:color="auto"/>
              <w:bottom w:val="nil" w:sz="6" w:space="0" w:color="auto"/>
              <w:right w:val="nil" w:sz="6" w:space="0" w:color="auto"/>
            </w:tcBorders>
          </w:tcPr>
          <w:p>
            <w:pPr/>
          </w:p>
        </w:tc>
        <w:tc>
          <w:tcPr>
            <w:tcW w:w="951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both"/>
              <w:rPr>
                <w:rFonts w:ascii="宋体" w:hAnsi="宋体" w:cs="宋体" w:eastAsia="宋体" w:hint="default"/>
                <w:sz w:val="24"/>
                <w:szCs w:val="24"/>
              </w:rPr>
            </w:pPr>
            <w:r>
              <w:rPr>
                <w:rFonts w:ascii="宋体" w:hAnsi="宋体" w:cs="宋体" w:eastAsia="宋体" w:hint="default"/>
                <w:sz w:val="24"/>
                <w:szCs w:val="24"/>
              </w:rPr>
              <w:t>长期股权投资包括：本公司对子公司的长期股权投资；本集团对联营企业的长期股权投</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资；以及本集团对被投资单位不具有控制、共同控制或重大影响，并且在活跃市场中没</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有报价、公允价值不能可靠计量的长期股权投资。</w:t>
            </w:r>
          </w:p>
        </w:tc>
      </w:tr>
      <w:tr>
        <w:trPr>
          <w:trHeight w:val="900" w:hRule="exact"/>
        </w:trPr>
        <w:tc>
          <w:tcPr>
            <w:tcW w:w="768" w:type="dxa"/>
            <w:tcBorders>
              <w:top w:val="nil" w:sz="6" w:space="0" w:color="auto"/>
              <w:left w:val="nil" w:sz="6" w:space="0" w:color="auto"/>
              <w:bottom w:val="nil" w:sz="6" w:space="0" w:color="auto"/>
              <w:right w:val="nil" w:sz="6" w:space="0" w:color="auto"/>
            </w:tcBorders>
          </w:tcPr>
          <w:p>
            <w:pPr/>
          </w:p>
        </w:tc>
        <w:tc>
          <w:tcPr>
            <w:tcW w:w="9512"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40" w:right="202"/>
              <w:jc w:val="left"/>
              <w:rPr>
                <w:rFonts w:ascii="宋体" w:hAnsi="宋体" w:cs="宋体" w:eastAsia="宋体" w:hint="default"/>
                <w:sz w:val="24"/>
                <w:szCs w:val="24"/>
              </w:rPr>
            </w:pPr>
            <w:r>
              <w:rPr>
                <w:rFonts w:ascii="宋体" w:hAnsi="宋体" w:cs="宋体" w:eastAsia="宋体" w:hint="default"/>
                <w:sz w:val="24"/>
                <w:szCs w:val="24"/>
              </w:rPr>
              <w:t>子公司是指本公司能够对其实施控制的被投资单位；联营企业是指本集团能够对其财务</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和经营决策具有重大影响的被投资单位。</w:t>
            </w:r>
          </w:p>
        </w:tc>
      </w:tr>
      <w:tr>
        <w:trPr>
          <w:trHeight w:val="1350" w:hRule="exact"/>
        </w:trPr>
        <w:tc>
          <w:tcPr>
            <w:tcW w:w="768" w:type="dxa"/>
            <w:tcBorders>
              <w:top w:val="nil" w:sz="6" w:space="0" w:color="auto"/>
              <w:left w:val="nil" w:sz="6" w:space="0" w:color="auto"/>
              <w:bottom w:val="nil" w:sz="6" w:space="0" w:color="auto"/>
              <w:right w:val="nil" w:sz="6" w:space="0" w:color="auto"/>
            </w:tcBorders>
          </w:tcPr>
          <w:p>
            <w:pPr/>
          </w:p>
        </w:tc>
        <w:tc>
          <w:tcPr>
            <w:tcW w:w="951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2"/>
              <w:jc w:val="both"/>
              <w:rPr>
                <w:rFonts w:ascii="宋体" w:hAnsi="宋体" w:cs="宋体" w:eastAsia="宋体" w:hint="default"/>
                <w:sz w:val="24"/>
                <w:szCs w:val="24"/>
              </w:rPr>
            </w:pPr>
            <w:r>
              <w:rPr>
                <w:rFonts w:ascii="宋体" w:hAnsi="宋体" w:cs="宋体" w:eastAsia="宋体" w:hint="default"/>
                <w:sz w:val="24"/>
                <w:szCs w:val="24"/>
              </w:rPr>
              <w:t>对子公司的投资，在公司财务报表中按照成本法确定的金额列示，在编制合并财务报表</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时按权益法调整后进行合并；对联营企业投资采用权益法核算；对被投资单位不具有控</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制、共同控制或重大影响，并且在活跃市场中没有报价、公允价值不能可靠计量的长期</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股权投资，采用成本法核算。</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06"/>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06"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(13)</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投资成本确定</w:t>
            </w:r>
          </w:p>
        </w:tc>
      </w:tr>
      <w:tr>
        <w:trPr>
          <w:trHeight w:val="2422"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204"/>
              <w:jc w:val="both"/>
              <w:rPr>
                <w:rFonts w:ascii="宋体" w:hAnsi="宋体" w:cs="宋体" w:eastAsia="宋体" w:hint="default"/>
                <w:sz w:val="24"/>
                <w:szCs w:val="24"/>
              </w:rPr>
            </w:pPr>
            <w:r>
              <w:rPr>
                <w:rFonts w:ascii="宋体" w:hAnsi="宋体" w:cs="宋体" w:eastAsia="宋体" w:hint="default"/>
                <w:sz w:val="24"/>
                <w:szCs w:val="24"/>
              </w:rPr>
              <w:t>对于企业合并形成的长期股权投资：同一控制下企业合并取得的长期股权投资，在合并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日按照取得被合并方所有者权益账面价值的份额作为投资成本；非同一控制下企业合并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取得的长期股权投资，按照合并成本作为长期股权投资的投资成本。</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ind w:left="136" w:right="204"/>
              <w:jc w:val="both"/>
              <w:rPr>
                <w:rFonts w:ascii="宋体" w:hAnsi="宋体" w:cs="宋体" w:eastAsia="宋体" w:hint="default"/>
                <w:sz w:val="24"/>
                <w:szCs w:val="24"/>
              </w:rPr>
            </w:pPr>
            <w:r>
              <w:rPr>
                <w:rFonts w:ascii="宋体" w:hAnsi="宋体" w:cs="宋体" w:eastAsia="宋体" w:hint="default"/>
                <w:sz w:val="24"/>
                <w:szCs w:val="24"/>
              </w:rPr>
              <w:t>对于以企业合并以外的其他方式取得的长期股权投资：支付现金取得的长期股权投资，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按照实际支付的购买价款作为初始投资成本；发行权益性证券取得的长期股权投资，以</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发行权益性证券的公允价值作为初始投资成本。</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后续计量及损益确认方法</w:t>
            </w:r>
          </w:p>
        </w:tc>
      </w:tr>
      <w:tr>
        <w:trPr>
          <w:trHeight w:val="2424"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200"/>
              <w:jc w:val="both"/>
              <w:rPr>
                <w:rFonts w:ascii="宋体" w:hAnsi="宋体" w:cs="宋体" w:eastAsia="宋体" w:hint="default"/>
                <w:sz w:val="24"/>
                <w:szCs w:val="24"/>
              </w:rPr>
            </w:pPr>
            <w:r>
              <w:rPr>
                <w:rFonts w:ascii="宋体" w:hAnsi="宋体" w:cs="宋体" w:eastAsia="宋体" w:hint="default"/>
                <w:sz w:val="24"/>
                <w:szCs w:val="24"/>
              </w:rPr>
              <w:t>采用成本法核算的长期股权投资，按照初始投资成本计量，被投资单位宣告分派的现金</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股利或利润，确认为投资收益计入当期损益。</w:t>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136"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采用权益法核算的长期股权投资，初始投资成本大于投资时应享有被投资单位可辨认净</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资产公允价值份额的，以初始投资成本作为长期股权投资成本；初始投资成本小于投资</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时应享有被投资单位可辨认净资产公允价值份额的，其差额计入当期损益，并相应调增</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长期股权投资成本。</w:t>
            </w:r>
          </w:p>
        </w:tc>
      </w:tr>
      <w:tr>
        <w:trPr>
          <w:trHeight w:val="3223"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采用权益法核算的长期股权投资，本集团按应享有或应分担的被投资单位的净损益份额</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确认当期投资损益。确认被投资单位发生的净亏损，以长期股权投资的账面价值以及其</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他实质上构成对被投资单位净投资的长期权益减记至零为限，但本集团负有承担额外损</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失义务且符合或有事项准则所规定的预计负债确认条件的，继续确认投资损失并作为预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计负债核算。被投资单位除净损益以外股东权益的其他变动，在本集团持股比例不变的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情况下，按照持股比例计算应享有或承担的部分直接计入资本公积。被投资单位分派的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利润或现金股利于宣告分派时按照本集团应分得的部分，相应减少长期股权投资的账面</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价值。本集团与被投资单位之间未实现的内部交易损益按照持股比例计算归属于本集团</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的部分，予以抵销，在此基础上确认投资损益。本集团与被投资单位发生的内部交易损</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失，其中属于资产减值损失的部分，相应的未实现损失不予抵销。</w:t>
            </w:r>
          </w:p>
        </w:tc>
      </w:tr>
    </w:tbl>
    <w:p>
      <w:pPr>
        <w:spacing w:after="0" w:line="237" w:lineRule="auto"/>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06"/>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06"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(13)</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(c)</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确定对被投资单位具有控制、共同控制、重大影响的依据</w:t>
            </w:r>
          </w:p>
        </w:tc>
      </w:tr>
      <w:tr>
        <w:trPr>
          <w:trHeight w:val="1212"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203"/>
              <w:jc w:val="both"/>
              <w:rPr>
                <w:rFonts w:ascii="宋体" w:hAnsi="宋体" w:cs="宋体" w:eastAsia="宋体" w:hint="default"/>
                <w:sz w:val="24"/>
                <w:szCs w:val="24"/>
              </w:rPr>
            </w:pPr>
            <w:r>
              <w:rPr>
                <w:rFonts w:ascii="宋体" w:hAnsi="宋体" w:cs="宋体" w:eastAsia="宋体" w:hint="default"/>
                <w:sz w:val="24"/>
                <w:szCs w:val="24"/>
              </w:rPr>
              <w:t>控制是指有权决定被投资单位的财务和经营政策，并能据以从其经营活动中获取利益。</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在确定能否对被投资单位实施控制时，被投资单位当期可转换公司债券、当期可执行认</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股权证等潜在表决权因素也同时予以考虑。</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3"/>
              <w:jc w:val="left"/>
              <w:rPr>
                <w:rFonts w:ascii="宋体" w:hAnsi="宋体" w:cs="宋体" w:eastAsia="宋体" w:hint="default"/>
                <w:sz w:val="24"/>
                <w:szCs w:val="24"/>
              </w:rPr>
            </w:pPr>
            <w:r>
              <w:rPr>
                <w:rFonts w:ascii="宋体" w:hAnsi="宋体" w:cs="宋体" w:eastAsia="宋体" w:hint="default"/>
                <w:sz w:val="24"/>
                <w:szCs w:val="24"/>
              </w:rPr>
              <w:t>共同控制是指按照合同约定对某项经济活动所享有的控制，仅在与该项经济活动相关的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重要财务和经营决策需要分享控制权的投资方一致同意时存在。</w:t>
            </w:r>
          </w:p>
        </w:tc>
      </w:tr>
      <w:tr>
        <w:trPr>
          <w:trHeight w:val="897"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3"/>
              <w:jc w:val="left"/>
              <w:rPr>
                <w:rFonts w:ascii="宋体" w:hAnsi="宋体" w:cs="宋体" w:eastAsia="宋体" w:hint="default"/>
                <w:sz w:val="24"/>
                <w:szCs w:val="24"/>
              </w:rPr>
            </w:pPr>
            <w:r>
              <w:rPr>
                <w:rFonts w:ascii="宋体" w:hAnsi="宋体" w:cs="宋体" w:eastAsia="宋体" w:hint="default"/>
                <w:sz w:val="24"/>
                <w:szCs w:val="24"/>
              </w:rPr>
              <w:t>重大影响是指对被投资单位的财务和经营政策有参与决策的权力，但并不能够控制或者</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与其他方一起共同控制这些政策的制定。</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(d)</w:t>
            </w:r>
          </w:p>
        </w:tc>
        <w:tc>
          <w:tcPr>
            <w:tcW w:w="950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长期股权投资减值</w:t>
            </w:r>
          </w:p>
        </w:tc>
      </w:tr>
      <w:tr>
        <w:trPr>
          <w:trHeight w:val="1662" w:hRule="exact"/>
        </w:trPr>
        <w:tc>
          <w:tcPr>
            <w:tcW w:w="772" w:type="dxa"/>
            <w:tcBorders>
              <w:top w:val="nil" w:sz="6" w:space="0" w:color="auto"/>
              <w:left w:val="nil" w:sz="6" w:space="0" w:color="auto"/>
              <w:bottom w:val="nil" w:sz="6" w:space="0" w:color="auto"/>
              <w:right w:val="nil" w:sz="6" w:space="0" w:color="auto"/>
            </w:tcBorders>
          </w:tcPr>
          <w:p>
            <w:pPr/>
          </w:p>
        </w:tc>
        <w:tc>
          <w:tcPr>
            <w:tcW w:w="9506"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对子公司、联营企业的长期股权投资，当其可收回金额低于其账面价值时，账面价值减</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2"/>
                <w:sz w:val="24"/>
                <w:szCs w:val="24"/>
              </w:rPr>
              <w:t>记至可收回金额</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(20))</w:t>
            </w:r>
            <w:r>
              <w:rPr>
                <w:rFonts w:ascii="宋体" w:hAnsi="宋体" w:cs="宋体" w:eastAsia="宋体" w:hint="default"/>
                <w:spacing w:val="-2"/>
                <w:sz w:val="24"/>
                <w:szCs w:val="24"/>
              </w:rPr>
              <w:t>。在活跃市场中没有报价且其公允价值不能可靠计量的其他</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长期股权投资发生减值时，按其账面价值超过按类似金融资产当时市场收益率对未来现</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金流量折现确定的现值之间的差额，确认减值损失。减值损失一经确认，以后期间不予</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转回价值得以恢复的部分。</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8"/>
        <w:gridCol w:w="1567"/>
        <w:gridCol w:w="2424"/>
        <w:gridCol w:w="2194"/>
        <w:gridCol w:w="3293"/>
      </w:tblGrid>
      <w:tr>
        <w:trPr>
          <w:trHeight w:val="41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(14)</w:t>
            </w:r>
          </w:p>
        </w:tc>
        <w:tc>
          <w:tcPr>
            <w:tcW w:w="1567" w:type="dxa"/>
            <w:tcBorders>
              <w:top w:val="nil" w:sz="6" w:space="0" w:color="auto"/>
              <w:left w:val="nil" w:sz="6" w:space="0" w:color="auto"/>
              <w:bottom w:val="nil" w:sz="6" w:space="0" w:color="auto"/>
              <w:right w:val="nil" w:sz="6" w:space="0" w:color="auto"/>
            </w:tcBorders>
          </w:tcPr>
          <w:p>
            <w:pPr>
              <w:pStyle w:val="TableParagraph"/>
              <w:spacing w:line="245" w:lineRule="exact"/>
              <w:ind w:left="140" w:right="-16"/>
              <w:jc w:val="left"/>
              <w:rPr>
                <w:rFonts w:ascii="宋体" w:hAnsi="宋体" w:cs="宋体" w:eastAsia="宋体" w:hint="default"/>
                <w:sz w:val="24"/>
                <w:szCs w:val="24"/>
              </w:rPr>
            </w:pPr>
            <w:r>
              <w:rPr>
                <w:rFonts w:ascii="宋体" w:hAnsi="宋体" w:cs="宋体" w:eastAsia="宋体" w:hint="default"/>
                <w:b/>
                <w:bCs/>
                <w:w w:val="95"/>
                <w:sz w:val="24"/>
                <w:szCs w:val="24"/>
              </w:rPr>
              <w:t>投资性房地产</w:t>
            </w:r>
            <w:r>
              <w:rPr>
                <w:rFonts w:ascii="宋体" w:hAnsi="宋体" w:cs="宋体" w:eastAsia="宋体" w:hint="default"/>
                <w:sz w:val="24"/>
                <w:szCs w:val="24"/>
              </w:rPr>
            </w:r>
          </w:p>
        </w:tc>
        <w:tc>
          <w:tcPr>
            <w:tcW w:w="2424"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c>
          <w:tcPr>
            <w:tcW w:w="3293" w:type="dxa"/>
            <w:tcBorders>
              <w:top w:val="nil" w:sz="6" w:space="0" w:color="auto"/>
              <w:left w:val="nil" w:sz="6" w:space="0" w:color="auto"/>
              <w:bottom w:val="nil" w:sz="6" w:space="0" w:color="auto"/>
              <w:right w:val="nil" w:sz="6" w:space="0" w:color="auto"/>
            </w:tcBorders>
          </w:tcPr>
          <w:p>
            <w:pPr/>
          </w:p>
        </w:tc>
      </w:tr>
      <w:tr>
        <w:trPr>
          <w:trHeight w:val="1525" w:hRule="exact"/>
        </w:trPr>
        <w:tc>
          <w:tcPr>
            <w:tcW w:w="768" w:type="dxa"/>
            <w:tcBorders>
              <w:top w:val="nil" w:sz="6" w:space="0" w:color="auto"/>
              <w:left w:val="nil" w:sz="6" w:space="0" w:color="auto"/>
              <w:bottom w:val="nil" w:sz="6" w:space="0" w:color="auto"/>
              <w:right w:val="nil" w:sz="6" w:space="0" w:color="auto"/>
            </w:tcBorders>
          </w:tcPr>
          <w:p>
            <w:pPr/>
          </w:p>
        </w:tc>
        <w:tc>
          <w:tcPr>
            <w:tcW w:w="9478"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2"/>
              <w:ind w:left="140" w:right="199"/>
              <w:jc w:val="both"/>
              <w:rPr>
                <w:rFonts w:ascii="宋体" w:hAnsi="宋体" w:cs="宋体" w:eastAsia="宋体" w:hint="default"/>
                <w:sz w:val="24"/>
                <w:szCs w:val="24"/>
              </w:rPr>
            </w:pPr>
            <w:r>
              <w:rPr>
                <w:rFonts w:ascii="宋体" w:hAnsi="宋体" w:cs="宋体" w:eastAsia="宋体" w:hint="default"/>
                <w:sz w:val="24"/>
                <w:szCs w:val="24"/>
              </w:rPr>
              <w:t>投资性房地产包括已出租的土地使用权和以出租为目的的建筑物以及正在建造或开发过</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程中将来用于出租的建筑物，以成本进行初始计量。与投资性房地产有关的后续支出，</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在相关的经济利益很可能流入本集团且其成本能够可靠的计量时，计入投资性房地产成</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本；否则，于发生时计入当期损益。</w:t>
            </w:r>
          </w:p>
        </w:tc>
      </w:tr>
      <w:tr>
        <w:trPr>
          <w:trHeight w:val="900" w:hRule="exact"/>
        </w:trPr>
        <w:tc>
          <w:tcPr>
            <w:tcW w:w="768" w:type="dxa"/>
            <w:tcBorders>
              <w:top w:val="nil" w:sz="6" w:space="0" w:color="auto"/>
              <w:left w:val="nil" w:sz="6" w:space="0" w:color="auto"/>
              <w:bottom w:val="nil" w:sz="6" w:space="0" w:color="auto"/>
              <w:right w:val="nil" w:sz="6" w:space="0" w:color="auto"/>
            </w:tcBorders>
          </w:tcPr>
          <w:p>
            <w:pPr/>
          </w:p>
        </w:tc>
        <w:tc>
          <w:tcPr>
            <w:tcW w:w="9478"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left"/>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本集团采用成本模式对所有投资性房地产进行后续计量，按其预计使用寿命及净残值率</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对建筑物计提折旧。投资性房地产的预计使用寿命、净残值率及年折旧率列示如下：</w:t>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07" w:right="0"/>
              <w:jc w:val="left"/>
              <w:rPr>
                <w:rFonts w:ascii="宋体" w:hAnsi="宋体" w:cs="宋体" w:eastAsia="宋体" w:hint="default"/>
                <w:sz w:val="24"/>
                <w:szCs w:val="24"/>
              </w:rPr>
            </w:pPr>
            <w:r>
              <w:rPr>
                <w:rFonts w:ascii="宋体" w:hAnsi="宋体" w:cs="宋体" w:eastAsia="宋体" w:hint="default"/>
                <w:sz w:val="24"/>
                <w:szCs w:val="24"/>
              </w:rPr>
              <w:t>预计使用寿命</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7" w:right="0"/>
              <w:jc w:val="left"/>
              <w:rPr>
                <w:rFonts w:ascii="宋体" w:hAnsi="宋体" w:cs="宋体" w:eastAsia="宋体" w:hint="default"/>
                <w:sz w:val="24"/>
                <w:szCs w:val="24"/>
              </w:rPr>
            </w:pPr>
            <w:r>
              <w:rPr>
                <w:rFonts w:ascii="宋体" w:hAnsi="宋体" w:cs="宋体" w:eastAsia="宋体" w:hint="default"/>
                <w:sz w:val="24"/>
                <w:szCs w:val="24"/>
              </w:rPr>
              <w:t>预计净残值率</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76"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28" w:hRule="exact"/>
        </w:trPr>
        <w:tc>
          <w:tcPr>
            <w:tcW w:w="768"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07"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77" w:right="0"/>
              <w:jc w:val="left"/>
              <w:rPr>
                <w:rFonts w:ascii="Arial" w:hAnsi="Arial" w:cs="Arial" w:eastAsia="Arial" w:hint="default"/>
                <w:sz w:val="24"/>
                <w:szCs w:val="24"/>
              </w:rPr>
            </w:pPr>
            <w:r>
              <w:rPr>
                <w:rFonts w:ascii="Arial"/>
                <w:sz w:val="24"/>
              </w:rPr>
              <w:t>3%</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76" w:right="0"/>
              <w:jc w:val="left"/>
              <w:rPr>
                <w:rFonts w:ascii="Arial" w:hAnsi="Arial" w:cs="Arial" w:eastAsia="Arial" w:hint="default"/>
                <w:sz w:val="24"/>
                <w:szCs w:val="24"/>
              </w:rPr>
            </w:pPr>
            <w:r>
              <w:rPr>
                <w:rFonts w:ascii="Arial" w:hAnsi="Arial" w:cs="Arial" w:eastAsia="Arial" w:hint="default"/>
                <w:sz w:val="24"/>
                <w:szCs w:val="24"/>
              </w:rPr>
              <w:t>2.42%</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4.85%</w:t>
            </w:r>
          </w:p>
        </w:tc>
      </w:tr>
    </w:tbl>
    <w:p>
      <w:pPr>
        <w:spacing w:line="240" w:lineRule="auto" w:before="5"/>
        <w:rPr>
          <w:rFonts w:ascii="Times New Roman" w:hAnsi="Times New Roman" w:cs="Times New Roman" w:eastAsia="Times New Roman" w:hint="default"/>
          <w:sz w:val="17"/>
          <w:szCs w:val="17"/>
        </w:rPr>
      </w:pPr>
    </w:p>
    <w:p>
      <w:pPr>
        <w:pStyle w:val="BodyText"/>
        <w:spacing w:line="237" w:lineRule="auto" w:before="28"/>
        <w:ind w:left="1016" w:right="808"/>
        <w:jc w:val="both"/>
      </w:pPr>
      <w:r>
        <w:rPr>
          <w:spacing w:val="-3"/>
        </w:rPr>
        <w:t>投资性房地产的用途改变为自用时，自改变之日起，将该投资性房地产转换为固定资产。</w:t>
      </w:r>
      <w:r>
        <w:rPr>
          <w:spacing w:val="-105"/>
        </w:rPr>
        <w:t> </w:t>
      </w:r>
      <w:r>
        <w:rPr>
          <w:spacing w:val="-105"/>
        </w:rPr>
      </w:r>
      <w:r>
        <w:rPr>
          <w:spacing w:val="-3"/>
        </w:rPr>
        <w:t>自用房地产的用途改变为赚取租金时，自改变之日起，将固定资产转换为投资性房地产。</w:t>
      </w:r>
      <w:r>
        <w:rPr>
          <w:spacing w:val="-105"/>
        </w:rPr>
        <w:t> </w:t>
      </w:r>
      <w:r>
        <w:rPr>
          <w:spacing w:val="-105"/>
        </w:rPr>
      </w:r>
      <w:r>
        <w:rPr/>
        <w:t>发生转换时，以转换前的账面价值作为转换后的入账价值。</w:t>
      </w:r>
    </w:p>
    <w:p>
      <w:pPr>
        <w:spacing w:after="0" w:line="237" w:lineRule="auto"/>
        <w:jc w:val="both"/>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96"/>
      </w:tblGrid>
      <w:tr>
        <w:trPr>
          <w:trHeight w:val="4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96" w:type="dxa"/>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(14)</w:t>
            </w:r>
          </w:p>
        </w:tc>
        <w:tc>
          <w:tcPr>
            <w:tcW w:w="959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投资性房地产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894"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322"/>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对投资性房地产的预计使用寿命、预计净残值和折旧方法于每年年度终了进行复核并作</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适当调整。</w:t>
            </w:r>
          </w:p>
        </w:tc>
      </w:tr>
      <w:tr>
        <w:trPr>
          <w:trHeight w:val="1212"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321"/>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当投资性房地产被处置、或者永久退出使用且预计不能从其处置中取得经济利益时，终</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止确认该项投资性房地产。投资性房地产出售、转让、报废或毁损的处置收入扣除其账</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面价值和相关税费后计入当期损益。</w:t>
            </w:r>
          </w:p>
        </w:tc>
      </w:tr>
      <w:tr>
        <w:trPr>
          <w:trHeight w:val="903"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136" w:right="0"/>
              <w:jc w:val="left"/>
              <w:rPr>
                <w:rFonts w:ascii="宋体" w:hAnsi="宋体" w:cs="宋体" w:eastAsia="宋体" w:hint="default"/>
                <w:sz w:val="24"/>
                <w:szCs w:val="24"/>
              </w:rPr>
            </w:pPr>
            <w:r>
              <w:rPr>
                <w:rFonts w:ascii="宋体" w:hAnsi="宋体" w:cs="宋体" w:eastAsia="宋体" w:hint="default"/>
                <w:spacing w:val="4"/>
                <w:sz w:val="24"/>
                <w:szCs w:val="24"/>
              </w:rPr>
              <w:t>当投资性房地产的可收回金额低于其账面价值时，账面价值减记至可收回金额</w:t>
            </w:r>
            <w:r>
              <w:rPr>
                <w:rFonts w:ascii="Arial" w:hAnsi="Arial" w:cs="Arial" w:eastAsia="Arial" w:hint="default"/>
                <w:spacing w:val="4"/>
                <w:sz w:val="24"/>
                <w:szCs w:val="24"/>
              </w:rPr>
              <w:t>(</w:t>
            </w:r>
            <w:r>
              <w:rPr>
                <w:rFonts w:ascii="宋体" w:hAnsi="宋体" w:cs="宋体" w:eastAsia="宋体" w:hint="default"/>
                <w:spacing w:val="4"/>
                <w:sz w:val="24"/>
                <w:szCs w:val="24"/>
              </w:rPr>
              <w:t>附注二</w:t>
            </w:r>
            <w:r>
              <w:rPr>
                <w:rFonts w:ascii="宋体" w:hAnsi="宋体" w:cs="宋体" w:eastAsia="宋体" w:hint="default"/>
                <w:sz w:val="24"/>
                <w:szCs w:val="24"/>
              </w:rPr>
            </w:r>
          </w:p>
          <w:p>
            <w:pPr>
              <w:pStyle w:val="TableParagraph"/>
              <w:spacing w:line="322" w:lineRule="exact"/>
              <w:ind w:left="136" w:right="0"/>
              <w:jc w:val="left"/>
              <w:rPr>
                <w:rFonts w:ascii="宋体" w:hAnsi="宋体" w:cs="宋体" w:eastAsia="宋体" w:hint="default"/>
                <w:sz w:val="24"/>
                <w:szCs w:val="24"/>
              </w:rPr>
            </w:pPr>
            <w:r>
              <w:rPr>
                <w:rFonts w:ascii="Arial" w:hAnsi="Arial" w:cs="Arial" w:eastAsia="Arial" w:hint="default"/>
                <w:sz w:val="24"/>
                <w:szCs w:val="24"/>
              </w:rPr>
              <w:t>(20))</w:t>
            </w:r>
            <w:r>
              <w:rPr>
                <w:rFonts w:ascii="宋体" w:hAnsi="宋体" w:cs="宋体" w:eastAsia="宋体" w:hint="default"/>
                <w:sz w:val="24"/>
                <w:szCs w:val="24"/>
              </w:rPr>
              <w:t>。</w:t>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(15)</w:t>
            </w:r>
          </w:p>
        </w:tc>
        <w:tc>
          <w:tcPr>
            <w:tcW w:w="959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固定资产</w:t>
            </w:r>
            <w:r>
              <w:rPr>
                <w:rFonts w:ascii="宋体" w:hAnsi="宋体" w:cs="宋体" w:eastAsia="宋体"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59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固定资产确认及初始计量</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固定资产包括房屋及建筑物、机器设备、运输工具、电子设备以及其他设备等。</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pacing w:val="-3"/>
                <w:sz w:val="24"/>
                <w:szCs w:val="24"/>
              </w:rPr>
              <w:t>固定资产在与其有关的经济利益很可能流入本集团、且其成本能够可靠计量时予以确认。</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购置或新建的固定资产按取得时的成本进行初始计量。</w:t>
            </w: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959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321"/>
              <w:jc w:val="both"/>
              <w:rPr>
                <w:rFonts w:ascii="宋体" w:hAnsi="宋体" w:cs="宋体" w:eastAsia="宋体" w:hint="default"/>
                <w:sz w:val="24"/>
                <w:szCs w:val="24"/>
              </w:rPr>
            </w:pPr>
            <w:r>
              <w:rPr>
                <w:rFonts w:ascii="宋体" w:hAnsi="宋体" w:cs="宋体" w:eastAsia="宋体" w:hint="default"/>
                <w:sz w:val="24"/>
                <w:szCs w:val="24"/>
              </w:rPr>
              <w:t>与固定资产有关的后续支出，在与其有关的经济利益很可能流入本集团且其成本能够可</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靠计量时，计入固定资产成本；对于被替换的部分，终止确认其账面价值；所有其他后</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续支出于发生时计入当期损益。</w:t>
            </w:r>
          </w:p>
        </w:tc>
      </w:tr>
    </w:tbl>
    <w:p>
      <w:pPr>
        <w:spacing w:line="240" w:lineRule="auto" w:before="8"/>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01"/>
        <w:gridCol w:w="9555"/>
      </w:tblGrid>
      <w:tr>
        <w:trPr>
          <w:trHeight w:val="41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9555" w:type="dxa"/>
            <w:tcBorders>
              <w:top w:val="nil" w:sz="6" w:space="0" w:color="auto"/>
              <w:left w:val="nil" w:sz="6" w:space="0" w:color="auto"/>
              <w:bottom w:val="nil" w:sz="6" w:space="0" w:color="auto"/>
              <w:right w:val="nil" w:sz="6" w:space="0" w:color="auto"/>
            </w:tcBorders>
          </w:tcPr>
          <w:p>
            <w:pPr>
              <w:pStyle w:val="TableParagraph"/>
              <w:spacing w:line="245" w:lineRule="exact"/>
              <w:ind w:left="207"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r>
      <w:tr>
        <w:trPr>
          <w:trHeight w:val="1038" w:hRule="exact"/>
        </w:trPr>
        <w:tc>
          <w:tcPr>
            <w:tcW w:w="701" w:type="dxa"/>
            <w:tcBorders>
              <w:top w:val="nil" w:sz="6" w:space="0" w:color="auto"/>
              <w:left w:val="nil" w:sz="6" w:space="0" w:color="auto"/>
              <w:bottom w:val="nil" w:sz="6" w:space="0" w:color="auto"/>
              <w:right w:val="nil" w:sz="6" w:space="0" w:color="auto"/>
            </w:tcBorders>
          </w:tcPr>
          <w:p>
            <w:pPr/>
          </w:p>
        </w:tc>
        <w:tc>
          <w:tcPr>
            <w:tcW w:w="955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207" w:right="198"/>
              <w:jc w:val="both"/>
              <w:rPr>
                <w:rFonts w:ascii="宋体" w:hAnsi="宋体" w:cs="宋体" w:eastAsia="宋体" w:hint="default"/>
                <w:sz w:val="24"/>
                <w:szCs w:val="24"/>
              </w:rPr>
            </w:pPr>
            <w:r>
              <w:rPr>
                <w:rFonts w:ascii="宋体" w:hAnsi="宋体" w:cs="宋体" w:eastAsia="宋体" w:hint="default"/>
                <w:spacing w:val="7"/>
                <w:sz w:val="24"/>
                <w:szCs w:val="24"/>
              </w:rPr>
              <w:t>固定资产折旧采用年限平均法并按其入账价值减去预计净残值后在预计使用寿命内计 </w:t>
            </w:r>
            <w:r>
              <w:rPr>
                <w:rFonts w:ascii="宋体" w:hAnsi="宋体" w:cs="宋体" w:eastAsia="宋体" w:hint="default"/>
                <w:sz w:val="24"/>
                <w:szCs w:val="24"/>
              </w:rPr>
              <w:t>提。对计提了减值准备的固定资产，则在未来期间按扣除减值准备后的账面价值及依据</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尚可使用年限确定折旧额。</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2699"/>
        <w:gridCol w:w="2754"/>
        <w:gridCol w:w="1791"/>
        <w:gridCol w:w="2319"/>
      </w:tblGrid>
      <w:tr>
        <w:trPr>
          <w:trHeight w:val="4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5454" w:type="dxa"/>
            <w:gridSpan w:val="2"/>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791" w:type="dxa"/>
            <w:tcBorders>
              <w:top w:val="single" w:sz="6" w:space="0" w:color="000000"/>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(15)</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固定资产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75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固定资产的折旧方法</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r>
      <w:tr>
        <w:trPr>
          <w:trHeight w:val="582" w:hRule="exact"/>
        </w:trPr>
        <w:tc>
          <w:tcPr>
            <w:tcW w:w="1033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4"/>
              <w:ind w:left="908"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586"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22" w:right="0"/>
              <w:jc w:val="left"/>
              <w:rPr>
                <w:rFonts w:ascii="宋体" w:hAnsi="宋体" w:cs="宋体" w:eastAsia="宋体" w:hint="default"/>
                <w:sz w:val="24"/>
                <w:szCs w:val="24"/>
              </w:rPr>
            </w:pPr>
            <w:r>
              <w:rPr>
                <w:rFonts w:ascii="宋体" w:hAnsi="宋体" w:cs="宋体" w:eastAsia="宋体" w:hint="default"/>
                <w:sz w:val="24"/>
                <w:szCs w:val="24"/>
              </w:rPr>
              <w:t>预计使用寿命</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2" w:right="0"/>
              <w:jc w:val="left"/>
              <w:rPr>
                <w:rFonts w:ascii="宋体" w:hAnsi="宋体" w:cs="宋体" w:eastAsia="宋体" w:hint="default"/>
                <w:sz w:val="24"/>
                <w:szCs w:val="24"/>
              </w:rPr>
            </w:pPr>
            <w:r>
              <w:rPr>
                <w:rFonts w:ascii="宋体" w:hAnsi="宋体" w:cs="宋体" w:eastAsia="宋体" w:hint="default"/>
                <w:sz w:val="24"/>
                <w:szCs w:val="24"/>
              </w:rPr>
              <w:t>预计净残值率</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8"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22"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2" w:right="0"/>
              <w:jc w:val="left"/>
              <w:rPr>
                <w:rFonts w:ascii="Arial" w:hAnsi="Arial" w:cs="Arial" w:eastAsia="Arial" w:hint="default"/>
                <w:sz w:val="24"/>
                <w:szCs w:val="24"/>
              </w:rPr>
            </w:pPr>
            <w:r>
              <w:rPr>
                <w:rFonts w:ascii="Arial"/>
                <w:sz w:val="24"/>
              </w:rPr>
              <w:t>3%</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8" w:right="0"/>
              <w:jc w:val="left"/>
              <w:rPr>
                <w:rFonts w:ascii="Arial" w:hAnsi="Arial" w:cs="Arial" w:eastAsia="Arial" w:hint="default"/>
                <w:sz w:val="24"/>
                <w:szCs w:val="24"/>
              </w:rPr>
            </w:pPr>
            <w:r>
              <w:rPr>
                <w:rFonts w:ascii="Arial" w:hAnsi="Arial" w:cs="Arial" w:eastAsia="Arial" w:hint="default"/>
                <w:sz w:val="24"/>
                <w:szCs w:val="24"/>
              </w:rPr>
              <w:t>2.42%</w:t>
            </w:r>
            <w:r>
              <w:rPr>
                <w:rFonts w:ascii="宋体" w:hAnsi="宋体" w:cs="宋体" w:eastAsia="宋体" w:hint="default"/>
                <w:sz w:val="24"/>
                <w:szCs w:val="24"/>
              </w:rPr>
              <w:t>至</w:t>
            </w:r>
            <w:r>
              <w:rPr>
                <w:rFonts w:ascii="宋体" w:hAnsi="宋体" w:cs="宋体" w:eastAsia="宋体" w:hint="default"/>
                <w:spacing w:val="-64"/>
                <w:sz w:val="24"/>
                <w:szCs w:val="24"/>
              </w:rPr>
              <w:t> </w:t>
            </w:r>
            <w:r>
              <w:rPr>
                <w:rFonts w:ascii="Arial" w:hAnsi="Arial" w:cs="Arial" w:eastAsia="Arial" w:hint="default"/>
                <w:sz w:val="24"/>
                <w:szCs w:val="24"/>
              </w:rPr>
              <w:t>4.85%</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319"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9.70%</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319"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19.40%</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319" w:type="dxa"/>
            <w:tcBorders>
              <w:top w:val="nil" w:sz="6" w:space="0" w:color="auto"/>
              <w:left w:val="nil" w:sz="6" w:space="0" w:color="auto"/>
              <w:bottom w:val="nil" w:sz="6" w:space="0" w:color="auto"/>
              <w:right w:val="nil" w:sz="6" w:space="0" w:color="auto"/>
            </w:tcBorders>
          </w:tcPr>
          <w:p>
            <w:pPr>
              <w:pStyle w:val="TableParagraph"/>
              <w:spacing w:line="290" w:lineRule="exact"/>
              <w:ind w:left="158" w:right="0"/>
              <w:jc w:val="lef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5"/>
                <w:sz w:val="24"/>
                <w:szCs w:val="24"/>
              </w:rPr>
              <w:t> </w:t>
            </w:r>
            <w:r>
              <w:rPr>
                <w:rFonts w:ascii="Arial" w:hAnsi="Arial" w:cs="Arial" w:eastAsia="Arial" w:hint="default"/>
                <w:sz w:val="24"/>
                <w:szCs w:val="24"/>
              </w:rPr>
              <w:t>32.33%</w:t>
            </w:r>
          </w:p>
        </w:tc>
      </w:tr>
      <w:tr>
        <w:trPr>
          <w:trHeight w:val="453" w:hRule="exact"/>
        </w:trPr>
        <w:tc>
          <w:tcPr>
            <w:tcW w:w="772"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319"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19.40%</w:t>
            </w:r>
          </w:p>
        </w:tc>
      </w:tr>
      <w:tr>
        <w:trPr>
          <w:trHeight w:val="892" w:hRule="exact"/>
        </w:trPr>
        <w:tc>
          <w:tcPr>
            <w:tcW w:w="10336"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24"/>
              <w:ind w:left="908" w:right="287"/>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对固定资产的预计使用寿命、预计净残值和折旧方法于每年年度终了进行复核并作适当</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调整。</w:t>
            </w: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956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当固定资产的可收回金额低于其账面价值时，账面价值减记至可收回金额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(20))</w:t>
            </w:r>
            <w:r>
              <w:rPr>
                <w:rFonts w:ascii="宋体" w:hAnsi="宋体" w:cs="宋体" w:eastAsia="宋体" w:hint="default"/>
                <w:sz w:val="24"/>
                <w:szCs w:val="24"/>
              </w:rPr>
              <w:t>。</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(d)</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固定资产的处置</w:t>
            </w:r>
          </w:p>
        </w:tc>
        <w:tc>
          <w:tcPr>
            <w:tcW w:w="275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956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91"/>
              <w:jc w:val="both"/>
              <w:rPr>
                <w:rFonts w:ascii="宋体" w:hAnsi="宋体" w:cs="宋体" w:eastAsia="宋体" w:hint="default"/>
                <w:sz w:val="24"/>
                <w:szCs w:val="24"/>
              </w:rPr>
            </w:pPr>
            <w:r>
              <w:rPr>
                <w:rFonts w:ascii="宋体" w:hAnsi="宋体" w:cs="宋体" w:eastAsia="宋体" w:hint="default"/>
                <w:sz w:val="24"/>
                <w:szCs w:val="24"/>
              </w:rPr>
              <w:t>当固定资产被处置、或者预期通过使用或处置不能产生经济利益时，终止确认该固定资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产。固定资产出售、转让、报废或毁损的处置收入扣除其账面价值和相关税费后的金额</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计入当期损益。</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2"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(16)</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在建工程</w:t>
            </w:r>
            <w:r>
              <w:rPr>
                <w:rFonts w:ascii="宋体" w:hAnsi="宋体" w:cs="宋体" w:eastAsia="宋体" w:hint="default"/>
                <w:sz w:val="24"/>
                <w:szCs w:val="24"/>
              </w:rPr>
            </w:r>
          </w:p>
        </w:tc>
      </w:tr>
      <w:tr>
        <w:trPr>
          <w:trHeight w:val="1362"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198"/>
              <w:jc w:val="both"/>
              <w:rPr>
                <w:rFonts w:ascii="宋体" w:hAnsi="宋体" w:cs="宋体" w:eastAsia="宋体" w:hint="default"/>
                <w:sz w:val="24"/>
                <w:szCs w:val="24"/>
              </w:rPr>
            </w:pPr>
            <w:r>
              <w:rPr>
                <w:rFonts w:ascii="宋体" w:hAnsi="宋体" w:cs="宋体" w:eastAsia="宋体" w:hint="default"/>
                <w:sz w:val="24"/>
                <w:szCs w:val="24"/>
              </w:rPr>
              <w:t>在建工程按实际发生的成本计量。实际成本包括建筑成本、安装成本、符合资本化条件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的借款费用以及其他为使在建工程达到预定可使用状态所发生的必要支出。在建工程在</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达到预定可使用状态时，转入固定资产并自次月起开始计提折旧。当在建工程的可收回</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金额低于其账面价值时，账面价值减记至可收回金额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(20))</w:t>
            </w:r>
            <w:r>
              <w:rPr>
                <w:rFonts w:ascii="宋体" w:hAnsi="宋体" w:cs="宋体" w:eastAsia="宋体" w:hint="default"/>
                <w:sz w:val="24"/>
                <w:szCs w:val="24"/>
              </w:rPr>
              <w:t>。</w:t>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68"/>
        <w:gridCol w:w="9482"/>
      </w:tblGrid>
      <w:tr>
        <w:trPr>
          <w:trHeight w:val="41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(17)</w:t>
            </w:r>
          </w:p>
        </w:tc>
        <w:tc>
          <w:tcPr>
            <w:tcW w:w="9482" w:type="dxa"/>
            <w:tcBorders>
              <w:top w:val="nil" w:sz="6" w:space="0" w:color="auto"/>
              <w:left w:val="nil" w:sz="6" w:space="0" w:color="auto"/>
              <w:bottom w:val="nil" w:sz="6" w:space="0" w:color="auto"/>
              <w:right w:val="nil" w:sz="6" w:space="0" w:color="auto"/>
            </w:tcBorders>
          </w:tcPr>
          <w:p>
            <w:pPr>
              <w:pStyle w:val="TableParagraph"/>
              <w:spacing w:line="245" w:lineRule="exact"/>
              <w:ind w:left="140" w:right="0"/>
              <w:jc w:val="left"/>
              <w:rPr>
                <w:rFonts w:ascii="宋体" w:hAnsi="宋体" w:cs="宋体" w:eastAsia="宋体" w:hint="default"/>
                <w:sz w:val="24"/>
                <w:szCs w:val="24"/>
              </w:rPr>
            </w:pPr>
            <w:r>
              <w:rPr>
                <w:rFonts w:ascii="宋体" w:hAnsi="宋体" w:cs="宋体" w:eastAsia="宋体" w:hint="default"/>
                <w:b/>
                <w:bCs/>
                <w:sz w:val="24"/>
                <w:szCs w:val="24"/>
              </w:rPr>
              <w:t>借款费用</w:t>
            </w:r>
            <w:r>
              <w:rPr>
                <w:rFonts w:ascii="宋体" w:hAnsi="宋体" w:cs="宋体" w:eastAsia="宋体" w:hint="default"/>
                <w:sz w:val="24"/>
                <w:szCs w:val="24"/>
              </w:rPr>
            </w:r>
          </w:p>
        </w:tc>
      </w:tr>
      <w:tr>
        <w:trPr>
          <w:trHeight w:val="2146"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0"/>
              <w:jc w:val="both"/>
              <w:rPr>
                <w:rFonts w:ascii="宋体" w:hAnsi="宋体" w:cs="宋体" w:eastAsia="宋体" w:hint="default"/>
                <w:sz w:val="24"/>
                <w:szCs w:val="24"/>
              </w:rPr>
            </w:pPr>
            <w:r>
              <w:rPr>
                <w:rFonts w:ascii="宋体" w:hAnsi="宋体" w:cs="宋体" w:eastAsia="宋体" w:hint="default"/>
                <w:sz w:val="24"/>
                <w:szCs w:val="24"/>
              </w:rPr>
              <w:t>发生的可直接归属于需要经过相当长时间的购建活动才能达到预定可使用状态之固定资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产的购建的借款费用，在资产支出及借款费用已经发生、为使资产达到预定可使用状态</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所必要的购建活动已经开始时，开始资本化并计入该资产的成本。当购建的资产达到预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定可使用状态时停止资本化，其后发生的借款费用计入当期损益。如果资产的购建活动</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发生非正常中断，并且中断时间连续超过</w:t>
            </w:r>
            <w:r>
              <w:rPr>
                <w:rFonts w:ascii="宋体" w:hAnsi="宋体" w:cs="宋体" w:eastAsia="宋体" w:hint="default"/>
                <w:spacing w:val="-58"/>
                <w:sz w:val="24"/>
                <w:szCs w:val="24"/>
              </w:rPr>
              <w:t> </w:t>
            </w:r>
            <w:r>
              <w:rPr>
                <w:rFonts w:ascii="Arial" w:hAnsi="Arial" w:cs="Arial" w:eastAsia="Arial" w:hint="default"/>
                <w:sz w:val="24"/>
                <w:szCs w:val="24"/>
              </w:rPr>
              <w:t>3</w:t>
            </w:r>
            <w:r>
              <w:rPr>
                <w:rFonts w:ascii="Arial" w:hAnsi="Arial" w:cs="Arial" w:eastAsia="Arial" w:hint="default"/>
                <w:spacing w:val="-3"/>
                <w:sz w:val="24"/>
                <w:szCs w:val="24"/>
              </w:rPr>
              <w:t> </w:t>
            </w:r>
            <w:r>
              <w:rPr>
                <w:rFonts w:ascii="宋体" w:hAnsi="宋体" w:cs="宋体" w:eastAsia="宋体" w:hint="default"/>
                <w:sz w:val="24"/>
                <w:szCs w:val="24"/>
              </w:rPr>
              <w:t>个月，暂停借款费用的资本化，直至资产的 购建活动重新开始。</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(18)</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b/>
                <w:bCs/>
                <w:sz w:val="24"/>
                <w:szCs w:val="24"/>
              </w:rPr>
              <w:t>无形资产</w:t>
            </w:r>
            <w:r>
              <w:rPr>
                <w:rFonts w:ascii="宋体" w:hAnsi="宋体" w:cs="宋体" w:eastAsia="宋体" w:hint="default"/>
                <w:sz w:val="24"/>
                <w:szCs w:val="24"/>
              </w:rPr>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无形资产包括土地使用权、软件及优惠承租权等。</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土地使用权</w:t>
            </w:r>
          </w:p>
        </w:tc>
      </w:tr>
      <w:tr>
        <w:trPr>
          <w:trHeight w:val="897"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left"/>
              <w:rPr>
                <w:rFonts w:ascii="宋体" w:hAnsi="宋体" w:cs="宋体" w:eastAsia="宋体" w:hint="default"/>
                <w:sz w:val="24"/>
                <w:szCs w:val="24"/>
              </w:rPr>
            </w:pPr>
            <w:r>
              <w:rPr>
                <w:rFonts w:ascii="宋体" w:hAnsi="宋体" w:cs="宋体" w:eastAsia="宋体" w:hint="default"/>
                <w:sz w:val="24"/>
                <w:szCs w:val="24"/>
              </w:rPr>
              <w:t>土地使用权按使用年限</w:t>
            </w:r>
            <w:r>
              <w:rPr>
                <w:rFonts w:ascii="宋体" w:hAnsi="宋体" w:cs="宋体" w:eastAsia="宋体" w:hint="default"/>
                <w:spacing w:val="-59"/>
                <w:sz w:val="24"/>
                <w:szCs w:val="24"/>
              </w:rPr>
              <w:t> </w:t>
            </w:r>
            <w:r>
              <w:rPr>
                <w:rFonts w:ascii="Arial" w:hAnsi="Arial" w:cs="Arial" w:eastAsia="Arial" w:hint="default"/>
                <w:sz w:val="24"/>
                <w:szCs w:val="24"/>
              </w:rPr>
              <w:t>40</w:t>
            </w:r>
            <w:r>
              <w:rPr>
                <w:rFonts w:ascii="Arial" w:hAnsi="Arial" w:cs="Arial" w:eastAsia="Arial" w:hint="default"/>
                <w:spacing w:val="48"/>
                <w:sz w:val="24"/>
                <w:szCs w:val="24"/>
              </w:rPr>
              <w:t> </w:t>
            </w:r>
            <w:r>
              <w:rPr>
                <w:rFonts w:ascii="宋体" w:hAnsi="宋体" w:cs="宋体" w:eastAsia="宋体" w:hint="default"/>
                <w:sz w:val="24"/>
                <w:szCs w:val="24"/>
              </w:rPr>
              <w:t>至</w:t>
            </w:r>
            <w:r>
              <w:rPr>
                <w:rFonts w:ascii="宋体" w:hAnsi="宋体" w:cs="宋体" w:eastAsia="宋体" w:hint="default"/>
                <w:spacing w:val="-59"/>
                <w:sz w:val="24"/>
                <w:szCs w:val="24"/>
              </w:rPr>
              <w:t> </w:t>
            </w:r>
            <w:r>
              <w:rPr>
                <w:rFonts w:ascii="Arial" w:hAnsi="Arial" w:cs="Arial" w:eastAsia="Arial" w:hint="default"/>
                <w:sz w:val="24"/>
                <w:szCs w:val="24"/>
              </w:rPr>
              <w:t>50</w:t>
            </w:r>
            <w:r>
              <w:rPr>
                <w:rFonts w:ascii="Arial" w:hAnsi="Arial" w:cs="Arial" w:eastAsia="Arial" w:hint="default"/>
                <w:spacing w:val="-5"/>
                <w:sz w:val="24"/>
                <w:szCs w:val="24"/>
              </w:rPr>
              <w:t> </w:t>
            </w:r>
            <w:r>
              <w:rPr>
                <w:rFonts w:ascii="宋体" w:hAnsi="宋体" w:cs="宋体" w:eastAsia="宋体" w:hint="default"/>
                <w:spacing w:val="-4"/>
                <w:sz w:val="24"/>
                <w:szCs w:val="24"/>
              </w:rPr>
              <w:t>年平均摊销。外购土地及建筑物的价款难以在土地使用</w:t>
            </w:r>
            <w:r>
              <w:rPr>
                <w:rFonts w:ascii="宋体" w:hAnsi="宋体" w:cs="宋体" w:eastAsia="宋体" w:hint="default"/>
                <w:sz w:val="24"/>
                <w:szCs w:val="24"/>
              </w:rPr>
              <w:t> 权与建筑物之间合理分配的，全部作为固定资产。</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软件</w:t>
            </w:r>
          </w:p>
        </w:tc>
      </w:tr>
      <w:tr>
        <w:trPr>
          <w:trHeight w:val="592"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0" w:right="0"/>
              <w:jc w:val="left"/>
              <w:rPr>
                <w:rFonts w:ascii="宋体" w:hAnsi="宋体" w:cs="宋体" w:eastAsia="宋体" w:hint="default"/>
                <w:sz w:val="24"/>
                <w:szCs w:val="24"/>
              </w:rPr>
            </w:pPr>
            <w:r>
              <w:rPr>
                <w:rFonts w:ascii="宋体" w:hAnsi="宋体" w:cs="宋体" w:eastAsia="宋体" w:hint="default"/>
                <w:sz w:val="24"/>
                <w:szCs w:val="24"/>
              </w:rPr>
              <w:t>软件以实际成本计量，按预计使用年限</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年平均摊销。</w:t>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(c)</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0" w:right="0"/>
              <w:jc w:val="left"/>
              <w:rPr>
                <w:rFonts w:ascii="宋体" w:hAnsi="宋体" w:cs="宋体" w:eastAsia="宋体" w:hint="default"/>
                <w:sz w:val="24"/>
                <w:szCs w:val="24"/>
              </w:rPr>
            </w:pPr>
            <w:r>
              <w:rPr>
                <w:rFonts w:ascii="宋体" w:hAnsi="宋体" w:cs="宋体" w:eastAsia="宋体" w:hint="default"/>
                <w:sz w:val="24"/>
                <w:szCs w:val="24"/>
              </w:rPr>
              <w:t>优惠承租权</w:t>
            </w:r>
          </w:p>
        </w:tc>
      </w:tr>
      <w:tr>
        <w:trPr>
          <w:trHeight w:val="726" w:hRule="exact"/>
        </w:trPr>
        <w:tc>
          <w:tcPr>
            <w:tcW w:w="76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4"/>
              <w:jc w:val="left"/>
              <w:rPr>
                <w:rFonts w:ascii="宋体" w:hAnsi="宋体" w:cs="宋体" w:eastAsia="宋体" w:hint="default"/>
                <w:sz w:val="24"/>
                <w:szCs w:val="24"/>
              </w:rPr>
            </w:pPr>
            <w:r>
              <w:rPr>
                <w:rFonts w:ascii="宋体" w:hAnsi="宋体" w:cs="宋体" w:eastAsia="宋体" w:hint="default"/>
                <w:sz w:val="24"/>
                <w:szCs w:val="24"/>
              </w:rPr>
              <w:t>优惠承租权是在业务合并过程中确认的无形资产，系本集团由于承接低于市场价格的租</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约而支付的对价。优惠承租权以公允价值入账，并按其预计受益期间分期平均摊销。</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5"/>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5"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(18)</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(d)</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商标</w:t>
            </w:r>
          </w:p>
        </w:tc>
      </w:tr>
      <w:tr>
        <w:trPr>
          <w:trHeight w:val="898"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left"/>
              <w:rPr>
                <w:rFonts w:ascii="宋体" w:hAnsi="宋体" w:cs="宋体" w:eastAsia="宋体" w:hint="default"/>
                <w:sz w:val="24"/>
                <w:szCs w:val="24"/>
              </w:rPr>
            </w:pPr>
            <w:r>
              <w:rPr>
                <w:rFonts w:ascii="宋体" w:hAnsi="宋体" w:cs="宋体" w:eastAsia="宋体" w:hint="default"/>
                <w:sz w:val="24"/>
                <w:szCs w:val="24"/>
              </w:rPr>
              <w:t>商标是在业务合并过程中确认的无形资产。商标以公允价值入账，并按其预计受益期间</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分期平均分摊。</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(e)</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定期复核使用寿命和摊销方法</w:t>
            </w:r>
          </w:p>
        </w:tc>
      </w:tr>
      <w:tr>
        <w:trPr>
          <w:trHeight w:val="726"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0"/>
              <w:jc w:val="left"/>
              <w:rPr>
                <w:rFonts w:ascii="宋体" w:hAnsi="宋体" w:cs="宋体" w:eastAsia="宋体" w:hint="default"/>
                <w:sz w:val="24"/>
                <w:szCs w:val="24"/>
              </w:rPr>
            </w:pPr>
            <w:r>
              <w:rPr>
                <w:rFonts w:ascii="宋体" w:hAnsi="宋体" w:cs="宋体" w:eastAsia="宋体" w:hint="default"/>
                <w:sz w:val="24"/>
                <w:szCs w:val="24"/>
              </w:rPr>
              <w:t>对使用寿命有限的无形资产的预计使用寿命及摊销方法于每年年度终了进行复核并作适</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当调整。</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00"/>
        <w:gridCol w:w="9636"/>
      </w:tblGrid>
      <w:tr>
        <w:trPr>
          <w:trHeight w:val="419"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right="68"/>
              <w:jc w:val="center"/>
              <w:rPr>
                <w:rFonts w:ascii="Arial" w:hAnsi="Arial" w:cs="Arial" w:eastAsia="Arial" w:hint="default"/>
                <w:sz w:val="24"/>
                <w:szCs w:val="24"/>
              </w:rPr>
            </w:pPr>
            <w:r>
              <w:rPr>
                <w:rFonts w:ascii="Arial"/>
                <w:sz w:val="24"/>
              </w:rPr>
              <w:t>(f)</w:t>
            </w:r>
          </w:p>
        </w:tc>
        <w:tc>
          <w:tcPr>
            <w:tcW w:w="9636" w:type="dxa"/>
            <w:tcBorders>
              <w:top w:val="nil" w:sz="6" w:space="0" w:color="auto"/>
              <w:left w:val="nil" w:sz="6" w:space="0" w:color="auto"/>
              <w:bottom w:val="nil" w:sz="6" w:space="0" w:color="auto"/>
              <w:right w:val="nil" w:sz="6" w:space="0" w:color="auto"/>
            </w:tcBorders>
          </w:tcPr>
          <w:p>
            <w:pPr>
              <w:pStyle w:val="TableParagraph"/>
              <w:spacing w:line="245" w:lineRule="exact"/>
              <w:ind w:left="208" w:right="0"/>
              <w:jc w:val="left"/>
              <w:rPr>
                <w:rFonts w:ascii="宋体" w:hAnsi="宋体" w:cs="宋体" w:eastAsia="宋体" w:hint="default"/>
                <w:sz w:val="24"/>
                <w:szCs w:val="24"/>
              </w:rPr>
            </w:pPr>
            <w:r>
              <w:rPr>
                <w:rFonts w:ascii="宋体" w:hAnsi="宋体" w:cs="宋体" w:eastAsia="宋体" w:hint="default"/>
                <w:sz w:val="24"/>
                <w:szCs w:val="24"/>
              </w:rPr>
              <w:t>研究与开发</w:t>
            </w:r>
          </w:p>
        </w:tc>
      </w:tr>
      <w:tr>
        <w:trPr>
          <w:trHeight w:val="900" w:hRule="exact"/>
        </w:trPr>
        <w:tc>
          <w:tcPr>
            <w:tcW w:w="700" w:type="dxa"/>
            <w:tcBorders>
              <w:top w:val="nil" w:sz="6" w:space="0" w:color="auto"/>
              <w:left w:val="nil" w:sz="6" w:space="0" w:color="auto"/>
              <w:bottom w:val="nil" w:sz="6" w:space="0" w:color="auto"/>
              <w:right w:val="nil" w:sz="6" w:space="0" w:color="auto"/>
            </w:tcBorders>
          </w:tcPr>
          <w:p>
            <w:pPr/>
          </w:p>
        </w:tc>
        <w:tc>
          <w:tcPr>
            <w:tcW w:w="963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8" w:right="287"/>
              <w:jc w:val="left"/>
              <w:rPr>
                <w:rFonts w:ascii="宋体" w:hAnsi="宋体" w:cs="宋体" w:eastAsia="宋体" w:hint="default"/>
                <w:sz w:val="24"/>
                <w:szCs w:val="24"/>
              </w:rPr>
            </w:pPr>
            <w:r>
              <w:rPr>
                <w:rFonts w:ascii="宋体" w:hAnsi="宋体" w:cs="宋体" w:eastAsia="宋体" w:hint="default"/>
                <w:sz w:val="24"/>
                <w:szCs w:val="24"/>
              </w:rPr>
              <w:t>本集团开展系统软件的研究与开发。内部研究开发项目支出根据其性质以及研发活动最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终形成无形资产是否具有较大不确定性，被分为研究阶段支出和开发阶段支出。</w:t>
            </w:r>
          </w:p>
        </w:tc>
      </w:tr>
      <w:tr>
        <w:trPr>
          <w:trHeight w:val="4258" w:hRule="exact"/>
        </w:trPr>
        <w:tc>
          <w:tcPr>
            <w:tcW w:w="700" w:type="dxa"/>
            <w:tcBorders>
              <w:top w:val="nil" w:sz="6" w:space="0" w:color="auto"/>
              <w:left w:val="nil" w:sz="6" w:space="0" w:color="auto"/>
              <w:bottom w:val="nil" w:sz="6" w:space="0" w:color="auto"/>
              <w:right w:val="nil" w:sz="6" w:space="0" w:color="auto"/>
            </w:tcBorders>
          </w:tcPr>
          <w:p>
            <w:pPr/>
          </w:p>
        </w:tc>
        <w:tc>
          <w:tcPr>
            <w:tcW w:w="963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08" w:right="286"/>
              <w:jc w:val="both"/>
              <w:rPr>
                <w:rFonts w:ascii="宋体" w:hAnsi="宋体" w:cs="宋体" w:eastAsia="宋体" w:hint="default"/>
                <w:sz w:val="24"/>
                <w:szCs w:val="24"/>
              </w:rPr>
            </w:pPr>
            <w:r>
              <w:rPr>
                <w:rFonts w:ascii="宋体" w:hAnsi="宋体" w:cs="宋体" w:eastAsia="宋体" w:hint="default"/>
                <w:sz w:val="24"/>
                <w:szCs w:val="24"/>
              </w:rPr>
              <w:t>研究阶段的支出，于发生时计入当期损益；开发阶段的支出，同时满足下列条件的，予</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以资本化：</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3" w:lineRule="exact"/>
              <w:ind w:left="242" w:right="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3"/>
                <w:sz w:val="24"/>
                <w:szCs w:val="24"/>
              </w:rPr>
              <w:t></w:t>
            </w:r>
            <w:r>
              <w:rPr>
                <w:rFonts w:ascii="Times New Roman" w:hAnsi="Times New Roman" w:cs="Times New Roman" w:eastAsia="Times New Roman" w:hint="default"/>
                <w:spacing w:val="53"/>
                <w:sz w:val="24"/>
                <w:szCs w:val="24"/>
              </w:rPr>
            </w:r>
            <w:r>
              <w:rPr>
                <w:rFonts w:ascii="宋体" w:hAnsi="宋体" w:cs="宋体" w:eastAsia="宋体" w:hint="default"/>
                <w:sz w:val="24"/>
                <w:szCs w:val="24"/>
              </w:rPr>
              <w:t>完成该无形资产以使其能够使用或出售在技术上具有可行性；</w:t>
            </w:r>
          </w:p>
          <w:p>
            <w:pPr>
              <w:pStyle w:val="TableParagraph"/>
              <w:spacing w:line="312" w:lineRule="exact"/>
              <w:ind w:left="242" w:right="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3"/>
                <w:sz w:val="24"/>
                <w:szCs w:val="24"/>
              </w:rPr>
              <w:t></w:t>
            </w:r>
            <w:r>
              <w:rPr>
                <w:rFonts w:ascii="Times New Roman" w:hAnsi="Times New Roman" w:cs="Times New Roman" w:eastAsia="Times New Roman" w:hint="default"/>
                <w:spacing w:val="53"/>
                <w:sz w:val="24"/>
                <w:szCs w:val="24"/>
              </w:rPr>
            </w:r>
            <w:r>
              <w:rPr>
                <w:rFonts w:ascii="宋体" w:hAnsi="宋体" w:cs="宋体" w:eastAsia="宋体" w:hint="default"/>
                <w:sz w:val="24"/>
                <w:szCs w:val="24"/>
              </w:rPr>
              <w:t>管理层具有完成该无形资产并使用或出售的意图；</w:t>
            </w:r>
          </w:p>
          <w:p>
            <w:pPr>
              <w:pStyle w:val="TableParagraph"/>
              <w:spacing w:line="312" w:lineRule="exact"/>
              <w:ind w:left="242" w:right="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3"/>
                <w:sz w:val="24"/>
                <w:szCs w:val="24"/>
              </w:rPr>
              <w:t></w:t>
            </w:r>
            <w:r>
              <w:rPr>
                <w:rFonts w:ascii="Times New Roman" w:hAnsi="Times New Roman" w:cs="Times New Roman" w:eastAsia="Times New Roman" w:hint="default"/>
                <w:spacing w:val="53"/>
                <w:sz w:val="24"/>
                <w:szCs w:val="24"/>
              </w:rPr>
            </w:r>
            <w:r>
              <w:rPr>
                <w:rFonts w:ascii="宋体" w:hAnsi="宋体" w:cs="宋体" w:eastAsia="宋体" w:hint="default"/>
                <w:sz w:val="24"/>
                <w:szCs w:val="24"/>
              </w:rPr>
              <w:t>能够证明该无形资产将如何产生经济利益；</w:t>
            </w:r>
          </w:p>
          <w:p>
            <w:pPr>
              <w:pStyle w:val="TableParagraph"/>
              <w:spacing w:line="312" w:lineRule="exact" w:before="20"/>
              <w:ind w:left="525" w:right="287"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有足够的技术、财务资源和其他资源支持，以完成该无形资产的开发，并有能力使用</w:t>
            </w:r>
            <w:r>
              <w:rPr>
                <w:rFonts w:ascii="宋体" w:hAnsi="宋体" w:cs="宋体" w:eastAsia="宋体" w:hint="default"/>
                <w:w w:val="100"/>
                <w:sz w:val="24"/>
                <w:szCs w:val="24"/>
              </w:rPr>
              <w:t> </w:t>
            </w:r>
            <w:r>
              <w:rPr>
                <w:rFonts w:ascii="宋体" w:hAnsi="宋体" w:cs="宋体" w:eastAsia="宋体" w:hint="default"/>
                <w:sz w:val="24"/>
                <w:szCs w:val="24"/>
              </w:rPr>
              <w:t>或出售该无形资产；</w:t>
            </w:r>
          </w:p>
          <w:p>
            <w:pPr>
              <w:pStyle w:val="TableParagraph"/>
              <w:spacing w:line="302" w:lineRule="exact"/>
              <w:ind w:left="242" w:right="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归属于该无形资产开发阶段的支出能够可靠地计量。</w:t>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208" w:right="287"/>
              <w:jc w:val="both"/>
              <w:rPr>
                <w:rFonts w:ascii="宋体" w:hAnsi="宋体" w:cs="宋体" w:eastAsia="宋体" w:hint="default"/>
                <w:sz w:val="24"/>
                <w:szCs w:val="24"/>
              </w:rPr>
            </w:pPr>
            <w:r>
              <w:rPr>
                <w:rFonts w:ascii="宋体" w:hAnsi="宋体" w:cs="宋体" w:eastAsia="宋体" w:hint="default"/>
                <w:sz w:val="24"/>
                <w:szCs w:val="24"/>
              </w:rPr>
              <w:t>不满足上述条件的开发阶段的支出，于发生时计入当期损益。以前期间已计入损益的开</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发支出不在以后期间重新确认为资产。已资本化的开发阶段的支出在资产负债表上列示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为开发支出，自该项目达到预定可使用状态之日起转为无形资产。</w:t>
            </w:r>
          </w:p>
        </w:tc>
      </w:tr>
      <w:tr>
        <w:trPr>
          <w:trHeight w:val="59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6"/>
              <w:jc w:val="center"/>
              <w:rPr>
                <w:rFonts w:ascii="Arial" w:hAnsi="Arial" w:cs="Arial" w:eastAsia="Arial" w:hint="default"/>
                <w:sz w:val="24"/>
                <w:szCs w:val="24"/>
              </w:rPr>
            </w:pPr>
            <w:r>
              <w:rPr>
                <w:rFonts w:ascii="Arial"/>
                <w:sz w:val="24"/>
              </w:rPr>
              <w:t>(g)</w:t>
            </w:r>
          </w:p>
        </w:tc>
        <w:tc>
          <w:tcPr>
            <w:tcW w:w="96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8" w:right="0"/>
              <w:jc w:val="left"/>
              <w:rPr>
                <w:rFonts w:ascii="宋体" w:hAnsi="宋体" w:cs="宋体" w:eastAsia="宋体" w:hint="default"/>
                <w:sz w:val="24"/>
                <w:szCs w:val="24"/>
              </w:rPr>
            </w:pPr>
            <w:r>
              <w:rPr>
                <w:rFonts w:ascii="宋体" w:hAnsi="宋体" w:cs="宋体" w:eastAsia="宋体" w:hint="default"/>
                <w:sz w:val="24"/>
                <w:szCs w:val="24"/>
              </w:rPr>
              <w:t>无形资产减值</w:t>
            </w:r>
          </w:p>
        </w:tc>
      </w:tr>
      <w:tr>
        <w:trPr>
          <w:trHeight w:val="426" w:hRule="exact"/>
        </w:trPr>
        <w:tc>
          <w:tcPr>
            <w:tcW w:w="700" w:type="dxa"/>
            <w:tcBorders>
              <w:top w:val="nil" w:sz="6" w:space="0" w:color="auto"/>
              <w:left w:val="nil" w:sz="6" w:space="0" w:color="auto"/>
              <w:bottom w:val="nil" w:sz="6" w:space="0" w:color="auto"/>
              <w:right w:val="nil" w:sz="6" w:space="0" w:color="auto"/>
            </w:tcBorders>
          </w:tcPr>
          <w:p>
            <w:pPr/>
          </w:p>
        </w:tc>
        <w:tc>
          <w:tcPr>
            <w:tcW w:w="963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8" w:right="0"/>
              <w:jc w:val="left"/>
              <w:rPr>
                <w:rFonts w:ascii="宋体" w:hAnsi="宋体" w:cs="宋体" w:eastAsia="宋体" w:hint="default"/>
                <w:sz w:val="24"/>
                <w:szCs w:val="24"/>
              </w:rPr>
            </w:pPr>
            <w:r>
              <w:rPr>
                <w:rFonts w:ascii="宋体" w:hAnsi="宋体" w:cs="宋体" w:eastAsia="宋体" w:hint="default"/>
                <w:sz w:val="24"/>
                <w:szCs w:val="24"/>
              </w:rPr>
              <w:t>当无形资产的可收回金额低于其账面价值时，账面价值减记至可收回金额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(20))</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5"/>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9475"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(19)</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长期待摊费用</w:t>
            </w:r>
            <w:r>
              <w:rPr>
                <w:rFonts w:ascii="宋体" w:hAnsi="宋体" w:cs="宋体" w:eastAsia="宋体" w:hint="default"/>
                <w:sz w:val="24"/>
                <w:szCs w:val="24"/>
              </w:rPr>
            </w:r>
          </w:p>
        </w:tc>
      </w:tr>
      <w:tr>
        <w:trPr>
          <w:trHeight w:val="1039"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198"/>
              <w:jc w:val="both"/>
              <w:rPr>
                <w:rFonts w:ascii="宋体" w:hAnsi="宋体" w:cs="宋体" w:eastAsia="宋体" w:hint="default"/>
                <w:sz w:val="24"/>
                <w:szCs w:val="24"/>
              </w:rPr>
            </w:pPr>
            <w:r>
              <w:rPr>
                <w:rFonts w:ascii="宋体" w:hAnsi="宋体" w:cs="宋体" w:eastAsia="宋体" w:hint="default"/>
                <w:sz w:val="24"/>
                <w:szCs w:val="24"/>
              </w:rPr>
              <w:t>长期待摊费用包括经营租入固定资产改良、递延延保业务费用、水电设施使用费及其他</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已经发生但应由本期和以后各期负担的、分摊期限在一年以上的各项费用，按预计受益</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期间分期平均摊销，并以实际支出减去累计摊销后的净额列示。</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9"/>
        <w:gridCol w:w="9599"/>
      </w:tblGrid>
      <w:tr>
        <w:trPr>
          <w:trHeight w:val="419"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5" w:lineRule="exact"/>
              <w:ind w:left="59" w:right="0"/>
              <w:jc w:val="center"/>
              <w:rPr>
                <w:rFonts w:ascii="Arial" w:hAnsi="Arial" w:cs="Arial" w:eastAsia="Arial" w:hint="default"/>
                <w:sz w:val="24"/>
                <w:szCs w:val="24"/>
              </w:rPr>
            </w:pPr>
            <w:r>
              <w:rPr>
                <w:rFonts w:ascii="Arial"/>
                <w:sz w:val="24"/>
              </w:rPr>
              <w:t>(20)</w:t>
            </w:r>
          </w:p>
        </w:tc>
        <w:tc>
          <w:tcPr>
            <w:tcW w:w="9599" w:type="dxa"/>
            <w:tcBorders>
              <w:top w:val="nil" w:sz="6" w:space="0" w:color="auto"/>
              <w:left w:val="nil" w:sz="6" w:space="0" w:color="auto"/>
              <w:bottom w:val="nil" w:sz="6" w:space="0" w:color="auto"/>
              <w:right w:val="nil" w:sz="6" w:space="0" w:color="auto"/>
            </w:tcBorders>
          </w:tcPr>
          <w:p>
            <w:pPr>
              <w:pStyle w:val="TableParagraph"/>
              <w:spacing w:line="245" w:lineRule="exact"/>
              <w:ind w:left="139" w:right="0"/>
              <w:jc w:val="left"/>
              <w:rPr>
                <w:rFonts w:ascii="宋体" w:hAnsi="宋体" w:cs="宋体" w:eastAsia="宋体" w:hint="default"/>
                <w:sz w:val="24"/>
                <w:szCs w:val="24"/>
              </w:rPr>
            </w:pPr>
            <w:r>
              <w:rPr>
                <w:rFonts w:ascii="宋体" w:hAnsi="宋体" w:cs="宋体" w:eastAsia="宋体" w:hint="default"/>
                <w:b/>
                <w:bCs/>
                <w:sz w:val="24"/>
                <w:szCs w:val="24"/>
              </w:rPr>
              <w:t>长期资产减值</w:t>
            </w:r>
            <w:r>
              <w:rPr>
                <w:rFonts w:ascii="宋体" w:hAnsi="宋体" w:cs="宋体" w:eastAsia="宋体" w:hint="default"/>
                <w:sz w:val="24"/>
                <w:szCs w:val="24"/>
              </w:rPr>
            </w:r>
          </w:p>
        </w:tc>
      </w:tr>
      <w:tr>
        <w:trPr>
          <w:trHeight w:val="4608" w:hRule="exact"/>
        </w:trPr>
        <w:tc>
          <w:tcPr>
            <w:tcW w:w="769" w:type="dxa"/>
            <w:tcBorders>
              <w:top w:val="nil" w:sz="6" w:space="0" w:color="auto"/>
              <w:left w:val="nil" w:sz="6" w:space="0" w:color="auto"/>
              <w:bottom w:val="nil" w:sz="6" w:space="0" w:color="auto"/>
              <w:right w:val="nil" w:sz="6" w:space="0" w:color="auto"/>
            </w:tcBorders>
          </w:tcPr>
          <w:p>
            <w:pPr/>
          </w:p>
        </w:tc>
        <w:tc>
          <w:tcPr>
            <w:tcW w:w="959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9" w:right="198"/>
              <w:jc w:val="left"/>
              <w:rPr>
                <w:rFonts w:ascii="宋体" w:hAnsi="宋体" w:cs="宋体" w:eastAsia="宋体" w:hint="default"/>
                <w:sz w:val="24"/>
                <w:szCs w:val="24"/>
              </w:rPr>
            </w:pPr>
            <w:r>
              <w:rPr>
                <w:rFonts w:ascii="宋体" w:hAnsi="宋体" w:cs="宋体" w:eastAsia="宋体" w:hint="default"/>
                <w:sz w:val="24"/>
                <w:szCs w:val="24"/>
              </w:rPr>
              <w:t>固定资产、在建工程、使用寿命有限的无形资产、以成本模式计量的投资性房地产及对</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子公司、联营企业的长期股权投资等，于资产负债表日存在减值迹象的，进行减值测试。</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减值测试结果表明资产的可收回金额低于其账面价值的，按其差额计提减值准备并计入</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减值损失。可收回金额为资产的公允价值减去处置费用后的净额与资产预计未来现金流</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量的现值两者之间的较高者。资产减值准备按单项资产为基础计算并确认，如果难以对</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单项资产的可收回金额进行估计的，以该资产所属的资产组确定资产组的可收回金额。</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资产组是能够独立产生现金流入的最小资产组合。</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2" w:lineRule="exact"/>
              <w:ind w:left="139" w:right="320"/>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在财务报表中单独列示的商誉，无论是否存在减值迹象，至少每年进行减值测试。减值</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测试时，商誉的账面价值分摊至预期从企业合并的协同效应中受益的资产组或资产组组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合。测试结果表明包含分摊的商誉的资产组或资产组组合的可收回金额低于其账面价值</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的，确认相应的减值损失。减值损失金额先抵减分摊至该资产组或资产组组合的商誉的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账面价值，再根据资产组或资产组组合中除商誉以外的其他各项资产的账面价值所占比</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重，按比例抵减其他各项资产的账面价值。</w:t>
            </w:r>
          </w:p>
        </w:tc>
      </w:tr>
      <w:tr>
        <w:trPr>
          <w:trHeight w:val="585" w:hRule="exact"/>
        </w:trPr>
        <w:tc>
          <w:tcPr>
            <w:tcW w:w="769" w:type="dxa"/>
            <w:tcBorders>
              <w:top w:val="nil" w:sz="6" w:space="0" w:color="auto"/>
              <w:left w:val="nil" w:sz="6" w:space="0" w:color="auto"/>
              <w:bottom w:val="nil" w:sz="6" w:space="0" w:color="auto"/>
              <w:right w:val="nil" w:sz="6" w:space="0" w:color="auto"/>
            </w:tcBorders>
          </w:tcPr>
          <w:p>
            <w:pPr/>
          </w:p>
        </w:tc>
        <w:tc>
          <w:tcPr>
            <w:tcW w:w="959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9"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r>
        <w:trPr>
          <w:trHeight w:val="591"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0" w:right="0"/>
              <w:jc w:val="center"/>
              <w:rPr>
                <w:rFonts w:ascii="Arial" w:hAnsi="Arial" w:cs="Arial" w:eastAsia="Arial" w:hint="default"/>
                <w:sz w:val="24"/>
                <w:szCs w:val="24"/>
              </w:rPr>
            </w:pPr>
            <w:r>
              <w:rPr>
                <w:rFonts w:ascii="Arial"/>
                <w:sz w:val="24"/>
              </w:rPr>
              <w:t>(21)</w:t>
            </w:r>
          </w:p>
        </w:tc>
        <w:tc>
          <w:tcPr>
            <w:tcW w:w="95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9" w:right="0"/>
              <w:jc w:val="left"/>
              <w:rPr>
                <w:rFonts w:ascii="宋体" w:hAnsi="宋体" w:cs="宋体" w:eastAsia="宋体" w:hint="default"/>
                <w:sz w:val="24"/>
                <w:szCs w:val="24"/>
              </w:rPr>
            </w:pPr>
            <w:r>
              <w:rPr>
                <w:rFonts w:ascii="宋体" w:hAnsi="宋体" w:cs="宋体" w:eastAsia="宋体" w:hint="default"/>
                <w:b/>
                <w:bCs/>
                <w:sz w:val="24"/>
                <w:szCs w:val="24"/>
              </w:rPr>
              <w:t>职工薪酬</w:t>
            </w:r>
            <w:r>
              <w:rPr>
                <w:rFonts w:ascii="宋体" w:hAnsi="宋体" w:cs="宋体" w:eastAsia="宋体" w:hint="default"/>
                <w:sz w:val="24"/>
                <w:szCs w:val="24"/>
              </w:rPr>
            </w:r>
          </w:p>
        </w:tc>
      </w:tr>
      <w:tr>
        <w:trPr>
          <w:trHeight w:val="900" w:hRule="exact"/>
        </w:trPr>
        <w:tc>
          <w:tcPr>
            <w:tcW w:w="769" w:type="dxa"/>
            <w:tcBorders>
              <w:top w:val="nil" w:sz="6" w:space="0" w:color="auto"/>
              <w:left w:val="nil" w:sz="6" w:space="0" w:color="auto"/>
              <w:bottom w:val="nil" w:sz="6" w:space="0" w:color="auto"/>
              <w:right w:val="nil" w:sz="6" w:space="0" w:color="auto"/>
            </w:tcBorders>
          </w:tcPr>
          <w:p>
            <w:pPr/>
          </w:p>
        </w:tc>
        <w:tc>
          <w:tcPr>
            <w:tcW w:w="9599"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9" w:right="322"/>
              <w:jc w:val="left"/>
              <w:rPr>
                <w:rFonts w:ascii="宋体" w:hAnsi="宋体" w:cs="宋体" w:eastAsia="宋体" w:hint="default"/>
                <w:sz w:val="24"/>
                <w:szCs w:val="24"/>
              </w:rPr>
            </w:pPr>
            <w:r>
              <w:rPr>
                <w:rFonts w:ascii="宋体" w:hAnsi="宋体" w:cs="宋体" w:eastAsia="宋体" w:hint="default"/>
                <w:sz w:val="24"/>
                <w:szCs w:val="24"/>
              </w:rPr>
              <w:t>职工薪酬主要包括工资、奖金、津贴和补贴、职工福利费、社会保险费及住房公积金、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工会经费和职工教育经费等其他与获得职工提供的服务的相关支出。</w:t>
            </w:r>
          </w:p>
        </w:tc>
      </w:tr>
      <w:tr>
        <w:trPr>
          <w:trHeight w:val="1524" w:hRule="exact"/>
        </w:trPr>
        <w:tc>
          <w:tcPr>
            <w:tcW w:w="769" w:type="dxa"/>
            <w:tcBorders>
              <w:top w:val="nil" w:sz="6" w:space="0" w:color="auto"/>
              <w:left w:val="nil" w:sz="6" w:space="0" w:color="auto"/>
              <w:bottom w:val="nil" w:sz="6" w:space="0" w:color="auto"/>
              <w:right w:val="nil" w:sz="6" w:space="0" w:color="auto"/>
            </w:tcBorders>
          </w:tcPr>
          <w:p>
            <w:pPr/>
          </w:p>
        </w:tc>
        <w:tc>
          <w:tcPr>
            <w:tcW w:w="959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9" w:right="319"/>
              <w:jc w:val="both"/>
              <w:rPr>
                <w:rFonts w:ascii="宋体" w:hAnsi="宋体" w:cs="宋体" w:eastAsia="宋体" w:hint="default"/>
                <w:sz w:val="24"/>
                <w:szCs w:val="24"/>
              </w:rPr>
            </w:pPr>
            <w:r>
              <w:rPr>
                <w:rFonts w:ascii="宋体" w:hAnsi="宋体" w:cs="宋体" w:eastAsia="宋体" w:hint="default"/>
                <w:sz w:val="24"/>
                <w:szCs w:val="24"/>
              </w:rPr>
              <w:t>本集团在职工劳动合同到期之前解除与职工的劳动关系、或者为鼓励职工自愿接受裁减</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而提出给予补偿的建议，当本集团已经制定正式的解除劳动关系计划或提出自愿裁减建</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议并即将实施、且本集团不能单方面撤回解除劳动关系计划或裁减建议时，确认因解除</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与职工的劳动关系给予补偿而产生的预计负债，同时计入当期费用。</w:t>
            </w:r>
          </w:p>
        </w:tc>
      </w:tr>
      <w:tr>
        <w:trPr>
          <w:trHeight w:val="726" w:hRule="exact"/>
        </w:trPr>
        <w:tc>
          <w:tcPr>
            <w:tcW w:w="769" w:type="dxa"/>
            <w:tcBorders>
              <w:top w:val="nil" w:sz="6" w:space="0" w:color="auto"/>
              <w:left w:val="nil" w:sz="6" w:space="0" w:color="auto"/>
              <w:bottom w:val="nil" w:sz="6" w:space="0" w:color="auto"/>
              <w:right w:val="nil" w:sz="6" w:space="0" w:color="auto"/>
            </w:tcBorders>
          </w:tcPr>
          <w:p>
            <w:pPr/>
          </w:p>
        </w:tc>
        <w:tc>
          <w:tcPr>
            <w:tcW w:w="959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9" w:right="198"/>
              <w:jc w:val="left"/>
              <w:rPr>
                <w:rFonts w:ascii="宋体" w:hAnsi="宋体" w:cs="宋体" w:eastAsia="宋体" w:hint="default"/>
                <w:sz w:val="24"/>
                <w:szCs w:val="24"/>
              </w:rPr>
            </w:pPr>
            <w:r>
              <w:rPr>
                <w:rFonts w:ascii="宋体" w:hAnsi="宋体" w:cs="宋体" w:eastAsia="宋体" w:hint="default"/>
                <w:spacing w:val="-3"/>
                <w:sz w:val="24"/>
                <w:szCs w:val="24"/>
              </w:rPr>
              <w:t>除因解除与职工的劳动关系给予的补偿外，于职工提供服务的期间确认应付的职工薪酬，</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并根据职工提供服务的受益对象计入相关资产成本和费用。</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5"/>
      </w:tblGrid>
      <w:tr>
        <w:trPr>
          <w:trHeight w:val="4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9475" w:type="dxa"/>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(21)</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职工薪酬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1519"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37" w:lineRule="auto" w:before="97"/>
              <w:ind w:left="136" w:right="201"/>
              <w:jc w:val="both"/>
              <w:rPr>
                <w:rFonts w:ascii="宋体" w:hAnsi="宋体" w:cs="宋体" w:eastAsia="宋体" w:hint="default"/>
                <w:sz w:val="24"/>
                <w:szCs w:val="24"/>
              </w:rPr>
            </w:pPr>
            <w:r>
              <w:rPr>
                <w:rFonts w:ascii="宋体" w:hAnsi="宋体" w:cs="宋体" w:eastAsia="宋体" w:hint="default"/>
                <w:sz w:val="24"/>
                <w:szCs w:val="24"/>
              </w:rPr>
              <w:t>本集团海外公司经营职工退休金计划。此等计划一般通过向保险公司或受托管理基金付</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款而注资，并经定期精算计算其数额。经营的退休金计划为设定受益计划。设定受益计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划是一项并非设定提存计划的退休计划。设定受益计划一般会厘定职工在退休时可收取</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的退休福利金额，通常视乎年龄、服务年资和薪酬补偿等一个或多个因素而定。</w:t>
            </w:r>
          </w:p>
        </w:tc>
      </w:tr>
      <w:tr>
        <w:trPr>
          <w:trHeight w:val="1836"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9"/>
              <w:jc w:val="both"/>
              <w:rPr>
                <w:rFonts w:ascii="宋体" w:hAnsi="宋体" w:cs="宋体" w:eastAsia="宋体" w:hint="default"/>
                <w:sz w:val="24"/>
                <w:szCs w:val="24"/>
              </w:rPr>
            </w:pPr>
            <w:r>
              <w:rPr>
                <w:rFonts w:ascii="宋体" w:hAnsi="宋体" w:cs="宋体" w:eastAsia="宋体" w:hint="default"/>
                <w:sz w:val="24"/>
                <w:szCs w:val="24"/>
              </w:rPr>
              <w:t>在资产负债表内就有关设定受益退休计划而确认的负债，为报告期末的设定受益债务的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现值减计划资产的公允价值，同时就未经确认过往服务成本作出调整。设定受益债务每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年由独立精算师利用预计单位贷记法计算。设定受益债务的现值利用将用以支付福利的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货币为单位计值且到期与有关的退休负债的年期近似的高质素债券的利率，将估计未来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现金流出量折现计算。</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1"/>
              <w:jc w:val="left"/>
              <w:rPr>
                <w:rFonts w:ascii="宋体" w:hAnsi="宋体" w:cs="宋体" w:eastAsia="宋体" w:hint="default"/>
                <w:sz w:val="24"/>
                <w:szCs w:val="24"/>
              </w:rPr>
            </w:pPr>
            <w:r>
              <w:rPr>
                <w:rFonts w:ascii="宋体" w:hAnsi="宋体" w:cs="宋体" w:eastAsia="宋体" w:hint="default"/>
                <w:sz w:val="24"/>
                <w:szCs w:val="24"/>
              </w:rPr>
              <w:t>根据经验而调整的精算利得和损失以及精算假设的变动，在产生期间内于其他综合收益</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的权益中扣除或贷记。</w:t>
            </w:r>
          </w:p>
        </w:tc>
      </w:tr>
      <w:tr>
        <w:trPr>
          <w:trHeight w:val="898"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left"/>
              <w:rPr>
                <w:rFonts w:ascii="宋体" w:hAnsi="宋体" w:cs="宋体" w:eastAsia="宋体" w:hint="default"/>
                <w:sz w:val="24"/>
                <w:szCs w:val="24"/>
              </w:rPr>
            </w:pPr>
            <w:r>
              <w:rPr>
                <w:rFonts w:ascii="宋体" w:hAnsi="宋体" w:cs="宋体" w:eastAsia="宋体" w:hint="default"/>
                <w:spacing w:val="2"/>
                <w:sz w:val="24"/>
                <w:szCs w:val="24"/>
              </w:rPr>
              <w:t>过往服务成本即时确认为收益，除非对退休计划的修改要视乎在某特定期间</w:t>
            </w:r>
            <w:r>
              <w:rPr>
                <w:rFonts w:ascii="Arial" w:hAnsi="Arial" w:cs="Arial" w:eastAsia="Arial" w:hint="default"/>
                <w:spacing w:val="2"/>
                <w:sz w:val="24"/>
                <w:szCs w:val="24"/>
              </w:rPr>
              <w:t>(</w:t>
            </w:r>
            <w:r>
              <w:rPr>
                <w:rFonts w:ascii="宋体" w:hAnsi="宋体" w:cs="宋体" w:eastAsia="宋体" w:hint="default"/>
                <w:spacing w:val="2"/>
                <w:sz w:val="24"/>
                <w:szCs w:val="24"/>
              </w:rPr>
              <w:t>归属期</w:t>
            </w:r>
            <w:r>
              <w:rPr>
                <w:rFonts w:ascii="Arial" w:hAnsi="Arial" w:cs="Arial" w:eastAsia="Arial" w:hint="default"/>
                <w:spacing w:val="2"/>
                <w:sz w:val="24"/>
                <w:szCs w:val="24"/>
              </w:rPr>
              <w:t>)</w:t>
            </w:r>
            <w:r>
              <w:rPr>
                <w:rFonts w:ascii="宋体" w:hAnsi="宋体" w:cs="宋体" w:eastAsia="宋体" w:hint="default"/>
                <w:spacing w:val="2"/>
                <w:sz w:val="24"/>
                <w:szCs w:val="24"/>
              </w:rPr>
              <w:t>职</w:t>
            </w:r>
            <w:r>
              <w:rPr>
                <w:rFonts w:ascii="宋体" w:hAnsi="宋体" w:cs="宋体" w:eastAsia="宋体" w:hint="default"/>
                <w:spacing w:val="-117"/>
                <w:sz w:val="24"/>
                <w:szCs w:val="24"/>
              </w:rPr>
              <w:t> </w:t>
            </w:r>
            <w:r>
              <w:rPr>
                <w:rFonts w:ascii="宋体" w:hAnsi="宋体" w:cs="宋体" w:eastAsia="宋体" w:hint="default"/>
                <w:sz w:val="24"/>
                <w:szCs w:val="24"/>
              </w:rPr>
              <w:t>工是否仍然维持服务。在此情况下，过往服务成本按归属期以直线法摊销。</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(22)</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b/>
                <w:bCs/>
                <w:sz w:val="24"/>
                <w:szCs w:val="24"/>
              </w:rPr>
              <w:t>股利分配</w:t>
            </w:r>
            <w:r>
              <w:rPr>
                <w:rFonts w:ascii="宋体" w:hAnsi="宋体" w:cs="宋体" w:eastAsia="宋体"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现金股利于股东大会批准的当期，确认为负债。</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(23)</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b/>
                <w:bCs/>
                <w:sz w:val="24"/>
                <w:szCs w:val="24"/>
              </w:rPr>
              <w:t>预计负债</w:t>
            </w:r>
            <w:r>
              <w:rPr>
                <w:rFonts w:ascii="宋体" w:hAnsi="宋体" w:cs="宋体" w:eastAsia="宋体" w:hint="default"/>
                <w:sz w:val="24"/>
                <w:szCs w:val="24"/>
              </w:rPr>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1"/>
              <w:jc w:val="left"/>
              <w:rPr>
                <w:rFonts w:ascii="宋体" w:hAnsi="宋体" w:cs="宋体" w:eastAsia="宋体" w:hint="default"/>
                <w:sz w:val="24"/>
                <w:szCs w:val="24"/>
              </w:rPr>
            </w:pPr>
            <w:r>
              <w:rPr>
                <w:rFonts w:ascii="宋体" w:hAnsi="宋体" w:cs="宋体" w:eastAsia="宋体" w:hint="default"/>
                <w:sz w:val="24"/>
                <w:szCs w:val="24"/>
              </w:rPr>
              <w:t>因产品质量保证、亏损合同等形成的现时义务，当履行该义务很可能导致经济利益的流</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出，且其金额能够可靠计量时，确认为预计负债。</w:t>
            </w:r>
          </w:p>
        </w:tc>
      </w:tr>
      <w:tr>
        <w:trPr>
          <w:trHeight w:val="1524"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201"/>
              <w:jc w:val="both"/>
              <w:rPr>
                <w:rFonts w:ascii="宋体" w:hAnsi="宋体" w:cs="宋体" w:eastAsia="宋体" w:hint="default"/>
                <w:sz w:val="24"/>
                <w:szCs w:val="24"/>
              </w:rPr>
            </w:pPr>
            <w:r>
              <w:rPr>
                <w:rFonts w:ascii="宋体" w:hAnsi="宋体" w:cs="宋体" w:eastAsia="宋体" w:hint="default"/>
                <w:sz w:val="24"/>
                <w:szCs w:val="24"/>
              </w:rPr>
              <w:t>预计负债按照履行相关现时义务所需支出的最佳估计数进行初始计量，并综合考虑与或</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有事项有关的风险、不确定性和货币时间价值等因素。货币时间价值影响重大的，通过</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对相关未来现金流出进行折现后确定最佳估计数；因随着时间推移所进行的折现还原而</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导致的预计负债账面价值的增加金额，确认为利息费用。</w:t>
            </w:r>
          </w:p>
        </w:tc>
      </w:tr>
      <w:tr>
        <w:trPr>
          <w:trHeight w:val="726"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1"/>
              <w:jc w:val="left"/>
              <w:rPr>
                <w:rFonts w:ascii="宋体" w:hAnsi="宋体" w:cs="宋体" w:eastAsia="宋体" w:hint="default"/>
                <w:sz w:val="24"/>
                <w:szCs w:val="24"/>
              </w:rPr>
            </w:pPr>
            <w:r>
              <w:rPr>
                <w:rFonts w:ascii="宋体" w:hAnsi="宋体" w:cs="宋体" w:eastAsia="宋体" w:hint="default"/>
                <w:sz w:val="24"/>
                <w:szCs w:val="24"/>
              </w:rPr>
              <w:t>于资产负债表日，对预计负债的账面价值进行复核并作适当调整，以反映当前的最佳估</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计数。</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5"/>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sz w:val="24"/>
                <w:szCs w:val="24"/>
              </w:rPr>
              <w:t>二</w:t>
            </w:r>
          </w:p>
        </w:tc>
        <w:tc>
          <w:tcPr>
            <w:tcW w:w="9475"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(24)</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积分计划</w:t>
            </w:r>
            <w:r>
              <w:rPr>
                <w:rFonts w:ascii="宋体" w:hAnsi="宋体" w:cs="宋体" w:eastAsia="宋体" w:hint="default"/>
                <w:sz w:val="24"/>
                <w:szCs w:val="24"/>
              </w:rPr>
            </w:r>
          </w:p>
        </w:tc>
      </w:tr>
      <w:tr>
        <w:trPr>
          <w:trHeight w:val="2149"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6" w:right="201"/>
              <w:jc w:val="both"/>
              <w:rPr>
                <w:rFonts w:ascii="宋体" w:hAnsi="宋体" w:cs="宋体" w:eastAsia="宋体" w:hint="default"/>
                <w:sz w:val="24"/>
                <w:szCs w:val="24"/>
              </w:rPr>
            </w:pPr>
            <w:r>
              <w:rPr>
                <w:rFonts w:ascii="宋体" w:hAnsi="宋体" w:cs="宋体" w:eastAsia="宋体" w:hint="default"/>
                <w:sz w:val="24"/>
                <w:szCs w:val="24"/>
              </w:rPr>
              <w:t>本集团实施积分计划，顾客前次消费额产生的积分，可以在下次消费时抵用。授予顾客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的积分奖励作为销售交易的一部分。销售取得的货款或应收货款在商品销售或劳务提供</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产生的收入与奖励积分的公允价值之间进行分配，取得的货款或应收货款扣除奖励积分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公允价值的部分后确认为收入，奖励积分的公允价值确认为递延收益。奖励积分确认的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递延收益以授予顾客的积分为基准，并根据本集团已公布的积分使用方法和积分的预期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兑付率后，按公允价值确认。</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在顾客兑换奖励积分时，将原计入递延收益的与所兑换积分相关的部分确认为收入。</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(25)</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b/>
                <w:bCs/>
                <w:sz w:val="24"/>
                <w:szCs w:val="24"/>
              </w:rPr>
              <w:t>收入确认</w:t>
            </w:r>
            <w:r>
              <w:rPr>
                <w:rFonts w:ascii="宋体" w:hAnsi="宋体" w:cs="宋体" w:eastAsia="宋体" w:hint="default"/>
                <w:sz w:val="24"/>
                <w:szCs w:val="24"/>
              </w:rPr>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1"/>
              <w:jc w:val="left"/>
              <w:rPr>
                <w:rFonts w:ascii="宋体" w:hAnsi="宋体" w:cs="宋体" w:eastAsia="宋体" w:hint="default"/>
                <w:sz w:val="24"/>
                <w:szCs w:val="24"/>
              </w:rPr>
            </w:pPr>
            <w:r>
              <w:rPr>
                <w:rFonts w:ascii="宋体" w:hAnsi="宋体" w:cs="宋体" w:eastAsia="宋体" w:hint="default"/>
                <w:sz w:val="24"/>
                <w:szCs w:val="24"/>
              </w:rPr>
              <w:t>收入的金额按照本集团在日常经营活动中销售商品和提供劳务时，已收或应收合同或协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议价款的公允价值确定。收入按扣除销售折让及销售退回的净额列示。</w:t>
            </w:r>
          </w:p>
        </w:tc>
      </w:tr>
      <w:tr>
        <w:trPr>
          <w:trHeight w:val="898"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201"/>
              <w:jc w:val="left"/>
              <w:rPr>
                <w:rFonts w:ascii="宋体" w:hAnsi="宋体" w:cs="宋体" w:eastAsia="宋体" w:hint="default"/>
                <w:sz w:val="24"/>
                <w:szCs w:val="24"/>
              </w:rPr>
            </w:pPr>
            <w:r>
              <w:rPr>
                <w:rFonts w:ascii="宋体" w:hAnsi="宋体" w:cs="宋体" w:eastAsia="宋体" w:hint="default"/>
                <w:sz w:val="24"/>
                <w:szCs w:val="24"/>
              </w:rPr>
              <w:t>与交易相关的经济利益能够流入本集团，相关的收入能够可靠计量且满足下列各项经营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活动的特定收入确认标准时，确认相关的收入：</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销售商品</w:t>
            </w:r>
          </w:p>
        </w:tc>
      </w:tr>
      <w:tr>
        <w:trPr>
          <w:trHeight w:val="1209"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both"/>
              <w:rPr>
                <w:rFonts w:ascii="宋体" w:hAnsi="宋体" w:cs="宋体" w:eastAsia="宋体" w:hint="default"/>
                <w:sz w:val="24"/>
                <w:szCs w:val="24"/>
              </w:rPr>
            </w:pPr>
            <w:r>
              <w:rPr>
                <w:rFonts w:ascii="宋体" w:hAnsi="宋体" w:cs="宋体" w:eastAsia="宋体" w:hint="default"/>
                <w:sz w:val="24"/>
                <w:szCs w:val="24"/>
              </w:rPr>
              <w:t>本集团从事商品零售业务，当本集团向消费者转移商品所有权凭证后，商品所有权上的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主要风险和报酬随之转移，与销售该商品有关的成本能够可靠地计量，本集团在此时确</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认商品的销售收入。</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提供劳务</w:t>
            </w:r>
          </w:p>
        </w:tc>
      </w:tr>
      <w:tr>
        <w:trPr>
          <w:trHeight w:val="1210"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本集团对外提供业务培训劳务、安装维修劳务、代理劳务、连锁店服务劳务等，在劳务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总收入和总成本能够可靠地计量、与交易相关的经济利益能够流入企业、劳务的完成程</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度能够可靠地确定时，确认劳务收入的实现。</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让渡资产使用权</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利息收入按照其他方使用本集团货币资金的时间，采用实际利率计算确定。</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经营租赁收入按照直线法在租赁期内确认。</w:t>
            </w: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广告位使用费收入按照直线法在使用期间内确认。</w:t>
            </w:r>
          </w:p>
        </w:tc>
      </w:tr>
    </w:tbl>
    <w:p>
      <w:pPr>
        <w:spacing w:after="0" w:line="240" w:lineRule="auto"/>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2"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(26)</w:t>
            </w:r>
          </w:p>
        </w:tc>
        <w:tc>
          <w:tcPr>
            <w:tcW w:w="947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政府补助</w:t>
            </w:r>
            <w:r>
              <w:rPr>
                <w:rFonts w:ascii="宋体" w:hAnsi="宋体" w:cs="宋体" w:eastAsia="宋体" w:hint="default"/>
                <w:sz w:val="24"/>
                <w:szCs w:val="24"/>
              </w:rPr>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z w:val="24"/>
                <w:szCs w:val="24"/>
              </w:rPr>
              <w:t>政府补助为本集团从政府无偿取得的货币性资产或非货币性资产，包括税费返还、财政</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补贴等。</w:t>
            </w: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9472"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政府补助在本集团能够满足其所附的条件并且能够收到时，予以确认。政府补助为货币</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性资产的，按照收到或应收的金额计量。政府补助为非货币性资产的，按照公允价值计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量；公允价值不能可靠取得的，按照名义金额计量。</w:t>
            </w:r>
          </w:p>
        </w:tc>
      </w:tr>
    </w:tbl>
    <w:p>
      <w:pPr>
        <w:spacing w:line="240" w:lineRule="auto" w:before="4"/>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68"/>
        <w:gridCol w:w="9485"/>
      </w:tblGrid>
      <w:tr>
        <w:trPr>
          <w:trHeight w:val="726"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239" w:lineRule="exact"/>
              <w:ind w:left="140" w:right="0"/>
              <w:jc w:val="left"/>
              <w:rPr>
                <w:rFonts w:ascii="宋体" w:hAnsi="宋体" w:cs="宋体" w:eastAsia="宋体" w:hint="default"/>
                <w:sz w:val="24"/>
                <w:szCs w:val="24"/>
              </w:rPr>
            </w:pPr>
            <w:r>
              <w:rPr>
                <w:rFonts w:ascii="宋体" w:hAnsi="宋体" w:cs="宋体" w:eastAsia="宋体" w:hint="default"/>
                <w:sz w:val="24"/>
                <w:szCs w:val="24"/>
              </w:rPr>
              <w:t>与资产相关的政府补助，确认为递延收益，并在相关资产使用寿命内平均分配，计入当</w:t>
            </w:r>
          </w:p>
          <w:p>
            <w:pPr>
              <w:pStyle w:val="TableParagraph"/>
              <w:spacing w:line="313" w:lineRule="exact"/>
              <w:ind w:left="140" w:right="0"/>
              <w:jc w:val="left"/>
              <w:rPr>
                <w:rFonts w:ascii="宋体" w:hAnsi="宋体" w:cs="宋体" w:eastAsia="宋体" w:hint="default"/>
                <w:sz w:val="24"/>
                <w:szCs w:val="24"/>
              </w:rPr>
            </w:pPr>
            <w:r>
              <w:rPr>
                <w:rFonts w:ascii="宋体" w:hAnsi="宋体" w:cs="宋体" w:eastAsia="宋体" w:hint="default"/>
                <w:sz w:val="24"/>
                <w:szCs w:val="24"/>
              </w:rPr>
              <w:t>期损益。按照名义金额计量的政府补助，直接计入当期损益。</w:t>
            </w:r>
          </w:p>
        </w:tc>
      </w:tr>
      <w:tr>
        <w:trPr>
          <w:trHeight w:val="1210"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7"/>
              <w:jc w:val="both"/>
              <w:rPr>
                <w:rFonts w:ascii="宋体" w:hAnsi="宋体" w:cs="宋体" w:eastAsia="宋体" w:hint="default"/>
                <w:sz w:val="24"/>
                <w:szCs w:val="24"/>
              </w:rPr>
            </w:pPr>
            <w:r>
              <w:rPr>
                <w:rFonts w:ascii="宋体" w:hAnsi="宋体" w:cs="宋体" w:eastAsia="宋体" w:hint="default"/>
                <w:sz w:val="24"/>
                <w:szCs w:val="24"/>
              </w:rPr>
              <w:t>与收益相关的政府补助，用于补偿以后期间的相关费用或损失的，确认为递延收益，并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在确认相关费用的期间，计入当期损益；用于补偿已发生的相关费用或损失的，直接计</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入当期损益。</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(27)</w:t>
            </w:r>
          </w:p>
        </w:tc>
        <w:tc>
          <w:tcPr>
            <w:tcW w:w="948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b/>
                <w:bCs/>
                <w:sz w:val="24"/>
                <w:szCs w:val="24"/>
              </w:rPr>
              <w:t>递延所得税资产和递延所得税负债</w:t>
            </w:r>
            <w:r>
              <w:rPr>
                <w:rFonts w:ascii="宋体" w:hAnsi="宋体" w:cs="宋体" w:eastAsia="宋体" w:hint="default"/>
                <w:sz w:val="24"/>
                <w:szCs w:val="24"/>
              </w:rPr>
            </w:r>
          </w:p>
        </w:tc>
      </w:tr>
      <w:tr>
        <w:trPr>
          <w:trHeight w:val="2460"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both"/>
              <w:rPr>
                <w:rFonts w:ascii="宋体" w:hAnsi="宋体" w:cs="宋体" w:eastAsia="宋体" w:hint="default"/>
                <w:sz w:val="24"/>
                <w:szCs w:val="24"/>
              </w:rPr>
            </w:pPr>
            <w:r>
              <w:rPr>
                <w:rFonts w:ascii="宋体" w:hAnsi="宋体" w:cs="宋体" w:eastAsia="宋体" w:hint="default"/>
                <w:spacing w:val="3"/>
                <w:sz w:val="24"/>
                <w:szCs w:val="24"/>
              </w:rPr>
              <w:t>递延所得税资产和递延所得税负债根据资产和负债的计税基础与其账面价值的差额</w:t>
            </w:r>
            <w:r>
              <w:rPr>
                <w:rFonts w:ascii="Arial" w:hAnsi="Arial" w:cs="Arial" w:eastAsia="Arial" w:hint="default"/>
                <w:spacing w:val="3"/>
                <w:sz w:val="24"/>
                <w:szCs w:val="24"/>
              </w:rPr>
              <w:t>(</w:t>
            </w:r>
            <w:r>
              <w:rPr>
                <w:rFonts w:ascii="宋体" w:hAnsi="宋体" w:cs="宋体" w:eastAsia="宋体" w:hint="default"/>
                <w:spacing w:val="3"/>
                <w:sz w:val="24"/>
                <w:szCs w:val="24"/>
              </w:rPr>
              <w:t>暂</w:t>
            </w:r>
            <w:r>
              <w:rPr>
                <w:rFonts w:ascii="宋体" w:hAnsi="宋体" w:cs="宋体" w:eastAsia="宋体" w:hint="default"/>
                <w:spacing w:val="-85"/>
                <w:sz w:val="24"/>
                <w:szCs w:val="24"/>
              </w:rPr>
              <w:t> </w:t>
            </w:r>
            <w:r>
              <w:rPr>
                <w:rFonts w:ascii="宋体" w:hAnsi="宋体" w:cs="宋体" w:eastAsia="宋体" w:hint="default"/>
                <w:spacing w:val="4"/>
                <w:sz w:val="24"/>
                <w:szCs w:val="24"/>
              </w:rPr>
              <w:t>时性差异</w:t>
            </w:r>
            <w:r>
              <w:rPr>
                <w:rFonts w:ascii="Arial" w:hAnsi="Arial" w:cs="Arial" w:eastAsia="Arial" w:hint="default"/>
                <w:spacing w:val="4"/>
                <w:sz w:val="24"/>
                <w:szCs w:val="24"/>
              </w:rPr>
              <w:t>)</w:t>
            </w:r>
            <w:r>
              <w:rPr>
                <w:rFonts w:ascii="宋体" w:hAnsi="宋体" w:cs="宋体" w:eastAsia="宋体" w:hint="default"/>
                <w:spacing w:val="4"/>
                <w:sz w:val="24"/>
                <w:szCs w:val="24"/>
              </w:rPr>
              <w:t>计算确认。对于按照税法规定能够于以后年度抵减应纳税所得额的可抵扣亏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损，确认相应的递延所得税资产。对于商誉的初始确认产生的暂时性差异，不确认相应</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2"/>
                <w:sz w:val="24"/>
                <w:szCs w:val="24"/>
              </w:rPr>
              <w:t>的递延所得税负债。对于既不影响会计利润也不影响应纳税所得额</w:t>
            </w:r>
            <w:r>
              <w:rPr>
                <w:rFonts w:ascii="Arial" w:hAnsi="Arial" w:cs="Arial" w:eastAsia="Arial" w:hint="default"/>
                <w:spacing w:val="2"/>
                <w:sz w:val="24"/>
                <w:szCs w:val="24"/>
              </w:rPr>
              <w:t>(</w:t>
            </w:r>
            <w:r>
              <w:rPr>
                <w:rFonts w:ascii="宋体" w:hAnsi="宋体" w:cs="宋体" w:eastAsia="宋体" w:hint="default"/>
                <w:spacing w:val="2"/>
                <w:sz w:val="24"/>
                <w:szCs w:val="24"/>
              </w:rPr>
              <w:t>或可抵扣亏损</w:t>
            </w:r>
            <w:r>
              <w:rPr>
                <w:rFonts w:ascii="Arial" w:hAnsi="Arial" w:cs="Arial" w:eastAsia="Arial" w:hint="default"/>
                <w:spacing w:val="2"/>
                <w:sz w:val="24"/>
                <w:szCs w:val="24"/>
              </w:rPr>
              <w:t>)</w:t>
            </w:r>
            <w:r>
              <w:rPr>
                <w:rFonts w:ascii="宋体" w:hAnsi="宋体" w:cs="宋体" w:eastAsia="宋体" w:hint="default"/>
                <w:spacing w:val="2"/>
                <w:sz w:val="24"/>
                <w:szCs w:val="24"/>
              </w:rPr>
              <w:t>的非</w:t>
            </w:r>
            <w:r>
              <w:rPr>
                <w:rFonts w:ascii="宋体" w:hAnsi="宋体" w:cs="宋体" w:eastAsia="宋体" w:hint="default"/>
                <w:spacing w:val="-114"/>
                <w:sz w:val="24"/>
                <w:szCs w:val="24"/>
              </w:rPr>
              <w:t> </w:t>
            </w:r>
            <w:r>
              <w:rPr>
                <w:rFonts w:ascii="宋体" w:hAnsi="宋体" w:cs="宋体" w:eastAsia="宋体" w:hint="default"/>
                <w:sz w:val="24"/>
                <w:szCs w:val="24"/>
              </w:rPr>
              <w:t>企业合并的交易中产生的资产或负债的初始确认形成的暂时性差异，不确认相应的递延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所得税资产和递延所得税负债。于资产负债表日，递延所得税资产和递延所得税负债，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按照预期收回该资产或清偿该负债期间的适用税率计量。</w:t>
            </w:r>
          </w:p>
        </w:tc>
      </w:tr>
      <w:tr>
        <w:trPr>
          <w:trHeight w:val="900"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40" w:right="207"/>
              <w:jc w:val="left"/>
              <w:rPr>
                <w:rFonts w:ascii="宋体" w:hAnsi="宋体" w:cs="宋体" w:eastAsia="宋体" w:hint="default"/>
                <w:sz w:val="24"/>
                <w:szCs w:val="24"/>
              </w:rPr>
            </w:pPr>
            <w:r>
              <w:rPr>
                <w:rFonts w:ascii="宋体" w:hAnsi="宋体" w:cs="宋体" w:eastAsia="宋体" w:hint="default"/>
                <w:sz w:val="24"/>
                <w:szCs w:val="24"/>
              </w:rPr>
              <w:t>递延所得税资产的确认以很可能取得用来抵扣可抵扣暂时性差异、可抵扣亏损和税款抵</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减的应纳税所得额为限。</w:t>
            </w:r>
          </w:p>
        </w:tc>
      </w:tr>
      <w:tr>
        <w:trPr>
          <w:trHeight w:val="1662"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204"/>
              <w:jc w:val="both"/>
              <w:rPr>
                <w:rFonts w:ascii="宋体" w:hAnsi="宋体" w:cs="宋体" w:eastAsia="宋体" w:hint="default"/>
                <w:sz w:val="24"/>
                <w:szCs w:val="24"/>
              </w:rPr>
            </w:pPr>
            <w:r>
              <w:rPr>
                <w:rFonts w:ascii="宋体" w:hAnsi="宋体" w:cs="宋体" w:eastAsia="宋体" w:hint="default"/>
                <w:sz w:val="24"/>
                <w:szCs w:val="24"/>
              </w:rPr>
              <w:t>对与子公司及联营企业投资相关的应纳税暂时性差异，确认递延所得税负债，除非本集</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团能够控制该暂时性差异转回的时间且该暂时性差异在可预见的未来很可能不会转回。</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对与子公司及联营企业投资相关的可抵扣暂时性差异，当该暂时性差异在可预见的未来</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很可能转回且未来很可能获得用来抵扣可抵扣暂时性差异的应纳税所得额时，确认递延</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所得税资产。</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595"/>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595"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(27)</w:t>
            </w:r>
          </w:p>
        </w:tc>
        <w:tc>
          <w:tcPr>
            <w:tcW w:w="959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递延所得税资产和递延所得税负债</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
        </w:tc>
        <w:tc>
          <w:tcPr>
            <w:tcW w:w="95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同时满足下列条件的递延所得税资产和递延所得税负债以抵销后的净额列示：</w:t>
            </w:r>
          </w:p>
        </w:tc>
      </w:tr>
      <w:tr>
        <w:trPr>
          <w:trHeight w:val="1350" w:hRule="exact"/>
        </w:trPr>
        <w:tc>
          <w:tcPr>
            <w:tcW w:w="772" w:type="dxa"/>
            <w:tcBorders>
              <w:top w:val="nil" w:sz="6" w:space="0" w:color="auto"/>
              <w:left w:val="nil" w:sz="6" w:space="0" w:color="auto"/>
              <w:bottom w:val="nil" w:sz="6" w:space="0" w:color="auto"/>
              <w:right w:val="nil" w:sz="6" w:space="0" w:color="auto"/>
            </w:tcBorders>
          </w:tcPr>
          <w:p>
            <w:pPr/>
          </w:p>
        </w:tc>
        <w:tc>
          <w:tcPr>
            <w:tcW w:w="9595" w:type="dxa"/>
            <w:tcBorders>
              <w:top w:val="nil" w:sz="6" w:space="0" w:color="auto"/>
              <w:left w:val="nil" w:sz="6" w:space="0" w:color="auto"/>
              <w:bottom w:val="nil" w:sz="6" w:space="0" w:color="auto"/>
              <w:right w:val="nil" w:sz="6" w:space="0" w:color="auto"/>
            </w:tcBorders>
          </w:tcPr>
          <w:p>
            <w:pPr>
              <w:pStyle w:val="TableParagraph"/>
              <w:tabs>
                <w:tab w:pos="748" w:val="left" w:leader="none"/>
              </w:tabs>
              <w:spacing w:line="312" w:lineRule="exact" w:before="131"/>
              <w:ind w:left="748" w:right="199" w:hanging="540"/>
              <w:jc w:val="left"/>
              <w:rPr>
                <w:rFonts w:ascii="宋体" w:hAnsi="宋体" w:cs="宋体" w:eastAsia="宋体" w:hint="default"/>
                <w:sz w:val="24"/>
                <w:szCs w:val="24"/>
              </w:rPr>
            </w:pPr>
            <w:r>
              <w:rPr>
                <w:rFonts w:ascii="Arial" w:hAnsi="Arial" w:cs="Arial" w:eastAsia="Arial" w:hint="default"/>
                <w:w w:val="95"/>
                <w:sz w:val="24"/>
                <w:szCs w:val="24"/>
              </w:rPr>
              <w:t>•</w:t>
              <w:tab/>
            </w:r>
            <w:r>
              <w:rPr>
                <w:rFonts w:ascii="宋体" w:hAnsi="宋体" w:cs="宋体" w:eastAsia="宋体" w:hint="default"/>
                <w:spacing w:val="6"/>
                <w:sz w:val="24"/>
                <w:szCs w:val="24"/>
              </w:rPr>
              <w:t>递延所得税资产和递延所得税负债与同一税收征管部门对本集团内同一纳税主体</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征收的所得税相关；</w:t>
            </w:r>
          </w:p>
          <w:p>
            <w:pPr>
              <w:pStyle w:val="TableParagraph"/>
              <w:tabs>
                <w:tab w:pos="748" w:val="left" w:leader="none"/>
              </w:tabs>
              <w:spacing w:line="312" w:lineRule="exact"/>
              <w:ind w:left="748" w:right="198" w:hanging="540"/>
              <w:jc w:val="left"/>
              <w:rPr>
                <w:rFonts w:ascii="宋体" w:hAnsi="宋体" w:cs="宋体" w:eastAsia="宋体" w:hint="default"/>
                <w:sz w:val="24"/>
                <w:szCs w:val="24"/>
              </w:rPr>
            </w:pPr>
            <w:r>
              <w:rPr>
                <w:rFonts w:ascii="Arial" w:hAnsi="Arial" w:cs="Arial" w:eastAsia="Arial" w:hint="default"/>
                <w:w w:val="95"/>
                <w:sz w:val="24"/>
                <w:szCs w:val="24"/>
              </w:rPr>
              <w:t>•</w:t>
              <w:tab/>
            </w:r>
            <w:r>
              <w:rPr>
                <w:rFonts w:ascii="宋体" w:hAnsi="宋体" w:cs="宋体" w:eastAsia="宋体" w:hint="default"/>
                <w:spacing w:val="6"/>
                <w:sz w:val="24"/>
                <w:szCs w:val="24"/>
              </w:rPr>
              <w:t>本集团内该纳税主体拥有以净额结算当期所得税资产及当期所得税负债的法定权</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利。</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9"/>
        <w:gridCol w:w="9478"/>
      </w:tblGrid>
      <w:tr>
        <w:trPr>
          <w:trHeight w:val="419"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5" w:lineRule="exact"/>
              <w:ind w:left="59" w:right="0"/>
              <w:jc w:val="center"/>
              <w:rPr>
                <w:rFonts w:ascii="Arial" w:hAnsi="Arial" w:cs="Arial" w:eastAsia="Arial" w:hint="default"/>
                <w:sz w:val="24"/>
                <w:szCs w:val="24"/>
              </w:rPr>
            </w:pPr>
            <w:r>
              <w:rPr>
                <w:rFonts w:ascii="Arial"/>
                <w:sz w:val="24"/>
              </w:rPr>
              <w:t>(28)</w:t>
            </w:r>
          </w:p>
        </w:tc>
        <w:tc>
          <w:tcPr>
            <w:tcW w:w="9478" w:type="dxa"/>
            <w:tcBorders>
              <w:top w:val="nil" w:sz="6" w:space="0" w:color="auto"/>
              <w:left w:val="nil" w:sz="6" w:space="0" w:color="auto"/>
              <w:bottom w:val="nil" w:sz="6" w:space="0" w:color="auto"/>
              <w:right w:val="nil" w:sz="6" w:space="0" w:color="auto"/>
            </w:tcBorders>
          </w:tcPr>
          <w:p>
            <w:pPr>
              <w:pStyle w:val="TableParagraph"/>
              <w:spacing w:line="245" w:lineRule="exact"/>
              <w:ind w:left="139" w:right="0"/>
              <w:jc w:val="left"/>
              <w:rPr>
                <w:rFonts w:ascii="宋体" w:hAnsi="宋体" w:cs="宋体" w:eastAsia="宋体" w:hint="default"/>
                <w:sz w:val="24"/>
                <w:szCs w:val="24"/>
              </w:rPr>
            </w:pPr>
            <w:r>
              <w:rPr>
                <w:rFonts w:ascii="宋体" w:hAnsi="宋体" w:cs="宋体" w:eastAsia="宋体" w:hint="default"/>
                <w:b/>
                <w:bCs/>
                <w:sz w:val="24"/>
                <w:szCs w:val="24"/>
              </w:rPr>
              <w:t>租赁</w:t>
            </w:r>
            <w:r>
              <w:rPr>
                <w:rFonts w:ascii="宋体" w:hAnsi="宋体" w:cs="宋体" w:eastAsia="宋体" w:hint="default"/>
                <w:sz w:val="24"/>
                <w:szCs w:val="24"/>
              </w:rPr>
            </w:r>
          </w:p>
        </w:tc>
      </w:tr>
      <w:tr>
        <w:trPr>
          <w:trHeight w:val="900" w:hRule="exact"/>
        </w:trPr>
        <w:tc>
          <w:tcPr>
            <w:tcW w:w="769"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9" w:right="201"/>
              <w:jc w:val="left"/>
              <w:rPr>
                <w:rFonts w:ascii="宋体" w:hAnsi="宋体" w:cs="宋体" w:eastAsia="宋体" w:hint="default"/>
                <w:sz w:val="24"/>
                <w:szCs w:val="24"/>
              </w:rPr>
            </w:pPr>
            <w:r>
              <w:rPr>
                <w:rFonts w:ascii="宋体" w:hAnsi="宋体" w:cs="宋体" w:eastAsia="宋体" w:hint="default"/>
                <w:sz w:val="24"/>
                <w:szCs w:val="24"/>
              </w:rPr>
              <w:t>实质上转移了与资产所有权有关的全部风险和报酬的租赁为融资租赁。其他的租赁为经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营租赁。</w:t>
            </w:r>
          </w:p>
        </w:tc>
      </w:tr>
      <w:tr>
        <w:trPr>
          <w:trHeight w:val="586" w:hRule="exact"/>
        </w:trPr>
        <w:tc>
          <w:tcPr>
            <w:tcW w:w="769"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9" w:right="0"/>
              <w:jc w:val="left"/>
              <w:rPr>
                <w:rFonts w:ascii="宋体" w:hAnsi="宋体" w:cs="宋体" w:eastAsia="宋体" w:hint="default"/>
                <w:sz w:val="24"/>
                <w:szCs w:val="24"/>
              </w:rPr>
            </w:pPr>
            <w:r>
              <w:rPr>
                <w:rFonts w:ascii="宋体" w:hAnsi="宋体" w:cs="宋体" w:eastAsia="宋体" w:hint="default"/>
                <w:sz w:val="24"/>
                <w:szCs w:val="24"/>
              </w:rPr>
              <w:t>经营租赁的租金支出在租赁期内按照直线法计入当期损益。</w:t>
            </w:r>
          </w:p>
        </w:tc>
      </w:tr>
      <w:tr>
        <w:trPr>
          <w:trHeight w:val="5301"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60" w:right="0"/>
              <w:jc w:val="center"/>
              <w:rPr>
                <w:rFonts w:ascii="Arial" w:hAnsi="Arial" w:cs="Arial" w:eastAsia="Arial" w:hint="default"/>
                <w:sz w:val="24"/>
                <w:szCs w:val="24"/>
              </w:rPr>
            </w:pPr>
            <w:r>
              <w:rPr>
                <w:rFonts w:ascii="Arial"/>
                <w:sz w:val="24"/>
              </w:rPr>
              <w:t>(29)</w:t>
            </w: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9" w:right="0"/>
              <w:jc w:val="both"/>
              <w:rPr>
                <w:rFonts w:ascii="宋体" w:hAnsi="宋体" w:cs="宋体" w:eastAsia="宋体" w:hint="default"/>
                <w:sz w:val="24"/>
                <w:szCs w:val="24"/>
              </w:rPr>
            </w:pPr>
            <w:r>
              <w:rPr>
                <w:rFonts w:ascii="宋体" w:hAnsi="宋体" w:cs="宋体" w:eastAsia="宋体" w:hint="default"/>
                <w:b/>
                <w:bCs/>
                <w:sz w:val="24"/>
                <w:szCs w:val="24"/>
              </w:rPr>
              <w:t>股份支付</w:t>
            </w:r>
            <w:r>
              <w:rPr>
                <w:rFonts w:ascii="宋体" w:hAnsi="宋体" w:cs="宋体" w:eastAsia="宋体" w:hint="default"/>
                <w:sz w:val="24"/>
                <w:szCs w:val="24"/>
              </w:rPr>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139" w:right="198"/>
              <w:jc w:val="both"/>
              <w:rPr>
                <w:rFonts w:ascii="宋体" w:hAnsi="宋体" w:cs="宋体" w:eastAsia="宋体" w:hint="default"/>
                <w:sz w:val="24"/>
                <w:szCs w:val="24"/>
              </w:rPr>
            </w:pPr>
            <w:r>
              <w:rPr>
                <w:rFonts w:ascii="宋体" w:hAnsi="宋体" w:cs="宋体" w:eastAsia="宋体" w:hint="default"/>
                <w:sz w:val="24"/>
                <w:szCs w:val="24"/>
              </w:rPr>
              <w:t>股份支付是为了获取职工提供服务而授予权益工具或者承担以权益工具为基础确定的负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债的交易。股份支付分为以权益结算的股份支付和以现金结算的股份支付。</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ind w:left="139" w:right="198"/>
              <w:jc w:val="both"/>
              <w:rPr>
                <w:rFonts w:ascii="宋体" w:hAnsi="宋体" w:cs="宋体" w:eastAsia="宋体" w:hint="default"/>
                <w:sz w:val="24"/>
                <w:szCs w:val="24"/>
              </w:rPr>
            </w:pPr>
            <w:r>
              <w:rPr>
                <w:rFonts w:ascii="宋体" w:hAnsi="宋体" w:cs="宋体" w:eastAsia="宋体" w:hint="default"/>
                <w:sz w:val="24"/>
                <w:szCs w:val="24"/>
              </w:rPr>
              <w:t>本集团的股票期权计划是为了换取职工提供服务而授予的以权益结算、以股份支付为基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础的报酬计划，以授予职工的股票期权在授予日的公允价值计量，在达到规定业绩条件</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才可行权。本集团采用布莱特</w:t>
            </w:r>
            <w:r>
              <w:rPr>
                <w:rFonts w:ascii="Times New Roman" w:hAnsi="Times New Roman" w:cs="Times New Roman" w:eastAsia="Times New Roman" w:hint="default"/>
                <w:sz w:val="24"/>
                <w:szCs w:val="24"/>
              </w:rPr>
              <w:t>-</w:t>
            </w:r>
            <w:r>
              <w:rPr>
                <w:rFonts w:ascii="宋体" w:hAnsi="宋体" w:cs="宋体" w:eastAsia="宋体" w:hint="default"/>
                <w:sz w:val="24"/>
                <w:szCs w:val="24"/>
              </w:rPr>
              <w:t>斯科尔期权定价模型确定股票期权的公允价值。</w:t>
            </w: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37" w:lineRule="auto"/>
              <w:ind w:left="139" w:right="198"/>
              <w:jc w:val="both"/>
              <w:rPr>
                <w:rFonts w:ascii="宋体" w:hAnsi="宋体" w:cs="宋体" w:eastAsia="宋体" w:hint="default"/>
                <w:sz w:val="24"/>
                <w:szCs w:val="24"/>
              </w:rPr>
            </w:pPr>
            <w:r>
              <w:rPr>
                <w:rFonts w:ascii="宋体" w:hAnsi="宋体" w:cs="宋体" w:eastAsia="宋体" w:hint="default"/>
                <w:sz w:val="24"/>
                <w:szCs w:val="24"/>
              </w:rPr>
              <w:t>在股票期权授予日，即股份支付协议获得批准的日期，不进行会计处理。在等待期内，</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即从授予日至可行权日的时段，在每个资产负债表日，以对可行权股票期权数量的最佳</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估计为基础，按照股票期权在授予日的公允价值，将取得的职工提供的服务计入当期费</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用，同时计入资本公积。后续信息表明可行权股票期权的数量与以前估计不同的，将进</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行调整，并在可行权日调整至实际可行权的股票期权数量。可行权日之后不再对已确认</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的费用和所有者权益总额进行调整。在行权日，本公司发行新股，收取的所得款扣除任</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何直接归属的交易成本，在期权行使时转入股本和股本溢价，同时结转等待期内确认的</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资本公积。</w:t>
            </w:r>
          </w:p>
        </w:tc>
      </w:tr>
    </w:tbl>
    <w:p>
      <w:pPr>
        <w:spacing w:after="0" w:line="237" w:lineRule="auto"/>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9"/>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9"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(30)</w:t>
            </w:r>
          </w:p>
        </w:tc>
        <w:tc>
          <w:tcPr>
            <w:tcW w:w="947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分部信息</w:t>
            </w:r>
            <w:r>
              <w:rPr>
                <w:rFonts w:ascii="宋体" w:hAnsi="宋体" w:cs="宋体" w:eastAsia="宋体" w:hint="default"/>
                <w:sz w:val="24"/>
                <w:szCs w:val="24"/>
              </w:rPr>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5"/>
              <w:jc w:val="left"/>
              <w:rPr>
                <w:rFonts w:ascii="宋体" w:hAnsi="宋体" w:cs="宋体" w:eastAsia="宋体" w:hint="default"/>
                <w:sz w:val="24"/>
                <w:szCs w:val="24"/>
              </w:rPr>
            </w:pPr>
            <w:r>
              <w:rPr>
                <w:rFonts w:ascii="宋体" w:hAnsi="宋体" w:cs="宋体" w:eastAsia="宋体" w:hint="default"/>
                <w:sz w:val="24"/>
                <w:szCs w:val="24"/>
              </w:rPr>
              <w:t>本集团以内部组织结构、管理要求、内部报告制度为依据确定经营分部，以经营分部为</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基础确定报告分部并披露分部信息。</w:t>
            </w:r>
          </w:p>
        </w:tc>
      </w:tr>
      <w:tr>
        <w:trPr>
          <w:trHeight w:val="1836" w:hRule="exact"/>
        </w:trPr>
        <w:tc>
          <w:tcPr>
            <w:tcW w:w="772" w:type="dxa"/>
            <w:tcBorders>
              <w:top w:val="nil" w:sz="6" w:space="0" w:color="auto"/>
              <w:left w:val="nil" w:sz="6" w:space="0" w:color="auto"/>
              <w:bottom w:val="nil" w:sz="6" w:space="0" w:color="auto"/>
              <w:right w:val="nil" w:sz="6" w:space="0" w:color="auto"/>
            </w:tcBorders>
          </w:tcPr>
          <w:p>
            <w:pPr/>
          </w:p>
        </w:tc>
        <w:tc>
          <w:tcPr>
            <w:tcW w:w="9479"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both"/>
              <w:rPr>
                <w:rFonts w:ascii="宋体" w:hAnsi="宋体" w:cs="宋体" w:eastAsia="宋体" w:hint="default"/>
                <w:sz w:val="24"/>
                <w:szCs w:val="24"/>
              </w:rPr>
            </w:pPr>
            <w:r>
              <w:rPr>
                <w:rFonts w:ascii="宋体" w:hAnsi="宋体" w:cs="宋体" w:eastAsia="宋体" w:hint="default"/>
                <w:sz w:val="24"/>
                <w:szCs w:val="24"/>
              </w:rPr>
              <w:t>经营分部是指本集团内同时满足下列条件的组成部分：</w:t>
            </w:r>
            <w:r>
              <w:rPr>
                <w:rFonts w:ascii="Arial" w:hAnsi="Arial" w:cs="Arial" w:eastAsia="Arial" w:hint="default"/>
                <w:sz w:val="24"/>
                <w:szCs w:val="24"/>
              </w:rPr>
              <w:t>(1)</w:t>
            </w:r>
            <w:r>
              <w:rPr>
                <w:rFonts w:ascii="Arial" w:hAnsi="Arial" w:cs="Arial" w:eastAsia="Arial" w:hint="default"/>
                <w:spacing w:val="30"/>
                <w:sz w:val="24"/>
                <w:szCs w:val="24"/>
              </w:rPr>
              <w:t> </w:t>
            </w:r>
            <w:r>
              <w:rPr>
                <w:rFonts w:ascii="宋体" w:hAnsi="宋体" w:cs="宋体" w:eastAsia="宋体" w:hint="default"/>
                <w:spacing w:val="2"/>
                <w:sz w:val="24"/>
                <w:szCs w:val="24"/>
              </w:rPr>
              <w:t>该组成部分能够在日常活动</w:t>
            </w:r>
            <w:r>
              <w:rPr>
                <w:rFonts w:ascii="宋体" w:hAnsi="宋体" w:cs="宋体" w:eastAsia="宋体" w:hint="default"/>
                <w:spacing w:val="-114"/>
                <w:sz w:val="24"/>
                <w:szCs w:val="24"/>
              </w:rPr>
              <w:t> </w:t>
            </w:r>
            <w:r>
              <w:rPr>
                <w:rFonts w:ascii="宋体" w:hAnsi="宋体" w:cs="宋体" w:eastAsia="宋体" w:hint="default"/>
                <w:spacing w:val="-1"/>
                <w:sz w:val="24"/>
                <w:szCs w:val="24"/>
              </w:rPr>
              <w:t>中产生收入、发生费用；</w:t>
            </w:r>
            <w:r>
              <w:rPr>
                <w:rFonts w:ascii="Arial" w:hAnsi="Arial" w:cs="Arial" w:eastAsia="Arial" w:hint="default"/>
                <w:spacing w:val="-1"/>
                <w:sz w:val="24"/>
                <w:szCs w:val="24"/>
              </w:rPr>
              <w:t>(2)</w:t>
            </w:r>
            <w:r>
              <w:rPr>
                <w:rFonts w:ascii="宋体" w:hAnsi="宋体" w:cs="宋体" w:eastAsia="宋体" w:hint="default"/>
                <w:spacing w:val="-1"/>
                <w:sz w:val="24"/>
                <w:szCs w:val="24"/>
              </w:rPr>
              <w:t>本集团管理层能够定期评价该组成部分的经营成果，以决定</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
                <w:sz w:val="24"/>
                <w:szCs w:val="24"/>
              </w:rPr>
              <w:t>向其配置资源、评价其业绩；</w:t>
            </w:r>
            <w:r>
              <w:rPr>
                <w:rFonts w:ascii="Arial" w:hAnsi="Arial" w:cs="Arial" w:eastAsia="Arial" w:hint="default"/>
                <w:spacing w:val="-1"/>
                <w:sz w:val="24"/>
                <w:szCs w:val="24"/>
              </w:rPr>
              <w:t>(3)</w:t>
            </w:r>
            <w:r>
              <w:rPr>
                <w:rFonts w:ascii="宋体" w:hAnsi="宋体" w:cs="宋体" w:eastAsia="宋体" w:hint="default"/>
                <w:spacing w:val="-1"/>
                <w:sz w:val="24"/>
                <w:szCs w:val="24"/>
              </w:rPr>
              <w:t>本集团能够取得该组成部分的财务状况、经营成果和现</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金流量等有关会计信息。两个或多个经营分部具有相似的经济特征，并且满足一定条件</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的，则可合并为一个经营分部。</w:t>
            </w:r>
          </w:p>
        </w:tc>
      </w:tr>
      <w:tr>
        <w:trPr>
          <w:trHeight w:val="726" w:hRule="exact"/>
        </w:trPr>
        <w:tc>
          <w:tcPr>
            <w:tcW w:w="772" w:type="dxa"/>
            <w:tcBorders>
              <w:top w:val="nil" w:sz="6" w:space="0" w:color="auto"/>
              <w:left w:val="nil" w:sz="6" w:space="0" w:color="auto"/>
              <w:bottom w:val="nil" w:sz="6" w:space="0" w:color="auto"/>
              <w:right w:val="nil" w:sz="6" w:space="0" w:color="auto"/>
            </w:tcBorders>
          </w:tcPr>
          <w:p>
            <w:pPr/>
          </w:p>
        </w:tc>
        <w:tc>
          <w:tcPr>
            <w:tcW w:w="947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200"/>
              <w:jc w:val="left"/>
              <w:rPr>
                <w:rFonts w:ascii="宋体" w:hAnsi="宋体" w:cs="宋体" w:eastAsia="宋体" w:hint="default"/>
                <w:sz w:val="24"/>
                <w:szCs w:val="24"/>
              </w:rPr>
            </w:pPr>
            <w:r>
              <w:rPr>
                <w:rFonts w:ascii="宋体" w:hAnsi="宋体" w:cs="宋体" w:eastAsia="宋体" w:hint="default"/>
                <w:sz w:val="24"/>
                <w:szCs w:val="24"/>
              </w:rPr>
              <w:t>由于本集团收入及业绩超过</w:t>
            </w:r>
            <w:r>
              <w:rPr>
                <w:rFonts w:ascii="宋体" w:hAnsi="宋体" w:cs="宋体" w:eastAsia="宋体" w:hint="default"/>
                <w:spacing w:val="-100"/>
                <w:sz w:val="24"/>
                <w:szCs w:val="24"/>
              </w:rPr>
              <w:t> </w:t>
            </w:r>
            <w:r>
              <w:rPr>
                <w:rFonts w:ascii="Arial" w:hAnsi="Arial" w:cs="Arial" w:eastAsia="Arial" w:hint="default"/>
                <w:sz w:val="24"/>
                <w:szCs w:val="24"/>
              </w:rPr>
              <w:t>90%</w:t>
            </w:r>
            <w:r>
              <w:rPr>
                <w:rFonts w:ascii="宋体" w:hAnsi="宋体" w:cs="宋体" w:eastAsia="宋体" w:hint="default"/>
                <w:sz w:val="24"/>
                <w:szCs w:val="24"/>
              </w:rPr>
              <w:t>源自电器及消费电子产品的零售业务，因此并未呈列经 营分部分析。</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68"/>
        <w:gridCol w:w="9485"/>
      </w:tblGrid>
      <w:tr>
        <w:trPr>
          <w:trHeight w:val="41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(31)</w:t>
            </w:r>
          </w:p>
        </w:tc>
        <w:tc>
          <w:tcPr>
            <w:tcW w:w="9485" w:type="dxa"/>
            <w:tcBorders>
              <w:top w:val="nil" w:sz="6" w:space="0" w:color="auto"/>
              <w:left w:val="nil" w:sz="6" w:space="0" w:color="auto"/>
              <w:bottom w:val="nil" w:sz="6" w:space="0" w:color="auto"/>
              <w:right w:val="nil" w:sz="6" w:space="0" w:color="auto"/>
            </w:tcBorders>
          </w:tcPr>
          <w:p>
            <w:pPr>
              <w:pStyle w:val="TableParagraph"/>
              <w:spacing w:line="245" w:lineRule="exact"/>
              <w:ind w:left="140" w:right="0"/>
              <w:jc w:val="left"/>
              <w:rPr>
                <w:rFonts w:ascii="宋体" w:hAnsi="宋体" w:cs="宋体" w:eastAsia="宋体" w:hint="default"/>
                <w:sz w:val="24"/>
                <w:szCs w:val="24"/>
              </w:rPr>
            </w:pPr>
            <w:r>
              <w:rPr>
                <w:rFonts w:ascii="宋体" w:hAnsi="宋体" w:cs="宋体" w:eastAsia="宋体" w:hint="default"/>
                <w:b/>
                <w:bCs/>
                <w:sz w:val="24"/>
                <w:szCs w:val="24"/>
              </w:rPr>
              <w:t>重要会计估计和判断</w:t>
            </w:r>
            <w:r>
              <w:rPr>
                <w:rFonts w:ascii="宋体" w:hAnsi="宋体" w:cs="宋体" w:eastAsia="宋体" w:hint="default"/>
                <w:sz w:val="24"/>
                <w:szCs w:val="24"/>
              </w:rPr>
            </w:r>
          </w:p>
        </w:tc>
      </w:tr>
      <w:tr>
        <w:trPr>
          <w:trHeight w:val="898"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40" w:right="201"/>
              <w:jc w:val="left"/>
              <w:rPr>
                <w:rFonts w:ascii="宋体" w:hAnsi="宋体" w:cs="宋体" w:eastAsia="宋体" w:hint="default"/>
                <w:sz w:val="24"/>
                <w:szCs w:val="24"/>
              </w:rPr>
            </w:pPr>
            <w:r>
              <w:rPr>
                <w:rFonts w:ascii="宋体" w:hAnsi="宋体" w:cs="宋体" w:eastAsia="宋体" w:hint="default"/>
                <w:sz w:val="24"/>
                <w:szCs w:val="24"/>
              </w:rPr>
              <w:t>本集团根据历史经验和其它因素，包括对未来事项的合理预期，对所采用的重要会计估</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计和关键判断进行持续的评价。</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48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0" w:right="0"/>
              <w:jc w:val="left"/>
              <w:rPr>
                <w:rFonts w:ascii="宋体" w:hAnsi="宋体" w:cs="宋体" w:eastAsia="宋体" w:hint="default"/>
                <w:sz w:val="24"/>
                <w:szCs w:val="24"/>
              </w:rPr>
            </w:pPr>
            <w:r>
              <w:rPr>
                <w:rFonts w:ascii="宋体" w:hAnsi="宋体" w:cs="宋体" w:eastAsia="宋体" w:hint="default"/>
                <w:sz w:val="24"/>
                <w:szCs w:val="24"/>
              </w:rPr>
              <w:t>重要会计估计及其关键假设</w:t>
            </w:r>
          </w:p>
        </w:tc>
      </w:tr>
      <w:tr>
        <w:trPr>
          <w:trHeight w:val="726" w:hRule="exact"/>
        </w:trPr>
        <w:tc>
          <w:tcPr>
            <w:tcW w:w="768" w:type="dxa"/>
            <w:tcBorders>
              <w:top w:val="nil" w:sz="6" w:space="0" w:color="auto"/>
              <w:left w:val="nil" w:sz="6" w:space="0" w:color="auto"/>
              <w:bottom w:val="nil" w:sz="6" w:space="0" w:color="auto"/>
              <w:right w:val="nil" w:sz="6" w:space="0" w:color="auto"/>
            </w:tcBorders>
          </w:tcPr>
          <w:p>
            <w:pPr/>
          </w:p>
        </w:tc>
        <w:tc>
          <w:tcPr>
            <w:tcW w:w="948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0" w:right="198"/>
              <w:jc w:val="left"/>
              <w:rPr>
                <w:rFonts w:ascii="宋体" w:hAnsi="宋体" w:cs="宋体" w:eastAsia="宋体" w:hint="default"/>
                <w:sz w:val="24"/>
                <w:szCs w:val="24"/>
              </w:rPr>
            </w:pPr>
            <w:r>
              <w:rPr>
                <w:rFonts w:ascii="宋体" w:hAnsi="宋体" w:cs="宋体" w:eastAsia="宋体" w:hint="default"/>
                <w:sz w:val="24"/>
                <w:szCs w:val="24"/>
              </w:rPr>
              <w:t>下列重要会计估计及关键假设存在会导致下一会计年度资产和负债的账面价值出现重大</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调整的重要风险：</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8"/>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(31)</w:t>
            </w: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重要会计估计和判断</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重要会计估计及其关键假设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(i)</w:t>
            </w: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宋体" w:hAnsi="宋体" w:cs="宋体" w:eastAsia="宋体" w:hint="default"/>
                <w:sz w:val="24"/>
                <w:szCs w:val="24"/>
              </w:rPr>
            </w:pPr>
            <w:r>
              <w:rPr>
                <w:rFonts w:ascii="宋体" w:hAnsi="宋体" w:cs="宋体" w:eastAsia="宋体" w:hint="default"/>
                <w:sz w:val="24"/>
                <w:szCs w:val="24"/>
              </w:rPr>
              <w:t>商誉减值准备的会计估计</w:t>
            </w:r>
          </w:p>
        </w:tc>
      </w:tr>
      <w:tr>
        <w:trPr>
          <w:trHeight w:val="906" w:hRule="exact"/>
        </w:trPr>
        <w:tc>
          <w:tcPr>
            <w:tcW w:w="772"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z w:val="24"/>
                <w:szCs w:val="24"/>
              </w:rPr>
              <w:t>本集团每年对商誉进行减值测试。包含商誉的资产组和资产组组合的可收回金额为其预</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计未来现金流量的现值，其计算需要采用会计估计</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(14))</w:t>
            </w:r>
            <w:r>
              <w:rPr>
                <w:rFonts w:ascii="宋体" w:hAnsi="宋体" w:cs="宋体" w:eastAsia="宋体" w:hint="default"/>
                <w:sz w:val="24"/>
                <w:szCs w:val="24"/>
              </w:rPr>
              <w:t>。</w:t>
            </w:r>
          </w:p>
        </w:tc>
      </w:tr>
      <w:tr>
        <w:trPr>
          <w:trHeight w:val="894" w:hRule="exact"/>
        </w:trPr>
        <w:tc>
          <w:tcPr>
            <w:tcW w:w="772"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198"/>
              <w:jc w:val="left"/>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如果管理层对资产组和资产组组合未来现金流量计算中采用的毛利率进行修订，修订后</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的毛利率低于目前采用的毛利率，本集团需对商誉增加计提减值准备。</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left"/>
              <w:rPr>
                <w:rFonts w:ascii="宋体" w:hAnsi="宋体" w:cs="宋体" w:eastAsia="宋体" w:hint="default"/>
                <w:sz w:val="24"/>
                <w:szCs w:val="24"/>
              </w:rPr>
            </w:pPr>
            <w:r>
              <w:rPr>
                <w:rFonts w:ascii="宋体" w:hAnsi="宋体" w:cs="宋体" w:eastAsia="宋体" w:hint="default"/>
                <w:sz w:val="24"/>
                <w:szCs w:val="24"/>
              </w:rPr>
              <w:t>如果管理层对应用于现金流量折现的税前折现率进行重新修订，修订后的税前折现率高</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于目前采用的折现率，本集团需对商誉增加计提减值准备。</w:t>
            </w:r>
          </w:p>
        </w:tc>
      </w:tr>
      <w:tr>
        <w:trPr>
          <w:trHeight w:val="898" w:hRule="exact"/>
        </w:trPr>
        <w:tc>
          <w:tcPr>
            <w:tcW w:w="772"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left"/>
              <w:rPr>
                <w:rFonts w:ascii="宋体" w:hAnsi="宋体" w:cs="宋体" w:eastAsia="宋体" w:hint="default"/>
                <w:sz w:val="24"/>
                <w:szCs w:val="24"/>
              </w:rPr>
            </w:pPr>
            <w:r>
              <w:rPr>
                <w:rFonts w:ascii="宋体" w:hAnsi="宋体" w:cs="宋体" w:eastAsia="宋体" w:hint="default"/>
                <w:sz w:val="24"/>
                <w:szCs w:val="24"/>
              </w:rPr>
              <w:t>如果实际毛利率或税前折现率高于或低于管理层的估计，本集团不转回原已计提的商誉</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减值损失。</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(ii)</w:t>
            </w:r>
          </w:p>
        </w:tc>
        <w:tc>
          <w:tcPr>
            <w:tcW w:w="94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所得税</w:t>
            </w:r>
          </w:p>
        </w:tc>
      </w:tr>
      <w:tr>
        <w:trPr>
          <w:trHeight w:val="1350" w:hRule="exact"/>
        </w:trPr>
        <w:tc>
          <w:tcPr>
            <w:tcW w:w="772" w:type="dxa"/>
            <w:tcBorders>
              <w:top w:val="nil" w:sz="6" w:space="0" w:color="auto"/>
              <w:left w:val="nil" w:sz="6" w:space="0" w:color="auto"/>
              <w:bottom w:val="nil" w:sz="6" w:space="0" w:color="auto"/>
              <w:right w:val="nil" w:sz="6" w:space="0" w:color="auto"/>
            </w:tcBorders>
          </w:tcPr>
          <w:p>
            <w:pPr/>
          </w:p>
        </w:tc>
        <w:tc>
          <w:tcPr>
            <w:tcW w:w="9478"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both"/>
              <w:rPr>
                <w:rFonts w:ascii="宋体" w:hAnsi="宋体" w:cs="宋体" w:eastAsia="宋体" w:hint="default"/>
                <w:sz w:val="24"/>
                <w:szCs w:val="24"/>
              </w:rPr>
            </w:pPr>
            <w:r>
              <w:rPr>
                <w:rFonts w:ascii="宋体" w:hAnsi="宋体" w:cs="宋体" w:eastAsia="宋体" w:hint="default"/>
                <w:sz w:val="24"/>
                <w:szCs w:val="24"/>
              </w:rPr>
              <w:t>本集团在多个地区缴纳企业所得税。在正常的经营活动中，很多交易和事项的最终税务</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处理都存在不确定性。在计提各个地区的所得税费用时，本集团需要作出重大判断。如</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果这些税务事项的最终认定结果与最初入账的金额存在差异，该差异将对作出上述最终</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认定期间的所得税费用和递延所得税的金额产生影响。</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75"/>
      </w:tblGrid>
      <w:tr>
        <w:trPr>
          <w:trHeight w:val="7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9475"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主要会计政策和会计估计</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62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(31)</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6" w:right="0"/>
              <w:jc w:val="left"/>
              <w:rPr>
                <w:rFonts w:ascii="Arial" w:hAnsi="Arial" w:cs="Arial" w:eastAsia="Arial" w:hint="default"/>
                <w:sz w:val="24"/>
                <w:szCs w:val="24"/>
              </w:rPr>
            </w:pPr>
            <w:r>
              <w:rPr>
                <w:rFonts w:ascii="宋体" w:hAnsi="宋体" w:cs="宋体" w:eastAsia="宋体" w:hint="default"/>
                <w:b/>
                <w:bCs/>
                <w:sz w:val="24"/>
                <w:szCs w:val="24"/>
              </w:rPr>
              <w:t>重要会计估计和判断</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60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(b)</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6" w:right="0"/>
              <w:jc w:val="left"/>
              <w:rPr>
                <w:rFonts w:ascii="宋体" w:hAnsi="宋体" w:cs="宋体" w:eastAsia="宋体" w:hint="default"/>
                <w:sz w:val="24"/>
                <w:szCs w:val="24"/>
              </w:rPr>
            </w:pPr>
            <w:r>
              <w:rPr>
                <w:rFonts w:ascii="宋体" w:hAnsi="宋体" w:cs="宋体" w:eastAsia="宋体" w:hint="default"/>
                <w:sz w:val="24"/>
                <w:szCs w:val="24"/>
              </w:rPr>
              <w:t>采用会计政策的关键判断</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w:t>
            </w:r>
          </w:p>
        </w:tc>
        <w:tc>
          <w:tcPr>
            <w:tcW w:w="947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存货跌价准备</w:t>
            </w:r>
          </w:p>
        </w:tc>
      </w:tr>
      <w:tr>
        <w:trPr>
          <w:trHeight w:val="1974" w:hRule="exact"/>
        </w:trPr>
        <w:tc>
          <w:tcPr>
            <w:tcW w:w="772" w:type="dxa"/>
            <w:tcBorders>
              <w:top w:val="nil" w:sz="6" w:space="0" w:color="auto"/>
              <w:left w:val="nil" w:sz="6" w:space="0" w:color="auto"/>
              <w:bottom w:val="nil" w:sz="6" w:space="0" w:color="auto"/>
              <w:right w:val="nil" w:sz="6" w:space="0" w:color="auto"/>
            </w:tcBorders>
          </w:tcPr>
          <w:p>
            <w:pPr/>
          </w:p>
        </w:tc>
        <w:tc>
          <w:tcPr>
            <w:tcW w:w="947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both"/>
              <w:rPr>
                <w:rFonts w:ascii="宋体" w:hAnsi="宋体" w:cs="宋体" w:eastAsia="宋体" w:hint="default"/>
                <w:sz w:val="24"/>
                <w:szCs w:val="24"/>
              </w:rPr>
            </w:pPr>
            <w:r>
              <w:rPr>
                <w:rFonts w:ascii="宋体" w:hAnsi="宋体" w:cs="宋体" w:eastAsia="宋体" w:hint="default"/>
                <w:sz w:val="24"/>
                <w:szCs w:val="24"/>
              </w:rPr>
              <w:t>本集团将大量的流动资金投入存货，对于存货跌价准备的风险，本集团已经执行了严格</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的措施加以监控。对于低于采购价的商品销售，除非有供应商的商业折扣确认函，否则</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Arial" w:hAnsi="Arial" w:cs="Arial" w:eastAsia="Arial" w:hint="default"/>
                <w:sz w:val="24"/>
                <w:szCs w:val="24"/>
              </w:rPr>
              <w:t>SAP/ERP</w:t>
            </w:r>
            <w:r>
              <w:rPr>
                <w:rFonts w:ascii="Arial" w:hAnsi="Arial" w:cs="Arial" w:eastAsia="Arial" w:hint="default"/>
                <w:spacing w:val="33"/>
                <w:sz w:val="24"/>
                <w:szCs w:val="24"/>
              </w:rPr>
              <w:t> </w:t>
            </w:r>
            <w:r>
              <w:rPr>
                <w:rFonts w:ascii="宋体" w:hAnsi="宋体" w:cs="宋体" w:eastAsia="宋体" w:hint="default"/>
                <w:sz w:val="24"/>
                <w:szCs w:val="24"/>
              </w:rPr>
              <w:t>系统不能产生提货单实现销售。对于存货账龄清单上滞销的存货，大部分可</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以根据供应商的退货保证退回供应商；对于供应商没有退货保证的，或者已经不再与本</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集团进行交易的供应商，本集团根据滞销存货的账面价值高于各自的可变现净值的差额</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计提存货跌价准备。</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694"/>
        <w:gridCol w:w="2777"/>
        <w:gridCol w:w="2754"/>
        <w:gridCol w:w="1791"/>
        <w:gridCol w:w="2288"/>
      </w:tblGrid>
      <w:tr>
        <w:trPr>
          <w:trHeight w:val="419"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2777" w:type="dxa"/>
            <w:tcBorders>
              <w:top w:val="nil" w:sz="6" w:space="0" w:color="auto"/>
              <w:left w:val="nil" w:sz="6" w:space="0" w:color="auto"/>
              <w:bottom w:val="nil" w:sz="6" w:space="0" w:color="auto"/>
              <w:right w:val="nil" w:sz="6" w:space="0" w:color="auto"/>
            </w:tcBorders>
          </w:tcPr>
          <w:p>
            <w:pPr>
              <w:pStyle w:val="TableParagraph"/>
              <w:spacing w:line="245" w:lineRule="exact"/>
              <w:ind w:left="214" w:right="0"/>
              <w:jc w:val="left"/>
              <w:rPr>
                <w:rFonts w:ascii="宋体" w:hAnsi="宋体" w:cs="宋体" w:eastAsia="宋体" w:hint="default"/>
                <w:sz w:val="24"/>
                <w:szCs w:val="24"/>
              </w:rPr>
            </w:pPr>
            <w:r>
              <w:rPr>
                <w:rFonts w:ascii="宋体" w:hAnsi="宋体" w:cs="宋体" w:eastAsia="宋体" w:hint="default"/>
                <w:sz w:val="24"/>
                <w:szCs w:val="24"/>
              </w:rPr>
              <w:t>积分计划</w:t>
            </w:r>
          </w:p>
        </w:tc>
        <w:tc>
          <w:tcPr>
            <w:tcW w:w="275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r>
      <w:tr>
        <w:trPr>
          <w:trHeight w:val="2458" w:hRule="exact"/>
        </w:trPr>
        <w:tc>
          <w:tcPr>
            <w:tcW w:w="10304"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31"/>
              <w:ind w:left="908" w:right="256"/>
              <w:jc w:val="both"/>
              <w:rPr>
                <w:rFonts w:ascii="宋体" w:hAnsi="宋体" w:cs="宋体" w:eastAsia="宋体" w:hint="default"/>
                <w:sz w:val="24"/>
                <w:szCs w:val="24"/>
              </w:rPr>
            </w:pPr>
            <w:r>
              <w:rPr>
                <w:rFonts w:ascii="宋体" w:hAnsi="宋体" w:cs="宋体" w:eastAsia="宋体" w:hint="default"/>
                <w:sz w:val="24"/>
                <w:szCs w:val="24"/>
              </w:rPr>
              <w:t>本集团实施积分计划，顾客前次消费额产生的积分，可以在下次消费时抵用。授予顾客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的积分奖励作为销售交易的一部分。销售取得的货款在商品销售产生的收入与奖励积分</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之间进行分配，与奖励积分相关的部分首先作为递延收益，待顾客兑换奖励积分或失效</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时，结转计入当期损益。予以递延确认的收益以授予顾客的积分为基准，并根据本集团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已公布的积分使用方法和积分的预期兑付率，按公允价值确认。预期兑付率的可靠估计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有赖于数理统计。于每个资产负债表日，本集团将根据积分的实际兑付情况，对预期兑</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付率进行重新估算，并调整递延收益余额。</w:t>
            </w:r>
          </w:p>
        </w:tc>
      </w:tr>
      <w:tr>
        <w:trPr>
          <w:trHeight w:val="591"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4"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2754"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r>
      <w:tr>
        <w:trPr>
          <w:trHeight w:val="588" w:hRule="exact"/>
        </w:trPr>
        <w:tc>
          <w:tcPr>
            <w:tcW w:w="694" w:type="dxa"/>
            <w:tcBorders>
              <w:top w:val="nil" w:sz="6" w:space="0" w:color="auto"/>
              <w:left w:val="nil" w:sz="6" w:space="0" w:color="auto"/>
              <w:bottom w:val="nil" w:sz="6" w:space="0" w:color="auto"/>
              <w:right w:val="nil" w:sz="6" w:space="0" w:color="auto"/>
            </w:tcBorders>
          </w:tcPr>
          <w:p>
            <w:pPr/>
          </w:p>
        </w:tc>
        <w:tc>
          <w:tcPr>
            <w:tcW w:w="73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14"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c>
          <w:tcPr>
            <w:tcW w:w="2288" w:type="dxa"/>
            <w:tcBorders>
              <w:top w:val="nil" w:sz="6" w:space="0" w:color="auto"/>
              <w:left w:val="nil" w:sz="6" w:space="0" w:color="auto"/>
              <w:bottom w:val="nil" w:sz="6" w:space="0" w:color="auto"/>
              <w:right w:val="nil" w:sz="6" w:space="0" w:color="auto"/>
            </w:tcBorders>
          </w:tcPr>
          <w:p>
            <w:pPr/>
          </w:p>
        </w:tc>
      </w:tr>
      <w:tr>
        <w:trPr>
          <w:trHeight w:val="586"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22" w:right="0"/>
              <w:jc w:val="left"/>
              <w:rPr>
                <w:rFonts w:ascii="宋体" w:hAnsi="宋体" w:cs="宋体" w:eastAsia="宋体" w:hint="default"/>
                <w:sz w:val="24"/>
                <w:szCs w:val="24"/>
              </w:rPr>
            </w:pPr>
            <w:r>
              <w:rPr>
                <w:rFonts w:ascii="宋体" w:hAnsi="宋体" w:cs="宋体" w:eastAsia="宋体" w:hint="default"/>
                <w:sz w:val="24"/>
                <w:szCs w:val="24"/>
              </w:rPr>
              <w:t>预计使用寿命</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2" w:right="0"/>
              <w:jc w:val="left"/>
              <w:rPr>
                <w:rFonts w:ascii="宋体" w:hAnsi="宋体" w:cs="宋体" w:eastAsia="宋体" w:hint="default"/>
                <w:sz w:val="24"/>
                <w:szCs w:val="24"/>
              </w:rPr>
            </w:pPr>
            <w:r>
              <w:rPr>
                <w:rFonts w:ascii="宋体" w:hAnsi="宋体" w:cs="宋体" w:eastAsia="宋体" w:hint="default"/>
                <w:sz w:val="24"/>
                <w:szCs w:val="24"/>
              </w:rPr>
              <w:t>预计净残值率</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8"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6"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4"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22" w:right="0"/>
              <w:jc w:val="lef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92" w:right="0"/>
              <w:jc w:val="left"/>
              <w:rPr>
                <w:rFonts w:ascii="Arial" w:hAnsi="Arial" w:cs="Arial" w:eastAsia="Arial" w:hint="default"/>
                <w:sz w:val="24"/>
                <w:szCs w:val="24"/>
              </w:rPr>
            </w:pPr>
            <w:r>
              <w:rPr>
                <w:rFonts w:ascii="Arial"/>
                <w:sz w:val="24"/>
              </w:rPr>
              <w:t>3%</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8" w:right="0"/>
              <w:jc w:val="left"/>
              <w:rPr>
                <w:rFonts w:ascii="Arial" w:hAnsi="Arial" w:cs="Arial" w:eastAsia="Arial" w:hint="default"/>
                <w:sz w:val="24"/>
                <w:szCs w:val="24"/>
              </w:rPr>
            </w:pPr>
            <w:r>
              <w:rPr>
                <w:rFonts w:ascii="Arial" w:hAnsi="Arial" w:cs="Arial" w:eastAsia="Arial" w:hint="default"/>
                <w:sz w:val="24"/>
                <w:szCs w:val="24"/>
              </w:rPr>
              <w:t>2.42%</w:t>
            </w:r>
            <w:r>
              <w:rPr>
                <w:rFonts w:ascii="宋体" w:hAnsi="宋体" w:cs="宋体" w:eastAsia="宋体" w:hint="default"/>
                <w:sz w:val="24"/>
                <w:szCs w:val="24"/>
              </w:rPr>
              <w:t>至</w:t>
            </w:r>
            <w:r>
              <w:rPr>
                <w:rFonts w:ascii="宋体" w:hAnsi="宋体" w:cs="宋体" w:eastAsia="宋体" w:hint="default"/>
                <w:spacing w:val="-64"/>
                <w:sz w:val="24"/>
                <w:szCs w:val="24"/>
              </w:rPr>
              <w:t> </w:t>
            </w:r>
            <w:r>
              <w:rPr>
                <w:rFonts w:ascii="Arial" w:hAnsi="Arial" w:cs="Arial" w:eastAsia="Arial" w:hint="default"/>
                <w:sz w:val="24"/>
                <w:szCs w:val="24"/>
              </w:rPr>
              <w:t>4.85%</w:t>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73" w:lineRule="exact"/>
              <w:ind w:left="214"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288"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9.70%</w:t>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73" w:lineRule="exact"/>
              <w:ind w:left="214"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288"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19.40%</w:t>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73" w:lineRule="exact"/>
              <w:ind w:left="214"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288" w:type="dxa"/>
            <w:tcBorders>
              <w:top w:val="nil" w:sz="6" w:space="0" w:color="auto"/>
              <w:left w:val="nil" w:sz="6" w:space="0" w:color="auto"/>
              <w:bottom w:val="nil" w:sz="6" w:space="0" w:color="auto"/>
              <w:right w:val="nil" w:sz="6" w:space="0" w:color="auto"/>
            </w:tcBorders>
          </w:tcPr>
          <w:p>
            <w:pPr>
              <w:pStyle w:val="TableParagraph"/>
              <w:spacing w:line="290" w:lineRule="exact"/>
              <w:ind w:left="158" w:right="0"/>
              <w:jc w:val="lef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6"/>
                <w:sz w:val="24"/>
                <w:szCs w:val="24"/>
              </w:rPr>
              <w:t> </w:t>
            </w:r>
            <w:r>
              <w:rPr>
                <w:rFonts w:ascii="Arial" w:hAnsi="Arial" w:cs="Arial" w:eastAsia="Arial" w:hint="default"/>
                <w:sz w:val="24"/>
                <w:szCs w:val="24"/>
              </w:rPr>
              <w:t>32.33%</w:t>
            </w:r>
          </w:p>
        </w:tc>
      </w:tr>
      <w:tr>
        <w:trPr>
          <w:trHeight w:val="453" w:hRule="exact"/>
        </w:trPr>
        <w:tc>
          <w:tcPr>
            <w:tcW w:w="69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73" w:lineRule="exact"/>
              <w:ind w:left="214"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54" w:type="dxa"/>
            <w:tcBorders>
              <w:top w:val="nil" w:sz="6" w:space="0" w:color="auto"/>
              <w:left w:val="nil" w:sz="6" w:space="0" w:color="auto"/>
              <w:bottom w:val="nil" w:sz="6" w:space="0" w:color="auto"/>
              <w:right w:val="nil" w:sz="6" w:space="0" w:color="auto"/>
            </w:tcBorders>
          </w:tcPr>
          <w:p>
            <w:pPr>
              <w:pStyle w:val="TableParagraph"/>
              <w:spacing w:line="290" w:lineRule="exact"/>
              <w:ind w:left="1122" w:right="0"/>
              <w:jc w:val="lef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791" w:type="dxa"/>
            <w:tcBorders>
              <w:top w:val="nil" w:sz="6" w:space="0" w:color="auto"/>
              <w:left w:val="nil" w:sz="6" w:space="0" w:color="auto"/>
              <w:bottom w:val="nil" w:sz="6" w:space="0" w:color="auto"/>
              <w:right w:val="nil" w:sz="6" w:space="0" w:color="auto"/>
            </w:tcBorders>
          </w:tcPr>
          <w:p>
            <w:pPr>
              <w:pStyle w:val="TableParagraph"/>
              <w:spacing w:line="273" w:lineRule="exact"/>
              <w:ind w:left="192" w:right="0"/>
              <w:jc w:val="left"/>
              <w:rPr>
                <w:rFonts w:ascii="Arial" w:hAnsi="Arial" w:cs="Arial" w:eastAsia="Arial" w:hint="default"/>
                <w:sz w:val="24"/>
                <w:szCs w:val="24"/>
              </w:rPr>
            </w:pPr>
            <w:r>
              <w:rPr>
                <w:rFonts w:ascii="Arial"/>
                <w:sz w:val="24"/>
              </w:rPr>
              <w:t>3%</w:t>
            </w:r>
          </w:p>
        </w:tc>
        <w:tc>
          <w:tcPr>
            <w:tcW w:w="2288" w:type="dxa"/>
            <w:tcBorders>
              <w:top w:val="nil" w:sz="6" w:space="0" w:color="auto"/>
              <w:left w:val="nil" w:sz="6" w:space="0" w:color="auto"/>
              <w:bottom w:val="nil" w:sz="6" w:space="0" w:color="auto"/>
              <w:right w:val="nil" w:sz="6" w:space="0" w:color="auto"/>
            </w:tcBorders>
          </w:tcPr>
          <w:p>
            <w:pPr>
              <w:pStyle w:val="TableParagraph"/>
              <w:spacing w:line="273" w:lineRule="exact"/>
              <w:ind w:left="158" w:right="0"/>
              <w:jc w:val="left"/>
              <w:rPr>
                <w:rFonts w:ascii="Arial" w:hAnsi="Arial" w:cs="Arial" w:eastAsia="Arial" w:hint="default"/>
                <w:sz w:val="24"/>
                <w:szCs w:val="24"/>
              </w:rPr>
            </w:pPr>
            <w:r>
              <w:rPr>
                <w:rFonts w:ascii="Arial"/>
                <w:sz w:val="24"/>
              </w:rPr>
              <w:t>19.40%</w:t>
            </w:r>
          </w:p>
        </w:tc>
      </w:tr>
      <w:tr>
        <w:trPr>
          <w:trHeight w:val="720" w:hRule="exact"/>
        </w:trPr>
        <w:tc>
          <w:tcPr>
            <w:tcW w:w="694" w:type="dxa"/>
            <w:tcBorders>
              <w:top w:val="nil" w:sz="6" w:space="0" w:color="auto"/>
              <w:left w:val="nil" w:sz="6" w:space="0" w:color="auto"/>
              <w:bottom w:val="nil" w:sz="6" w:space="0" w:color="auto"/>
              <w:right w:val="nil" w:sz="6" w:space="0" w:color="auto"/>
            </w:tcBorders>
          </w:tcPr>
          <w:p>
            <w:pPr/>
          </w:p>
        </w:tc>
        <w:tc>
          <w:tcPr>
            <w:tcW w:w="961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214" w:right="255"/>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对固定资产的预计使用寿命、预计净残值和折旧方法于每年年度终了进行复核并作适当</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调整。</w:t>
            </w:r>
          </w:p>
        </w:tc>
      </w:tr>
    </w:tbl>
    <w:p>
      <w:pPr>
        <w:spacing w:after="0" w:line="312" w:lineRule="exact"/>
        <w:jc w:val="left"/>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1729"/>
        <w:gridCol w:w="3475"/>
        <w:gridCol w:w="4310"/>
      </w:tblGrid>
      <w:tr>
        <w:trPr>
          <w:trHeight w:val="45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1729" w:type="dxa"/>
            <w:tcBorders>
              <w:top w:val="single" w:sz="6" w:space="0" w:color="000000"/>
              <w:left w:val="nil" w:sz="6" w:space="0" w:color="auto"/>
              <w:bottom w:val="nil" w:sz="6" w:space="0" w:color="auto"/>
              <w:right w:val="nil" w:sz="6" w:space="0" w:color="auto"/>
            </w:tcBorders>
          </w:tcPr>
          <w:p>
            <w:pPr>
              <w:pStyle w:val="TableParagraph"/>
              <w:spacing w:line="274" w:lineRule="exact"/>
              <w:ind w:left="136" w:right="0"/>
              <w:jc w:val="left"/>
              <w:rPr>
                <w:rFonts w:ascii="宋体" w:hAnsi="宋体" w:cs="宋体" w:eastAsia="宋体" w:hint="default"/>
                <w:sz w:val="24"/>
                <w:szCs w:val="24"/>
              </w:rPr>
            </w:pPr>
            <w:r>
              <w:rPr>
                <w:rFonts w:ascii="宋体" w:hAnsi="宋体" w:cs="宋体" w:eastAsia="宋体" w:hint="default"/>
                <w:b/>
                <w:bCs/>
                <w:sz w:val="24"/>
                <w:szCs w:val="24"/>
              </w:rPr>
              <w:t>税项</w:t>
            </w:r>
            <w:r>
              <w:rPr>
                <w:rFonts w:ascii="宋体" w:hAnsi="宋体" w:cs="宋体" w:eastAsia="宋体" w:hint="default"/>
                <w:sz w:val="24"/>
                <w:szCs w:val="24"/>
              </w:rPr>
            </w:r>
          </w:p>
        </w:tc>
        <w:tc>
          <w:tcPr>
            <w:tcW w:w="3475" w:type="dxa"/>
            <w:tcBorders>
              <w:top w:val="single" w:sz="6" w:space="0" w:color="000000"/>
              <w:left w:val="nil" w:sz="6" w:space="0" w:color="auto"/>
              <w:bottom w:val="nil" w:sz="6" w:space="0" w:color="auto"/>
              <w:right w:val="nil" w:sz="6" w:space="0" w:color="auto"/>
            </w:tcBorders>
          </w:tcPr>
          <w:p>
            <w:pPr/>
          </w:p>
        </w:tc>
        <w:tc>
          <w:tcPr>
            <w:tcW w:w="4310" w:type="dxa"/>
            <w:tcBorders>
              <w:top w:val="single" w:sz="6" w:space="0" w:color="000000"/>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5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本集团适用的主要税种及其税率列示如下：</w:t>
            </w:r>
          </w:p>
        </w:tc>
        <w:tc>
          <w:tcPr>
            <w:tcW w:w="4310"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92"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31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44"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5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本公司及中国子公司：</w:t>
            </w:r>
          </w:p>
        </w:tc>
        <w:tc>
          <w:tcPr>
            <w:tcW w:w="4310" w:type="dxa"/>
            <w:tcBorders>
              <w:top w:val="nil" w:sz="6" w:space="0" w:color="auto"/>
              <w:left w:val="nil" w:sz="6" w:space="0" w:color="auto"/>
              <w:bottom w:val="nil" w:sz="6" w:space="0" w:color="auto"/>
              <w:right w:val="nil" w:sz="6" w:space="0" w:color="auto"/>
            </w:tcBorders>
          </w:tcPr>
          <w:p>
            <w:pPr/>
          </w:p>
        </w:tc>
      </w:tr>
      <w:tr>
        <w:trPr>
          <w:trHeight w:val="4855" w:hRule="exact"/>
        </w:trPr>
        <w:tc>
          <w:tcPr>
            <w:tcW w:w="772"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92"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4310"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244" w:right="233"/>
              <w:jc w:val="left"/>
              <w:rPr>
                <w:rFonts w:ascii="Arial" w:hAnsi="Arial" w:cs="Arial" w:eastAsia="Arial" w:hint="default"/>
                <w:sz w:val="24"/>
                <w:szCs w:val="24"/>
              </w:rPr>
            </w:pPr>
            <w:r>
              <w:rPr>
                <w:rFonts w:ascii="宋体" w:hAnsi="宋体" w:cs="宋体" w:eastAsia="宋体" w:hint="default"/>
                <w:sz w:val="24"/>
                <w:szCs w:val="24"/>
              </w:rPr>
              <w:t>企业所得税税率为</w:t>
            </w:r>
            <w:r>
              <w:rPr>
                <w:rFonts w:ascii="宋体" w:hAnsi="宋体" w:cs="宋体" w:eastAsia="宋体" w:hint="default"/>
                <w:spacing w:val="-61"/>
                <w:sz w:val="24"/>
                <w:szCs w:val="24"/>
              </w:rPr>
              <w:t> </w:t>
            </w:r>
            <w:r>
              <w:rPr>
                <w:rFonts w:ascii="Arial" w:hAnsi="Arial" w:cs="Arial" w:eastAsia="Arial" w:hint="default"/>
                <w:spacing w:val="-8"/>
                <w:sz w:val="24"/>
                <w:szCs w:val="24"/>
              </w:rPr>
              <w:t>25%</w:t>
            </w:r>
            <w:r>
              <w:rPr>
                <w:rFonts w:ascii="宋体" w:hAnsi="宋体" w:cs="宋体" w:eastAsia="宋体" w:hint="default"/>
                <w:spacing w:val="-8"/>
                <w:sz w:val="24"/>
                <w:szCs w:val="24"/>
              </w:rPr>
              <w:t>，其中部分子</w:t>
            </w:r>
            <w:r>
              <w:rPr>
                <w:rFonts w:ascii="宋体" w:hAnsi="宋体" w:cs="宋体" w:eastAsia="宋体" w:hint="default"/>
                <w:sz w:val="24"/>
                <w:szCs w:val="24"/>
              </w:rPr>
              <w:t> 公司可以享受企业所得税优惠税率</w:t>
            </w:r>
            <w:r>
              <w:rPr>
                <w:rFonts w:ascii="Arial" w:hAnsi="Arial" w:cs="Arial" w:eastAsia="Arial" w:hint="default"/>
                <w:sz w:val="24"/>
                <w:szCs w:val="24"/>
              </w:rPr>
              <w:t>:</w:t>
            </w:r>
          </w:p>
          <w:p>
            <w:pPr>
              <w:pStyle w:val="TableParagraph"/>
              <w:spacing w:line="282" w:lineRule="exact"/>
              <w:ind w:left="244" w:right="0"/>
              <w:jc w:val="left"/>
              <w:rPr>
                <w:rFonts w:ascii="宋体" w:hAnsi="宋体" w:cs="宋体" w:eastAsia="宋体" w:hint="default"/>
                <w:sz w:val="24"/>
                <w:szCs w:val="24"/>
              </w:rPr>
            </w:pPr>
            <w:r>
              <w:rPr>
                <w:rFonts w:ascii="宋体" w:hAnsi="宋体" w:cs="宋体" w:eastAsia="宋体" w:hint="default"/>
                <w:spacing w:val="15"/>
                <w:sz w:val="24"/>
                <w:szCs w:val="24"/>
              </w:rPr>
              <w:t>对设在西部地区的鼓励类企业减按</w:t>
            </w:r>
            <w:r>
              <w:rPr>
                <w:rFonts w:ascii="宋体" w:hAnsi="宋体" w:cs="宋体" w:eastAsia="宋体" w:hint="default"/>
                <w:sz w:val="24"/>
                <w:szCs w:val="24"/>
              </w:rPr>
            </w:r>
          </w:p>
          <w:p>
            <w:pPr>
              <w:pStyle w:val="TableParagraph"/>
              <w:spacing w:line="330" w:lineRule="exact"/>
              <w:ind w:left="244" w:right="0"/>
              <w:jc w:val="left"/>
              <w:rPr>
                <w:rFonts w:ascii="宋体" w:hAnsi="宋体" w:cs="宋体" w:eastAsia="宋体" w:hint="default"/>
                <w:sz w:val="24"/>
                <w:szCs w:val="24"/>
              </w:rPr>
            </w:pPr>
            <w:r>
              <w:rPr>
                <w:rFonts w:ascii="Arial" w:hAnsi="Arial" w:cs="Arial" w:eastAsia="Arial" w:hint="default"/>
                <w:sz w:val="24"/>
                <w:szCs w:val="24"/>
              </w:rPr>
              <w:t>15%</w:t>
            </w:r>
            <w:r>
              <w:rPr>
                <w:rFonts w:ascii="宋体" w:hAnsi="宋体" w:cs="宋体" w:eastAsia="宋体" w:hint="default"/>
                <w:sz w:val="24"/>
                <w:szCs w:val="24"/>
              </w:rPr>
              <w:t>征收企业所得税；</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3" w:lineRule="exact"/>
              <w:ind w:left="244" w:right="0"/>
              <w:jc w:val="left"/>
              <w:rPr>
                <w:rFonts w:ascii="宋体" w:hAnsi="宋体" w:cs="宋体" w:eastAsia="宋体" w:hint="default"/>
                <w:sz w:val="24"/>
                <w:szCs w:val="24"/>
              </w:rPr>
            </w:pPr>
            <w:r>
              <w:rPr>
                <w:rFonts w:ascii="宋体" w:hAnsi="宋体" w:cs="宋体" w:eastAsia="宋体" w:hint="default"/>
                <w:spacing w:val="31"/>
                <w:sz w:val="24"/>
                <w:szCs w:val="24"/>
              </w:rPr>
              <w:t>对于设立于经济特</w:t>
            </w:r>
            <w:r>
              <w:rPr>
                <w:rFonts w:ascii="宋体" w:hAnsi="宋体" w:cs="宋体" w:eastAsia="宋体" w:hint="default"/>
                <w:spacing w:val="-79"/>
                <w:sz w:val="24"/>
                <w:szCs w:val="24"/>
              </w:rPr>
              <w:t> </w:t>
            </w:r>
            <w:r>
              <w:rPr>
                <w:rFonts w:ascii="宋体" w:hAnsi="宋体" w:cs="宋体" w:eastAsia="宋体" w:hint="default"/>
                <w:spacing w:val="30"/>
                <w:sz w:val="24"/>
                <w:szCs w:val="24"/>
              </w:rPr>
              <w:t>区的企业享受</w:t>
            </w:r>
            <w:r>
              <w:rPr>
                <w:rFonts w:ascii="宋体" w:hAnsi="宋体" w:cs="宋体" w:eastAsia="宋体" w:hint="default"/>
                <w:spacing w:val="-84"/>
                <w:sz w:val="24"/>
                <w:szCs w:val="24"/>
              </w:rPr>
              <w:t> </w:t>
            </w:r>
            <w:r>
              <w:rPr>
                <w:rFonts w:ascii="宋体" w:hAnsi="宋体" w:cs="宋体" w:eastAsia="宋体" w:hint="default"/>
                <w:sz w:val="24"/>
                <w:szCs w:val="24"/>
              </w:rPr>
            </w:r>
          </w:p>
          <w:p>
            <w:pPr>
              <w:pStyle w:val="TableParagraph"/>
              <w:spacing w:line="330" w:lineRule="exact"/>
              <w:ind w:left="244" w:right="0"/>
              <w:jc w:val="left"/>
              <w:rPr>
                <w:rFonts w:ascii="宋体" w:hAnsi="宋体" w:cs="宋体" w:eastAsia="宋体" w:hint="default"/>
                <w:sz w:val="24"/>
                <w:szCs w:val="24"/>
              </w:rPr>
            </w:pPr>
            <w:r>
              <w:rPr>
                <w:rFonts w:ascii="Arial" w:hAnsi="Arial" w:cs="Arial" w:eastAsia="Arial" w:hint="default"/>
                <w:sz w:val="24"/>
                <w:szCs w:val="24"/>
              </w:rPr>
              <w:t>24%</w:t>
            </w:r>
            <w:r>
              <w:rPr>
                <w:rFonts w:ascii="宋体" w:hAnsi="宋体" w:cs="宋体" w:eastAsia="宋体" w:hint="default"/>
                <w:sz w:val="24"/>
                <w:szCs w:val="24"/>
              </w:rPr>
              <w:t>的过渡税率；</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3" w:lineRule="exact"/>
              <w:ind w:left="244" w:right="0"/>
              <w:jc w:val="left"/>
              <w:rPr>
                <w:rFonts w:ascii="宋体" w:hAnsi="宋体" w:cs="宋体" w:eastAsia="宋体" w:hint="default"/>
                <w:sz w:val="24"/>
                <w:szCs w:val="24"/>
              </w:rPr>
            </w:pPr>
            <w:r>
              <w:rPr>
                <w:rFonts w:ascii="宋体" w:hAnsi="宋体" w:cs="宋体" w:eastAsia="宋体" w:hint="default"/>
                <w:spacing w:val="14"/>
                <w:sz w:val="24"/>
                <w:szCs w:val="24"/>
              </w:rPr>
              <w:t>部分企业享受民族自治区政策减按</w:t>
            </w:r>
          </w:p>
          <w:p>
            <w:pPr>
              <w:pStyle w:val="TableParagraph"/>
              <w:spacing w:line="330" w:lineRule="exact"/>
              <w:ind w:left="244" w:right="0"/>
              <w:jc w:val="left"/>
              <w:rPr>
                <w:rFonts w:ascii="宋体" w:hAnsi="宋体" w:cs="宋体" w:eastAsia="宋体" w:hint="default"/>
                <w:sz w:val="24"/>
                <w:szCs w:val="24"/>
              </w:rPr>
            </w:pPr>
            <w:r>
              <w:rPr>
                <w:rFonts w:ascii="Arial" w:hAnsi="Arial" w:cs="Arial" w:eastAsia="Arial" w:hint="default"/>
                <w:sz w:val="24"/>
                <w:szCs w:val="24"/>
              </w:rPr>
              <w:t>12.5%</w:t>
            </w:r>
            <w:r>
              <w:rPr>
                <w:rFonts w:ascii="宋体" w:hAnsi="宋体" w:cs="宋体" w:eastAsia="宋体" w:hint="default"/>
                <w:sz w:val="24"/>
                <w:szCs w:val="24"/>
              </w:rPr>
              <w:t>缴纳企业所得税；</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2" w:lineRule="exact"/>
              <w:ind w:left="244" w:right="0"/>
              <w:jc w:val="left"/>
              <w:rPr>
                <w:rFonts w:ascii="宋体" w:hAnsi="宋体" w:cs="宋体" w:eastAsia="宋体" w:hint="default"/>
                <w:sz w:val="24"/>
                <w:szCs w:val="24"/>
              </w:rPr>
            </w:pPr>
            <w:r>
              <w:rPr>
                <w:rFonts w:ascii="宋体" w:hAnsi="宋体" w:cs="宋体" w:eastAsia="宋体" w:hint="default"/>
                <w:sz w:val="24"/>
                <w:szCs w:val="24"/>
              </w:rPr>
              <w:t>年度应纳税所得额不超过 </w:t>
            </w:r>
            <w:r>
              <w:rPr>
                <w:rFonts w:ascii="Arial" w:hAnsi="Arial" w:cs="Arial" w:eastAsia="Arial" w:hint="default"/>
                <w:sz w:val="24"/>
                <w:szCs w:val="24"/>
              </w:rPr>
              <w:t>30</w:t>
            </w:r>
            <w:r>
              <w:rPr>
                <w:rFonts w:ascii="Arial" w:hAnsi="Arial" w:cs="Arial" w:eastAsia="Arial" w:hint="default"/>
                <w:spacing w:val="15"/>
                <w:sz w:val="24"/>
                <w:szCs w:val="24"/>
              </w:rPr>
              <w:t> </w:t>
            </w:r>
            <w:r>
              <w:rPr>
                <w:rFonts w:ascii="宋体" w:hAnsi="宋体" w:cs="宋体" w:eastAsia="宋体" w:hint="default"/>
                <w:sz w:val="24"/>
                <w:szCs w:val="24"/>
              </w:rPr>
              <w:t>万元，</w:t>
            </w:r>
          </w:p>
          <w:p>
            <w:pPr>
              <w:pStyle w:val="TableParagraph"/>
              <w:spacing w:line="312" w:lineRule="exact"/>
              <w:ind w:left="244" w:right="0"/>
              <w:jc w:val="left"/>
              <w:rPr>
                <w:rFonts w:ascii="宋体" w:hAnsi="宋体" w:cs="宋体" w:eastAsia="宋体" w:hint="default"/>
                <w:sz w:val="24"/>
                <w:szCs w:val="24"/>
              </w:rPr>
            </w:pPr>
            <w:r>
              <w:rPr>
                <w:rFonts w:ascii="宋体" w:hAnsi="宋体" w:cs="宋体" w:eastAsia="宋体" w:hint="default"/>
                <w:sz w:val="24"/>
                <w:szCs w:val="24"/>
              </w:rPr>
              <w:t>从业人数不超过 </w:t>
            </w:r>
            <w:r>
              <w:rPr>
                <w:rFonts w:ascii="Arial" w:hAnsi="Arial" w:cs="Arial" w:eastAsia="Arial" w:hint="default"/>
                <w:sz w:val="24"/>
                <w:szCs w:val="24"/>
              </w:rPr>
              <w:t>80</w:t>
            </w:r>
            <w:r>
              <w:rPr>
                <w:rFonts w:ascii="Arial" w:hAnsi="Arial" w:cs="Arial" w:eastAsia="Arial" w:hint="default"/>
                <w:spacing w:val="15"/>
                <w:sz w:val="24"/>
                <w:szCs w:val="24"/>
              </w:rPr>
              <w:t> </w:t>
            </w:r>
            <w:r>
              <w:rPr>
                <w:rFonts w:ascii="宋体" w:hAnsi="宋体" w:cs="宋体" w:eastAsia="宋体" w:hint="default"/>
                <w:sz w:val="24"/>
                <w:szCs w:val="24"/>
              </w:rPr>
              <w:t>人，资产总额不</w:t>
            </w:r>
          </w:p>
          <w:p>
            <w:pPr>
              <w:pStyle w:val="TableParagraph"/>
              <w:spacing w:line="312" w:lineRule="exact" w:before="21"/>
              <w:ind w:left="244" w:right="233"/>
              <w:jc w:val="left"/>
              <w:rPr>
                <w:rFonts w:ascii="宋体" w:hAnsi="宋体" w:cs="宋体" w:eastAsia="宋体" w:hint="default"/>
                <w:sz w:val="24"/>
                <w:szCs w:val="24"/>
              </w:rPr>
            </w:pPr>
            <w:r>
              <w:rPr>
                <w:rFonts w:ascii="宋体" w:hAnsi="宋体" w:cs="宋体" w:eastAsia="宋体" w:hint="default"/>
                <w:sz w:val="24"/>
                <w:szCs w:val="24"/>
              </w:rPr>
              <w:t>超过</w:t>
            </w:r>
            <w:r>
              <w:rPr>
                <w:rFonts w:ascii="宋体" w:hAnsi="宋体" w:cs="宋体" w:eastAsia="宋体" w:hint="default"/>
                <w:spacing w:val="-67"/>
                <w:sz w:val="24"/>
                <w:szCs w:val="24"/>
              </w:rPr>
              <w:t> </w:t>
            </w:r>
            <w:r>
              <w:rPr>
                <w:rFonts w:ascii="Arial" w:hAnsi="Arial" w:cs="Arial" w:eastAsia="Arial" w:hint="default"/>
                <w:sz w:val="24"/>
                <w:szCs w:val="24"/>
              </w:rPr>
              <w:t>1,000</w:t>
            </w:r>
            <w:r>
              <w:rPr>
                <w:rFonts w:ascii="Arial" w:hAnsi="Arial" w:cs="Arial" w:eastAsia="Arial" w:hint="default"/>
                <w:spacing w:val="-13"/>
                <w:sz w:val="24"/>
                <w:szCs w:val="24"/>
              </w:rPr>
              <w:t> </w:t>
            </w:r>
            <w:r>
              <w:rPr>
                <w:rFonts w:ascii="宋体" w:hAnsi="宋体" w:cs="宋体" w:eastAsia="宋体" w:hint="default"/>
                <w:sz w:val="24"/>
                <w:szCs w:val="24"/>
              </w:rPr>
              <w:t>万元的小型微利企业，按 照</w:t>
            </w:r>
            <w:r>
              <w:rPr>
                <w:rFonts w:ascii="宋体" w:hAnsi="宋体" w:cs="宋体" w:eastAsia="宋体" w:hint="default"/>
                <w:spacing w:val="-64"/>
                <w:sz w:val="24"/>
                <w:szCs w:val="24"/>
              </w:rPr>
              <w:t> </w:t>
            </w:r>
            <w:r>
              <w:rPr>
                <w:rFonts w:ascii="Arial" w:hAnsi="Arial" w:cs="Arial" w:eastAsia="Arial" w:hint="default"/>
                <w:sz w:val="24"/>
                <w:szCs w:val="24"/>
              </w:rPr>
              <w:t>20%</w:t>
            </w:r>
            <w:r>
              <w:rPr>
                <w:rFonts w:ascii="宋体" w:hAnsi="宋体" w:cs="宋体" w:eastAsia="宋体" w:hint="default"/>
                <w:sz w:val="24"/>
                <w:szCs w:val="24"/>
              </w:rPr>
              <w:t>征收企业所得税；</w:t>
            </w:r>
          </w:p>
        </w:tc>
      </w:tr>
      <w:tr>
        <w:trPr>
          <w:trHeight w:val="2425" w:hRule="exact"/>
        </w:trPr>
        <w:tc>
          <w:tcPr>
            <w:tcW w:w="772"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475"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392" w:right="242"/>
              <w:jc w:val="both"/>
              <w:rPr>
                <w:rFonts w:ascii="Arial" w:hAnsi="Arial" w:cs="Arial" w:eastAsia="Arial" w:hint="default"/>
                <w:sz w:val="24"/>
                <w:szCs w:val="24"/>
              </w:rPr>
            </w:pPr>
            <w:r>
              <w:rPr>
                <w:rFonts w:ascii="宋体" w:hAnsi="宋体" w:cs="宋体" w:eastAsia="宋体" w:hint="default"/>
                <w:spacing w:val="9"/>
                <w:sz w:val="24"/>
                <w:szCs w:val="24"/>
              </w:rPr>
              <w:t>应纳税增值额</w:t>
            </w:r>
            <w:r>
              <w:rPr>
                <w:rFonts w:ascii="Arial" w:hAnsi="Arial" w:cs="Arial" w:eastAsia="Arial" w:hint="default"/>
                <w:spacing w:val="9"/>
                <w:sz w:val="24"/>
                <w:szCs w:val="24"/>
              </w:rPr>
              <w:t>(</w:t>
            </w:r>
            <w:r>
              <w:rPr>
                <w:rFonts w:ascii="宋体" w:hAnsi="宋体" w:cs="宋体" w:eastAsia="宋体" w:hint="default"/>
                <w:spacing w:val="9"/>
                <w:sz w:val="24"/>
                <w:szCs w:val="24"/>
              </w:rPr>
              <w:t>应纳税额按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17"/>
                <w:sz w:val="24"/>
                <w:szCs w:val="24"/>
              </w:rPr>
              <w:t>应纳税销售额乘以适用税</w:t>
            </w:r>
            <w:r>
              <w:rPr>
                <w:rFonts w:ascii="宋体" w:hAnsi="宋体" w:cs="宋体" w:eastAsia="宋体" w:hint="default"/>
                <w:sz w:val="24"/>
                <w:szCs w:val="24"/>
              </w:rPr>
              <w:t> </w:t>
            </w:r>
            <w:r>
              <w:rPr>
                <w:rFonts w:ascii="宋体" w:hAnsi="宋体" w:cs="宋体" w:eastAsia="宋体" w:hint="default"/>
                <w:spacing w:val="17"/>
                <w:sz w:val="24"/>
                <w:szCs w:val="24"/>
              </w:rPr>
              <w:t>率扣除当期允许抵扣的进</w:t>
            </w:r>
            <w:r>
              <w:rPr>
                <w:rFonts w:ascii="宋体" w:hAnsi="宋体" w:cs="宋体" w:eastAsia="宋体" w:hint="default"/>
                <w:sz w:val="24"/>
                <w:szCs w:val="24"/>
              </w:rPr>
              <w:t> 项税后的余额计算</w:t>
            </w:r>
            <w:r>
              <w:rPr>
                <w:rFonts w:ascii="Arial" w:hAnsi="Arial" w:cs="Arial" w:eastAsia="Arial" w:hint="default"/>
                <w:sz w:val="24"/>
                <w:szCs w:val="24"/>
              </w:rPr>
              <w:t>)</w:t>
            </w:r>
          </w:p>
        </w:tc>
        <w:tc>
          <w:tcPr>
            <w:tcW w:w="4310"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44" w:right="233"/>
              <w:jc w:val="both"/>
              <w:rPr>
                <w:rFonts w:ascii="宋体" w:hAnsi="宋体" w:cs="宋体" w:eastAsia="宋体" w:hint="default"/>
                <w:sz w:val="24"/>
                <w:szCs w:val="24"/>
              </w:rPr>
            </w:pPr>
            <w:r>
              <w:rPr>
                <w:rFonts w:ascii="宋体" w:hAnsi="宋体" w:cs="宋体" w:eastAsia="宋体" w:hint="default"/>
                <w:spacing w:val="-1"/>
                <w:sz w:val="24"/>
                <w:szCs w:val="24"/>
              </w:rPr>
              <w:t>家用电器销售：小规模纳税人增值税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征收率</w:t>
            </w:r>
            <w:r>
              <w:rPr>
                <w:rFonts w:ascii="宋体" w:hAnsi="宋体" w:cs="宋体" w:eastAsia="宋体" w:hint="default"/>
                <w:spacing w:val="-1"/>
                <w:sz w:val="24"/>
                <w:szCs w:val="24"/>
              </w:rPr>
              <w:t> </w:t>
            </w:r>
            <w:r>
              <w:rPr>
                <w:rFonts w:ascii="Arial" w:hAnsi="Arial" w:cs="Arial" w:eastAsia="Arial" w:hint="default"/>
                <w:sz w:val="24"/>
                <w:szCs w:val="24"/>
              </w:rPr>
              <w:t>3%</w:t>
            </w:r>
            <w:r>
              <w:rPr>
                <w:rFonts w:ascii="宋体" w:hAnsi="宋体" w:cs="宋体" w:eastAsia="宋体" w:hint="default"/>
                <w:sz w:val="24"/>
                <w:szCs w:val="24"/>
              </w:rPr>
              <w:t>，一般纳税人增值税税率 为</w:t>
            </w:r>
            <w:r>
              <w:rPr>
                <w:rFonts w:ascii="宋体" w:hAnsi="宋体" w:cs="宋体" w:eastAsia="宋体" w:hint="default"/>
                <w:spacing w:val="-61"/>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32" w:lineRule="auto"/>
              <w:ind w:left="244" w:right="233"/>
              <w:jc w:val="both"/>
              <w:rPr>
                <w:rFonts w:ascii="宋体" w:hAnsi="宋体" w:cs="宋体" w:eastAsia="宋体" w:hint="default"/>
                <w:sz w:val="24"/>
                <w:szCs w:val="24"/>
              </w:rPr>
            </w:pPr>
            <w:r>
              <w:rPr>
                <w:rFonts w:ascii="宋体" w:hAnsi="宋体" w:cs="宋体" w:eastAsia="宋体" w:hint="default"/>
                <w:spacing w:val="-1"/>
                <w:sz w:val="24"/>
                <w:szCs w:val="24"/>
              </w:rPr>
              <w:t>家用电器维修：小规模纳税人增值税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征收率</w:t>
            </w:r>
            <w:r>
              <w:rPr>
                <w:rFonts w:ascii="宋体" w:hAnsi="宋体" w:cs="宋体" w:eastAsia="宋体" w:hint="default"/>
                <w:spacing w:val="-1"/>
                <w:sz w:val="24"/>
                <w:szCs w:val="24"/>
              </w:rPr>
              <w:t> </w:t>
            </w:r>
            <w:r>
              <w:rPr>
                <w:rFonts w:ascii="Arial" w:hAnsi="Arial" w:cs="Arial" w:eastAsia="Arial" w:hint="default"/>
                <w:sz w:val="24"/>
                <w:szCs w:val="24"/>
              </w:rPr>
              <w:t>3%</w:t>
            </w:r>
            <w:r>
              <w:rPr>
                <w:rFonts w:ascii="宋体" w:hAnsi="宋体" w:cs="宋体" w:eastAsia="宋体" w:hint="default"/>
                <w:sz w:val="24"/>
                <w:szCs w:val="24"/>
              </w:rPr>
              <w:t>，一般纳税人增值税税率 为</w:t>
            </w:r>
            <w:r>
              <w:rPr>
                <w:rFonts w:ascii="宋体" w:hAnsi="宋体" w:cs="宋体" w:eastAsia="宋体" w:hint="default"/>
                <w:spacing w:val="-61"/>
                <w:sz w:val="24"/>
                <w:szCs w:val="24"/>
              </w:rPr>
              <w:t> </w:t>
            </w:r>
            <w:r>
              <w:rPr>
                <w:rFonts w:ascii="Arial" w:hAnsi="Arial" w:cs="Arial" w:eastAsia="Arial" w:hint="default"/>
                <w:sz w:val="24"/>
                <w:szCs w:val="24"/>
              </w:rPr>
              <w:t>17%</w:t>
            </w:r>
            <w:r>
              <w:rPr>
                <w:rFonts w:ascii="宋体" w:hAnsi="宋体" w:cs="宋体" w:eastAsia="宋体" w:hint="default"/>
                <w:sz w:val="24"/>
                <w:szCs w:val="24"/>
              </w:rPr>
              <w:t>。</w:t>
            </w:r>
          </w:p>
        </w:tc>
      </w:tr>
      <w:tr>
        <w:trPr>
          <w:trHeight w:val="2532" w:hRule="exact"/>
        </w:trPr>
        <w:tc>
          <w:tcPr>
            <w:tcW w:w="772"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4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92"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4310"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44" w:right="233"/>
              <w:jc w:val="both"/>
              <w:rPr>
                <w:rFonts w:ascii="宋体" w:hAnsi="宋体" w:cs="宋体" w:eastAsia="宋体" w:hint="default"/>
                <w:sz w:val="24"/>
                <w:szCs w:val="24"/>
              </w:rPr>
            </w:pPr>
            <w:r>
              <w:rPr>
                <w:rFonts w:ascii="宋体" w:hAnsi="宋体" w:cs="宋体" w:eastAsia="宋体" w:hint="default"/>
                <w:spacing w:val="-1"/>
                <w:sz w:val="24"/>
                <w:szCs w:val="24"/>
              </w:rPr>
              <w:t>培训业务收入、安装业务收入营业税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税率为</w:t>
            </w:r>
            <w:r>
              <w:rPr>
                <w:rFonts w:ascii="宋体" w:hAnsi="宋体" w:cs="宋体" w:eastAsia="宋体" w:hint="default"/>
                <w:spacing w:val="-61"/>
                <w:sz w:val="24"/>
                <w:szCs w:val="24"/>
              </w:rPr>
              <w:t> </w:t>
            </w:r>
            <w:r>
              <w:rPr>
                <w:rFonts w:ascii="Arial" w:hAnsi="Arial" w:cs="Arial" w:eastAsia="Arial" w:hint="default"/>
                <w:sz w:val="24"/>
                <w:szCs w:val="24"/>
              </w:rPr>
              <w:t>3%</w:t>
            </w:r>
            <w:r>
              <w:rPr>
                <w:rFonts w:ascii="宋体" w:hAnsi="宋体" w:cs="宋体" w:eastAsia="宋体" w:hint="default"/>
                <w:sz w:val="24"/>
                <w:szCs w:val="24"/>
              </w:rPr>
              <w:t>；</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ind w:left="244" w:right="214"/>
              <w:jc w:val="both"/>
              <w:rPr>
                <w:rFonts w:ascii="宋体" w:hAnsi="宋体" w:cs="宋体" w:eastAsia="宋体" w:hint="default"/>
                <w:sz w:val="24"/>
                <w:szCs w:val="24"/>
              </w:rPr>
            </w:pPr>
            <w:r>
              <w:rPr>
                <w:rFonts w:ascii="宋体" w:hAnsi="宋体" w:cs="宋体" w:eastAsia="宋体" w:hint="default"/>
                <w:sz w:val="24"/>
                <w:szCs w:val="24"/>
              </w:rPr>
              <w:t>代理收入、租赁收入、连锁店服务收 </w:t>
            </w:r>
            <w:r>
              <w:rPr>
                <w:rFonts w:ascii="宋体" w:hAnsi="宋体" w:cs="宋体" w:eastAsia="宋体" w:hint="default"/>
                <w:spacing w:val="15"/>
                <w:sz w:val="24"/>
                <w:szCs w:val="24"/>
              </w:rPr>
              <w:t>入及广告位使用费收入等营业税税</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4" w:right="0"/>
              <w:jc w:val="both"/>
              <w:rPr>
                <w:rFonts w:ascii="宋体" w:hAnsi="宋体" w:cs="宋体" w:eastAsia="宋体" w:hint="default"/>
                <w:sz w:val="24"/>
                <w:szCs w:val="24"/>
              </w:rPr>
            </w:pPr>
            <w:r>
              <w:rPr>
                <w:rFonts w:ascii="宋体" w:hAnsi="宋体" w:cs="宋体" w:eastAsia="宋体" w:hint="default"/>
                <w:sz w:val="24"/>
                <w:szCs w:val="24"/>
              </w:rPr>
              <w:t>其他服务收入的营业税税率为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w:t>
            </w:r>
          </w:p>
        </w:tc>
      </w:tr>
    </w:tbl>
    <w:p>
      <w:pPr>
        <w:spacing w:after="0" w:line="240" w:lineRule="auto"/>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1969"/>
        <w:gridCol w:w="3236"/>
        <w:gridCol w:w="4274"/>
      </w:tblGrid>
      <w:tr>
        <w:trPr>
          <w:trHeight w:val="4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1969" w:type="dxa"/>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税项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236" w:type="dxa"/>
            <w:tcBorders>
              <w:top w:val="single" w:sz="6" w:space="0" w:color="000000"/>
              <w:left w:val="nil" w:sz="6" w:space="0" w:color="auto"/>
              <w:bottom w:val="nil" w:sz="6" w:space="0" w:color="auto"/>
              <w:right w:val="nil" w:sz="6" w:space="0" w:color="auto"/>
            </w:tcBorders>
          </w:tcPr>
          <w:p>
            <w:pPr/>
          </w:p>
        </w:tc>
        <w:tc>
          <w:tcPr>
            <w:tcW w:w="4274" w:type="dxa"/>
            <w:tcBorders>
              <w:top w:val="single" w:sz="6" w:space="0" w:color="000000"/>
              <w:left w:val="nil" w:sz="6" w:space="0" w:color="auto"/>
              <w:bottom w:val="nil" w:sz="6" w:space="0" w:color="auto"/>
              <w:right w:val="nil" w:sz="6" w:space="0" w:color="auto"/>
            </w:tcBorders>
          </w:tcPr>
          <w:p>
            <w:pPr/>
          </w:p>
        </w:tc>
      </w:tr>
      <w:tr>
        <w:trPr>
          <w:trHeight w:val="61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w:t>
            </w:r>
          </w:p>
        </w:tc>
        <w:tc>
          <w:tcPr>
            <w:tcW w:w="5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本集团适用的主要税种及其税率列示如下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4274" w:type="dxa"/>
            <w:tcBorders>
              <w:top w:val="nil" w:sz="6" w:space="0" w:color="auto"/>
              <w:left w:val="nil" w:sz="6" w:space="0" w:color="auto"/>
              <w:bottom w:val="nil" w:sz="6" w:space="0" w:color="auto"/>
              <w:right w:val="nil" w:sz="6" w:space="0" w:color="auto"/>
            </w:tcBorders>
          </w:tcPr>
          <w:p>
            <w:pPr/>
          </w:p>
        </w:tc>
      </w:tr>
      <w:tr>
        <w:trPr>
          <w:trHeight w:val="610" w:hRule="exact"/>
        </w:trPr>
        <w:tc>
          <w:tcPr>
            <w:tcW w:w="772"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36"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52"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4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5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本公司及中国子公司：</w:t>
            </w:r>
          </w:p>
        </w:tc>
        <w:tc>
          <w:tcPr>
            <w:tcW w:w="4274" w:type="dxa"/>
            <w:tcBorders>
              <w:top w:val="nil" w:sz="6" w:space="0" w:color="auto"/>
              <w:left w:val="nil" w:sz="6" w:space="0" w:color="auto"/>
              <w:bottom w:val="nil" w:sz="6" w:space="0" w:color="auto"/>
              <w:right w:val="nil" w:sz="6" w:space="0" w:color="auto"/>
            </w:tcBorders>
          </w:tcPr>
          <w:p>
            <w:pPr/>
          </w:p>
        </w:tc>
      </w:tr>
      <w:tr>
        <w:trPr>
          <w:trHeight w:val="1527" w:hRule="exact"/>
        </w:trPr>
        <w:tc>
          <w:tcPr>
            <w:tcW w:w="772"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23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52" w:right="242"/>
              <w:jc w:val="left"/>
              <w:rPr>
                <w:rFonts w:ascii="宋体" w:hAnsi="宋体" w:cs="宋体" w:eastAsia="宋体" w:hint="default"/>
                <w:sz w:val="24"/>
                <w:szCs w:val="24"/>
              </w:rPr>
            </w:pPr>
            <w:r>
              <w:rPr>
                <w:rFonts w:ascii="宋体" w:hAnsi="宋体" w:cs="宋体" w:eastAsia="宋体" w:hint="default"/>
                <w:spacing w:val="-4"/>
                <w:sz w:val="24"/>
                <w:szCs w:val="24"/>
              </w:rPr>
              <w:t>缴纳的增值税、消费税、营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业税税额</w:t>
            </w:r>
          </w:p>
        </w:tc>
        <w:tc>
          <w:tcPr>
            <w:tcW w:w="4274"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43" w:right="198"/>
              <w:jc w:val="left"/>
              <w:rPr>
                <w:rFonts w:ascii="Arial" w:hAnsi="Arial" w:cs="Arial" w:eastAsia="Arial" w:hint="default"/>
                <w:sz w:val="24"/>
                <w:szCs w:val="24"/>
              </w:rPr>
            </w:pPr>
            <w:r>
              <w:rPr>
                <w:rFonts w:ascii="宋体" w:hAnsi="宋体" w:cs="宋体" w:eastAsia="宋体" w:hint="default"/>
                <w:sz w:val="24"/>
                <w:szCs w:val="24"/>
              </w:rPr>
              <w:t>所在地为市区的，税率为</w:t>
            </w:r>
            <w:r>
              <w:rPr>
                <w:rFonts w:ascii="宋体" w:hAnsi="宋体" w:cs="宋体" w:eastAsia="宋体" w:hint="default"/>
                <w:spacing w:val="-60"/>
                <w:sz w:val="24"/>
                <w:szCs w:val="24"/>
              </w:rPr>
              <w:t> </w:t>
            </w:r>
            <w:r>
              <w:rPr>
                <w:rFonts w:ascii="Arial" w:hAnsi="Arial" w:cs="Arial" w:eastAsia="Arial" w:hint="default"/>
                <w:sz w:val="24"/>
                <w:szCs w:val="24"/>
              </w:rPr>
              <w:t>7%</w:t>
            </w:r>
            <w:r>
              <w:rPr>
                <w:rFonts w:ascii="宋体" w:hAnsi="宋体" w:cs="宋体" w:eastAsia="宋体" w:hint="default"/>
                <w:sz w:val="24"/>
                <w:szCs w:val="24"/>
              </w:rPr>
              <w:t>； 所在地为县城、镇的，税率为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 </w:t>
            </w:r>
            <w:r>
              <w:rPr>
                <w:rFonts w:ascii="宋体" w:hAnsi="宋体" w:cs="宋体" w:eastAsia="宋体" w:hint="default"/>
                <w:spacing w:val="-1"/>
                <w:sz w:val="24"/>
                <w:szCs w:val="24"/>
              </w:rPr>
              <w:t>所在地不在市区、县城或者镇的，税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率为</w:t>
            </w:r>
            <w:r>
              <w:rPr>
                <w:rFonts w:ascii="宋体" w:hAnsi="宋体" w:cs="宋体" w:eastAsia="宋体" w:hint="default"/>
                <w:spacing w:val="-61"/>
                <w:sz w:val="24"/>
                <w:szCs w:val="24"/>
              </w:rPr>
              <w:t> </w:t>
            </w:r>
            <w:r>
              <w:rPr>
                <w:rFonts w:ascii="Arial" w:hAnsi="Arial" w:cs="Arial" w:eastAsia="Arial" w:hint="default"/>
                <w:sz w:val="24"/>
                <w:szCs w:val="24"/>
              </w:rPr>
              <w:t>1%</w:t>
            </w:r>
          </w:p>
        </w:tc>
      </w:tr>
      <w:tr>
        <w:trPr>
          <w:trHeight w:val="894" w:hRule="exact"/>
        </w:trPr>
        <w:tc>
          <w:tcPr>
            <w:tcW w:w="772"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236" w:type="dxa"/>
            <w:tcBorders>
              <w:top w:val="nil" w:sz="6" w:space="0" w:color="auto"/>
              <w:left w:val="nil" w:sz="6" w:space="0" w:color="auto"/>
              <w:bottom w:val="nil" w:sz="6" w:space="0" w:color="auto"/>
              <w:right w:val="nil" w:sz="6" w:space="0" w:color="auto"/>
            </w:tcBorders>
          </w:tcPr>
          <w:p>
            <w:pPr>
              <w:pStyle w:val="TableParagraph"/>
              <w:spacing w:line="312" w:lineRule="exact" w:before="127"/>
              <w:ind w:left="152" w:right="242"/>
              <w:jc w:val="left"/>
              <w:rPr>
                <w:rFonts w:ascii="宋体" w:hAnsi="宋体" w:cs="宋体" w:eastAsia="宋体" w:hint="default"/>
                <w:sz w:val="24"/>
                <w:szCs w:val="24"/>
              </w:rPr>
            </w:pPr>
            <w:r>
              <w:rPr>
                <w:rFonts w:ascii="宋体" w:hAnsi="宋体" w:cs="宋体" w:eastAsia="宋体" w:hint="default"/>
                <w:spacing w:val="-4"/>
                <w:sz w:val="24"/>
                <w:szCs w:val="24"/>
              </w:rPr>
              <w:t>缴纳的增值税、消费税、营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业税税额</w:t>
            </w:r>
          </w:p>
        </w:tc>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43" w:right="0"/>
              <w:jc w:val="left"/>
              <w:rPr>
                <w:rFonts w:ascii="Arial" w:hAnsi="Arial" w:cs="Arial" w:eastAsia="Arial" w:hint="default"/>
                <w:sz w:val="24"/>
                <w:szCs w:val="24"/>
              </w:rPr>
            </w:pPr>
            <w:r>
              <w:rPr>
                <w:rFonts w:ascii="Arial"/>
                <w:sz w:val="24"/>
              </w:rPr>
              <w:t>3%</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2" w:right="241"/>
              <w:jc w:val="left"/>
              <w:rPr>
                <w:rFonts w:ascii="宋体" w:hAnsi="宋体" w:cs="宋体" w:eastAsia="宋体" w:hint="default"/>
                <w:sz w:val="24"/>
                <w:szCs w:val="24"/>
              </w:rPr>
            </w:pPr>
            <w:r>
              <w:rPr>
                <w:rFonts w:ascii="宋体" w:hAnsi="宋体" w:cs="宋体" w:eastAsia="宋体" w:hint="default"/>
                <w:spacing w:val="-4"/>
                <w:sz w:val="24"/>
                <w:szCs w:val="24"/>
              </w:rPr>
              <w:t>缴纳的增值税、营业税消费</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税税额</w:t>
            </w:r>
          </w:p>
        </w:tc>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3" w:right="0"/>
              <w:jc w:val="left"/>
              <w:rPr>
                <w:rFonts w:ascii="Arial" w:hAnsi="Arial" w:cs="Arial" w:eastAsia="Arial" w:hint="default"/>
                <w:sz w:val="24"/>
                <w:szCs w:val="24"/>
              </w:rPr>
            </w:pPr>
            <w:r>
              <w:rPr>
                <w:rFonts w:ascii="Arial"/>
                <w:sz w:val="24"/>
              </w:rPr>
              <w:t>2%</w:t>
            </w:r>
          </w:p>
        </w:tc>
      </w:tr>
      <w:tr>
        <w:trPr>
          <w:trHeight w:val="417" w:hRule="exact"/>
        </w:trPr>
        <w:tc>
          <w:tcPr>
            <w:tcW w:w="772"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2" w:right="0"/>
              <w:jc w:val="left"/>
              <w:rPr>
                <w:rFonts w:ascii="宋体" w:hAnsi="宋体" w:cs="宋体" w:eastAsia="宋体" w:hint="default"/>
                <w:sz w:val="24"/>
                <w:szCs w:val="24"/>
              </w:rPr>
            </w:pPr>
            <w:r>
              <w:rPr>
                <w:rFonts w:ascii="宋体" w:hAnsi="宋体" w:cs="宋体" w:eastAsia="宋体" w:hint="default"/>
                <w:sz w:val="24"/>
                <w:szCs w:val="24"/>
              </w:rPr>
              <w:t>应税消费品的销售额</w:t>
            </w:r>
          </w:p>
        </w:tc>
        <w:tc>
          <w:tcPr>
            <w:tcW w:w="427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43" w:right="0"/>
              <w:jc w:val="left"/>
              <w:rPr>
                <w:rFonts w:ascii="Arial" w:hAnsi="Arial" w:cs="Arial" w:eastAsia="Arial" w:hint="default"/>
                <w:sz w:val="24"/>
                <w:szCs w:val="24"/>
              </w:rPr>
            </w:pPr>
            <w:r>
              <w:rPr>
                <w:rFonts w:ascii="Arial"/>
                <w:sz w:val="24"/>
              </w:rPr>
              <w:t>5%</w:t>
            </w:r>
          </w:p>
        </w:tc>
      </w:tr>
    </w:tbl>
    <w:p>
      <w:pPr>
        <w:spacing w:line="240" w:lineRule="auto" w:before="4"/>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01"/>
        <w:gridCol w:w="2040"/>
        <w:gridCol w:w="3016"/>
        <w:gridCol w:w="4521"/>
      </w:tblGrid>
      <w:tr>
        <w:trPr>
          <w:trHeight w:val="411" w:hRule="exact"/>
        </w:trPr>
        <w:tc>
          <w:tcPr>
            <w:tcW w:w="70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exact"/>
              <w:ind w:left="207" w:right="0"/>
              <w:jc w:val="left"/>
              <w:rPr>
                <w:rFonts w:ascii="宋体" w:hAnsi="宋体" w:cs="宋体" w:eastAsia="宋体" w:hint="default"/>
                <w:sz w:val="24"/>
                <w:szCs w:val="24"/>
              </w:rPr>
            </w:pPr>
            <w:r>
              <w:rPr>
                <w:rFonts w:ascii="宋体" w:hAnsi="宋体" w:cs="宋体" w:eastAsia="宋体" w:hint="default"/>
                <w:sz w:val="24"/>
                <w:szCs w:val="24"/>
              </w:rPr>
              <w:t>海外子公司：</w:t>
            </w:r>
          </w:p>
        </w:tc>
        <w:tc>
          <w:tcPr>
            <w:tcW w:w="3016" w:type="dxa"/>
            <w:tcBorders>
              <w:top w:val="nil" w:sz="6" w:space="0" w:color="auto"/>
              <w:left w:val="nil" w:sz="6" w:space="0" w:color="auto"/>
              <w:bottom w:val="nil" w:sz="6" w:space="0" w:color="auto"/>
              <w:right w:val="nil" w:sz="6" w:space="0" w:color="auto"/>
            </w:tcBorders>
          </w:tcPr>
          <w:p>
            <w:pPr/>
          </w:p>
        </w:tc>
        <w:tc>
          <w:tcPr>
            <w:tcW w:w="4521" w:type="dxa"/>
            <w:tcBorders>
              <w:top w:val="nil" w:sz="6" w:space="0" w:color="auto"/>
              <w:left w:val="nil" w:sz="6" w:space="0" w:color="auto"/>
              <w:bottom w:val="nil" w:sz="6" w:space="0" w:color="auto"/>
              <w:right w:val="nil" w:sz="6" w:space="0" w:color="auto"/>
            </w:tcBorders>
          </w:tcPr>
          <w:p>
            <w:pP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香港利得税</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2" w:right="0"/>
              <w:jc w:val="left"/>
              <w:rPr>
                <w:rFonts w:ascii="宋体" w:hAnsi="宋体" w:cs="宋体" w:eastAsia="宋体" w:hint="default"/>
                <w:sz w:val="24"/>
                <w:szCs w:val="24"/>
              </w:rPr>
            </w:pPr>
            <w:r>
              <w:rPr>
                <w:rFonts w:ascii="宋体" w:hAnsi="宋体" w:cs="宋体" w:eastAsia="宋体" w:hint="default"/>
                <w:sz w:val="24"/>
                <w:szCs w:val="24"/>
              </w:rPr>
              <w:t>在香港地区产生的利得</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63" w:right="0"/>
              <w:jc w:val="left"/>
              <w:rPr>
                <w:rFonts w:ascii="Arial" w:hAnsi="Arial" w:cs="Arial" w:eastAsia="Arial" w:hint="default"/>
                <w:sz w:val="24"/>
                <w:szCs w:val="24"/>
              </w:rPr>
            </w:pPr>
            <w:r>
              <w:rPr>
                <w:rFonts w:ascii="Arial"/>
                <w:sz w:val="24"/>
              </w:rPr>
              <w:t>16.5%</w:t>
            </w:r>
          </w:p>
        </w:tc>
      </w:tr>
      <w:tr>
        <w:trPr>
          <w:trHeight w:val="897" w:hRule="exact"/>
        </w:trPr>
        <w:tc>
          <w:tcPr>
            <w:tcW w:w="70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宋体" w:hAnsi="宋体" w:cs="宋体" w:eastAsia="宋体" w:hint="default"/>
                <w:sz w:val="24"/>
                <w:szCs w:val="24"/>
              </w:rPr>
              <w:t>开曼</w:t>
            </w:r>
          </w:p>
        </w:tc>
        <w:tc>
          <w:tcPr>
            <w:tcW w:w="3016" w:type="dxa"/>
            <w:tcBorders>
              <w:top w:val="nil" w:sz="6" w:space="0" w:color="auto"/>
              <w:left w:val="nil" w:sz="6" w:space="0" w:color="auto"/>
              <w:bottom w:val="nil" w:sz="6" w:space="0" w:color="auto"/>
              <w:right w:val="nil" w:sz="6" w:space="0" w:color="auto"/>
            </w:tcBorders>
          </w:tcPr>
          <w:p>
            <w:pPr/>
          </w:p>
        </w:tc>
        <w:tc>
          <w:tcPr>
            <w:tcW w:w="452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463" w:right="226"/>
              <w:jc w:val="left"/>
              <w:rPr>
                <w:rFonts w:ascii="宋体" w:hAnsi="宋体" w:cs="宋体" w:eastAsia="宋体" w:hint="default"/>
                <w:sz w:val="24"/>
                <w:szCs w:val="24"/>
              </w:rPr>
            </w:pPr>
            <w:r>
              <w:rPr>
                <w:rFonts w:ascii="宋体" w:hAnsi="宋体" w:cs="宋体" w:eastAsia="宋体" w:hint="default"/>
                <w:spacing w:val="-1"/>
                <w:sz w:val="24"/>
                <w:szCs w:val="24"/>
              </w:rPr>
              <w:t>目前未对开曼公司的企业利润、资本</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利得、工资等征税</w:t>
            </w: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日本企业所得税</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2" w:right="0"/>
              <w:jc w:val="left"/>
              <w:rPr>
                <w:rFonts w:ascii="宋体" w:hAnsi="宋体" w:cs="宋体" w:eastAsia="宋体" w:hint="default"/>
                <w:sz w:val="24"/>
                <w:szCs w:val="24"/>
              </w:rPr>
            </w:pPr>
            <w:r>
              <w:rPr>
                <w:rFonts w:ascii="宋体" w:hAnsi="宋体" w:cs="宋体" w:eastAsia="宋体" w:hint="default"/>
                <w:sz w:val="24"/>
                <w:szCs w:val="24"/>
              </w:rPr>
              <w:t>在日本地区产生的利得</w:t>
            </w:r>
          </w:p>
        </w:tc>
        <w:tc>
          <w:tcPr>
            <w:tcW w:w="452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463" w:right="0"/>
              <w:jc w:val="left"/>
              <w:rPr>
                <w:rFonts w:ascii="Arial" w:hAnsi="Arial" w:cs="Arial" w:eastAsia="Arial" w:hint="default"/>
                <w:sz w:val="24"/>
                <w:szCs w:val="24"/>
              </w:rPr>
            </w:pPr>
            <w:r>
              <w:rPr>
                <w:rFonts w:ascii="Arial"/>
                <w:sz w:val="24"/>
              </w:rPr>
              <w:t>40.5%</w:t>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税收优惠及批文</w:t>
            </w:r>
          </w:p>
        </w:tc>
        <w:tc>
          <w:tcPr>
            <w:tcW w:w="3016" w:type="dxa"/>
            <w:tcBorders>
              <w:top w:val="nil" w:sz="6" w:space="0" w:color="auto"/>
              <w:left w:val="nil" w:sz="6" w:space="0" w:color="auto"/>
              <w:bottom w:val="nil" w:sz="6" w:space="0" w:color="auto"/>
              <w:right w:val="nil" w:sz="6" w:space="0" w:color="auto"/>
            </w:tcBorders>
          </w:tcPr>
          <w:p>
            <w:pPr/>
          </w:p>
        </w:tc>
        <w:tc>
          <w:tcPr>
            <w:tcW w:w="4521" w:type="dxa"/>
            <w:tcBorders>
              <w:top w:val="nil" w:sz="6" w:space="0" w:color="auto"/>
              <w:left w:val="nil" w:sz="6" w:space="0" w:color="auto"/>
              <w:bottom w:val="nil" w:sz="6" w:space="0" w:color="auto"/>
              <w:right w:val="nil" w:sz="6" w:space="0" w:color="auto"/>
            </w:tcBorders>
          </w:tcPr>
          <w:p>
            <w:pPr/>
          </w:p>
        </w:tc>
      </w:tr>
      <w:tr>
        <w:trPr>
          <w:trHeight w:val="2562" w:hRule="exact"/>
        </w:trPr>
        <w:tc>
          <w:tcPr>
            <w:tcW w:w="701" w:type="dxa"/>
            <w:tcBorders>
              <w:top w:val="nil" w:sz="6" w:space="0" w:color="auto"/>
              <w:left w:val="nil" w:sz="6" w:space="0" w:color="auto"/>
              <w:bottom w:val="nil" w:sz="6" w:space="0" w:color="auto"/>
              <w:right w:val="nil" w:sz="6" w:space="0" w:color="auto"/>
            </w:tcBorders>
          </w:tcPr>
          <w:p>
            <w:pPr/>
          </w:p>
        </w:tc>
        <w:tc>
          <w:tcPr>
            <w:tcW w:w="9577"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0"/>
              <w:ind w:left="207" w:right="0"/>
              <w:jc w:val="both"/>
              <w:rPr>
                <w:rFonts w:ascii="宋体" w:hAnsi="宋体" w:cs="宋体" w:eastAsia="宋体" w:hint="default"/>
                <w:sz w:val="24"/>
                <w:szCs w:val="24"/>
              </w:rPr>
            </w:pPr>
            <w:r>
              <w:rPr>
                <w:rFonts w:ascii="宋体" w:hAnsi="宋体" w:cs="宋体" w:eastAsia="宋体" w:hint="default"/>
                <w:sz w:val="24"/>
                <w:szCs w:val="24"/>
              </w:rPr>
              <w:t>全国人民代表大会于</w:t>
            </w:r>
            <w:r>
              <w:rPr>
                <w:rFonts w:ascii="宋体" w:hAnsi="宋体" w:cs="宋体" w:eastAsia="宋体" w:hint="default"/>
                <w:spacing w:val="-57"/>
                <w:sz w:val="24"/>
                <w:szCs w:val="24"/>
              </w:rPr>
              <w:t> </w:t>
            </w:r>
            <w:r>
              <w:rPr>
                <w:rFonts w:ascii="Arial" w:hAnsi="Arial" w:cs="Arial" w:eastAsia="Arial" w:hint="default"/>
                <w:sz w:val="24"/>
                <w:szCs w:val="24"/>
              </w:rPr>
              <w:t>2007</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3</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16</w:t>
            </w:r>
            <w:r>
              <w:rPr>
                <w:rFonts w:ascii="Arial" w:hAnsi="Arial" w:cs="Arial" w:eastAsia="Arial" w:hint="default"/>
                <w:spacing w:val="-3"/>
                <w:sz w:val="24"/>
                <w:szCs w:val="24"/>
              </w:rPr>
              <w:t> </w:t>
            </w:r>
            <w:r>
              <w:rPr>
                <w:rFonts w:ascii="宋体" w:hAnsi="宋体" w:cs="宋体" w:eastAsia="宋体" w:hint="default"/>
                <w:sz w:val="24"/>
                <w:szCs w:val="24"/>
              </w:rPr>
              <w:t>日通过了《中华人民共和国企业所得税法》</w:t>
            </w:r>
            <w:r>
              <w:rPr>
                <w:rFonts w:ascii="Arial" w:hAnsi="Arial" w:cs="Arial" w:eastAsia="Arial" w:hint="default"/>
                <w:sz w:val="24"/>
                <w:szCs w:val="24"/>
              </w:rPr>
              <w:t>(“</w:t>
            </w:r>
            <w:r>
              <w:rPr>
                <w:rFonts w:ascii="宋体" w:hAnsi="宋体" w:cs="宋体" w:eastAsia="宋体" w:hint="default"/>
                <w:sz w:val="24"/>
                <w:szCs w:val="24"/>
              </w:rPr>
              <w:t>新所</w:t>
            </w:r>
          </w:p>
          <w:p>
            <w:pPr>
              <w:pStyle w:val="TableParagraph"/>
              <w:spacing w:line="312" w:lineRule="exact"/>
              <w:ind w:left="207" w:right="0"/>
              <w:jc w:val="both"/>
              <w:rPr>
                <w:rFonts w:ascii="宋体" w:hAnsi="宋体" w:cs="宋体" w:eastAsia="宋体" w:hint="default"/>
                <w:sz w:val="24"/>
                <w:szCs w:val="24"/>
              </w:rPr>
            </w:pPr>
            <w:r>
              <w:rPr>
                <w:rFonts w:ascii="宋体" w:hAnsi="宋体" w:cs="宋体" w:eastAsia="宋体" w:hint="default"/>
                <w:sz w:val="24"/>
                <w:szCs w:val="24"/>
              </w:rPr>
              <w:t>得税法</w:t>
            </w:r>
            <w:r>
              <w:rPr>
                <w:rFonts w:ascii="Arial" w:hAnsi="Arial" w:cs="Arial" w:eastAsia="Arial" w:hint="default"/>
                <w:sz w:val="24"/>
                <w:szCs w:val="24"/>
              </w:rPr>
              <w:t>”)</w:t>
            </w:r>
            <w:r>
              <w:rPr>
                <w:rFonts w:ascii="宋体" w:hAnsi="宋体" w:cs="宋体" w:eastAsia="宋体" w:hint="default"/>
                <w:sz w:val="24"/>
                <w:szCs w:val="24"/>
              </w:rPr>
              <w:t>，新所得税法已于</w:t>
            </w:r>
            <w:r>
              <w:rPr>
                <w:rFonts w:ascii="宋体" w:hAnsi="宋体" w:cs="宋体" w:eastAsia="宋体" w:hint="default"/>
                <w:spacing w:val="-52"/>
                <w:sz w:val="24"/>
                <w:szCs w:val="24"/>
              </w:rPr>
              <w:t> </w:t>
            </w:r>
            <w:r>
              <w:rPr>
                <w:rFonts w:ascii="Arial" w:hAnsi="Arial" w:cs="Arial" w:eastAsia="Arial" w:hint="default"/>
                <w:sz w:val="24"/>
                <w:szCs w:val="24"/>
              </w:rPr>
              <w:t>2008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1</w:t>
            </w:r>
            <w:r>
              <w:rPr>
                <w:rFonts w:ascii="Arial" w:hAnsi="Arial" w:cs="Arial" w:eastAsia="Arial" w:hint="default"/>
                <w:spacing w:val="1"/>
                <w:sz w:val="24"/>
                <w:szCs w:val="24"/>
              </w:rPr>
              <w:t> </w:t>
            </w:r>
            <w:r>
              <w:rPr>
                <w:rFonts w:ascii="宋体" w:hAnsi="宋体" w:cs="宋体" w:eastAsia="宋体" w:hint="default"/>
                <w:sz w:val="24"/>
                <w:szCs w:val="24"/>
              </w:rPr>
              <w:t>日起施行。于</w:t>
            </w:r>
            <w:r>
              <w:rPr>
                <w:rFonts w:ascii="宋体" w:hAnsi="宋体" w:cs="宋体" w:eastAsia="宋体" w:hint="default"/>
                <w:spacing w:val="-53"/>
                <w:sz w:val="24"/>
                <w:szCs w:val="24"/>
              </w:rPr>
              <w:t> </w:t>
            </w:r>
            <w:r>
              <w:rPr>
                <w:rFonts w:ascii="Arial" w:hAnsi="Arial" w:cs="Arial" w:eastAsia="Arial" w:hint="default"/>
                <w:sz w:val="24"/>
                <w:szCs w:val="24"/>
              </w:rPr>
              <w:t>2007</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月，国务院颁布了</w:t>
            </w:r>
          </w:p>
          <w:p>
            <w:pPr>
              <w:pStyle w:val="TableParagraph"/>
              <w:spacing w:line="312" w:lineRule="exact" w:before="21"/>
              <w:ind w:left="207" w:right="201"/>
              <w:jc w:val="both"/>
              <w:rPr>
                <w:rFonts w:ascii="宋体" w:hAnsi="宋体" w:cs="宋体" w:eastAsia="宋体" w:hint="default"/>
                <w:sz w:val="24"/>
                <w:szCs w:val="24"/>
              </w:rPr>
            </w:pPr>
            <w:r>
              <w:rPr>
                <w:rFonts w:ascii="宋体" w:hAnsi="宋体" w:cs="宋体" w:eastAsia="宋体" w:hint="default"/>
                <w:sz w:val="24"/>
                <w:szCs w:val="24"/>
              </w:rPr>
              <w:t>《关于实施企业所得税过渡优惠政策的通知》</w:t>
            </w:r>
            <w:r>
              <w:rPr>
                <w:rFonts w:ascii="Arial" w:hAnsi="Arial" w:cs="Arial" w:eastAsia="Arial" w:hint="default"/>
                <w:sz w:val="24"/>
                <w:szCs w:val="24"/>
              </w:rPr>
              <w:t>(</w:t>
            </w:r>
            <w:r>
              <w:rPr>
                <w:rFonts w:ascii="宋体" w:hAnsi="宋体" w:cs="宋体" w:eastAsia="宋体" w:hint="default"/>
                <w:sz w:val="24"/>
                <w:szCs w:val="24"/>
              </w:rPr>
              <w:t>国发</w:t>
            </w:r>
            <w:r>
              <w:rPr>
                <w:rFonts w:ascii="Arial" w:hAnsi="Arial" w:cs="Arial" w:eastAsia="Arial" w:hint="default"/>
                <w:sz w:val="24"/>
                <w:szCs w:val="24"/>
              </w:rPr>
              <w:t>[2007]39</w:t>
            </w:r>
            <w:r>
              <w:rPr>
                <w:rFonts w:ascii="Arial" w:hAnsi="Arial" w:cs="Arial" w:eastAsia="Arial" w:hint="default"/>
                <w:spacing w:val="11"/>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。该通知规定部分符 合规定条件的企业，其按照原税收法律、行政法规和具有行政法规效力文件规定享受的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企业所得税优惠政策，可以有一定过渡期。</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ind w:left="207" w:right="204"/>
              <w:jc w:val="both"/>
              <w:rPr>
                <w:rFonts w:ascii="宋体" w:hAnsi="宋体" w:cs="宋体" w:eastAsia="宋体" w:hint="default"/>
                <w:sz w:val="24"/>
                <w:szCs w:val="24"/>
              </w:rPr>
            </w:pPr>
            <w:r>
              <w:rPr>
                <w:rFonts w:ascii="宋体" w:hAnsi="宋体" w:cs="宋体" w:eastAsia="宋体" w:hint="default"/>
                <w:sz w:val="24"/>
                <w:szCs w:val="24"/>
              </w:rPr>
              <w:t>本集团的部分子公司享受企业所得税过渡优惠政策及企业所得税优惠政策，主要优惠政</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策如下所示：</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626"/>
      </w:tblGrid>
      <w:tr>
        <w:trPr>
          <w:trHeight w:val="4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9626" w:type="dxa"/>
            <w:tcBorders>
              <w:top w:val="single" w:sz="6" w:space="0" w:color="000000"/>
              <w:left w:val="nil" w:sz="6" w:space="0" w:color="auto"/>
              <w:bottom w:val="nil" w:sz="6" w:space="0" w:color="auto"/>
              <w:right w:val="nil" w:sz="6" w:space="0" w:color="auto"/>
            </w:tcBorders>
          </w:tcPr>
          <w:p>
            <w:pPr>
              <w:pStyle w:val="TableParagraph"/>
              <w:spacing w:line="291" w:lineRule="exact"/>
              <w:ind w:left="136" w:right="0"/>
              <w:jc w:val="left"/>
              <w:rPr>
                <w:rFonts w:ascii="Arial" w:hAnsi="Arial" w:cs="Arial" w:eastAsia="Arial" w:hint="default"/>
                <w:sz w:val="24"/>
                <w:szCs w:val="24"/>
              </w:rPr>
            </w:pPr>
            <w:r>
              <w:rPr>
                <w:rFonts w:ascii="宋体" w:hAnsi="宋体" w:cs="宋体" w:eastAsia="宋体" w:hint="default"/>
                <w:b/>
                <w:bCs/>
                <w:sz w:val="24"/>
                <w:szCs w:val="24"/>
              </w:rPr>
              <w:t>税项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96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税收优惠及批文</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6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企业所得税过渡优惠政策</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w:t>
            </w:r>
          </w:p>
        </w:tc>
        <w:tc>
          <w:tcPr>
            <w:tcW w:w="962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经济特区税收优惠政策</w:t>
            </w:r>
          </w:p>
        </w:tc>
      </w:tr>
      <w:tr>
        <w:trPr>
          <w:trHeight w:val="1842" w:hRule="exact"/>
        </w:trPr>
        <w:tc>
          <w:tcPr>
            <w:tcW w:w="772" w:type="dxa"/>
            <w:tcBorders>
              <w:top w:val="nil" w:sz="6" w:space="0" w:color="auto"/>
              <w:left w:val="nil" w:sz="6" w:space="0" w:color="auto"/>
              <w:bottom w:val="nil" w:sz="6" w:space="0" w:color="auto"/>
              <w:right w:val="nil" w:sz="6" w:space="0" w:color="auto"/>
            </w:tcBorders>
          </w:tcPr>
          <w:p>
            <w:pPr/>
          </w:p>
        </w:tc>
        <w:tc>
          <w:tcPr>
            <w:tcW w:w="9626"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136" w:right="198"/>
              <w:jc w:val="left"/>
              <w:rPr>
                <w:rFonts w:ascii="宋体" w:hAnsi="宋体" w:cs="宋体" w:eastAsia="宋体" w:hint="default"/>
                <w:sz w:val="24"/>
                <w:szCs w:val="24"/>
              </w:rPr>
            </w:pPr>
            <w:r>
              <w:rPr>
                <w:rFonts w:ascii="宋体" w:hAnsi="宋体" w:cs="宋体" w:eastAsia="宋体" w:hint="default"/>
                <w:spacing w:val="-1"/>
                <w:w w:val="99"/>
                <w:sz w:val="24"/>
                <w:szCs w:val="24"/>
              </w:rPr>
              <w:t>根据国发</w:t>
            </w:r>
            <w:r>
              <w:rPr>
                <w:rFonts w:ascii="Arial" w:hAnsi="Arial" w:cs="Arial" w:eastAsia="Arial" w:hint="default"/>
                <w:spacing w:val="-1"/>
                <w:w w:val="99"/>
                <w:sz w:val="24"/>
                <w:szCs w:val="24"/>
              </w:rPr>
              <w:t>[2007]39</w:t>
            </w:r>
            <w:r>
              <w:rPr>
                <w:rFonts w:ascii="Arial" w:hAnsi="Arial" w:cs="Arial" w:eastAsia="Arial" w:hint="default"/>
                <w:spacing w:val="4"/>
                <w:w w:val="99"/>
                <w:sz w:val="24"/>
                <w:szCs w:val="24"/>
              </w:rPr>
              <w:t> </w:t>
            </w:r>
            <w:r>
              <w:rPr>
                <w:rFonts w:ascii="宋体" w:hAnsi="宋体" w:cs="宋体" w:eastAsia="宋体" w:hint="default"/>
                <w:spacing w:val="-17"/>
                <w:w w:val="99"/>
                <w:sz w:val="24"/>
                <w:szCs w:val="24"/>
              </w:rPr>
              <w:t>号文、《广东省经济特区条例》、国函字</w:t>
            </w:r>
            <w:r>
              <w:rPr>
                <w:rFonts w:ascii="Arial" w:hAnsi="Arial" w:cs="Arial" w:eastAsia="Arial" w:hint="default"/>
                <w:spacing w:val="-17"/>
                <w:w w:val="99"/>
                <w:sz w:val="24"/>
                <w:szCs w:val="24"/>
              </w:rPr>
              <w:t>[80]88</w:t>
            </w:r>
            <w:r>
              <w:rPr>
                <w:rFonts w:ascii="Arial" w:hAnsi="Arial" w:cs="Arial" w:eastAsia="Arial" w:hint="default"/>
                <w:spacing w:val="4"/>
                <w:w w:val="99"/>
                <w:sz w:val="24"/>
                <w:szCs w:val="24"/>
              </w:rPr>
              <w:t> </w:t>
            </w:r>
            <w:r>
              <w:rPr>
                <w:rFonts w:ascii="宋体" w:hAnsi="宋体" w:cs="宋体" w:eastAsia="宋体" w:hint="default"/>
                <w:spacing w:val="-1"/>
                <w:w w:val="99"/>
                <w:sz w:val="24"/>
                <w:szCs w:val="24"/>
              </w:rPr>
              <w:t>号及国发</w:t>
            </w:r>
            <w:r>
              <w:rPr>
                <w:rFonts w:ascii="Arial" w:hAnsi="Arial" w:cs="Arial" w:eastAsia="Arial" w:hint="default"/>
                <w:spacing w:val="-1"/>
                <w:w w:val="99"/>
                <w:sz w:val="24"/>
                <w:szCs w:val="24"/>
              </w:rPr>
              <w:t>[1988]26</w:t>
            </w:r>
            <w:r>
              <w:rPr>
                <w:rFonts w:ascii="Arial" w:hAnsi="Arial" w:cs="Arial" w:eastAsia="Arial" w:hint="default"/>
                <w:spacing w:val="4"/>
                <w:w w:val="99"/>
                <w:sz w:val="24"/>
                <w:szCs w:val="24"/>
              </w:rPr>
              <w:t> </w:t>
            </w:r>
            <w:r>
              <w:rPr>
                <w:rFonts w:ascii="宋体" w:hAnsi="宋体" w:cs="宋体" w:eastAsia="宋体" w:hint="default"/>
                <w:sz w:val="24"/>
                <w:szCs w:val="24"/>
              </w:rPr>
              <w:t>号文，</w:t>
            </w:r>
            <w:r>
              <w:rPr>
                <w:rFonts w:ascii="宋体" w:hAnsi="宋体" w:cs="宋体" w:eastAsia="宋体" w:hint="default"/>
                <w:spacing w:val="-118"/>
                <w:sz w:val="24"/>
                <w:szCs w:val="24"/>
              </w:rPr>
              <w:t> </w:t>
            </w:r>
            <w:r>
              <w:rPr>
                <w:rFonts w:ascii="宋体" w:hAnsi="宋体" w:cs="宋体" w:eastAsia="宋体" w:hint="default"/>
                <w:sz w:val="24"/>
                <w:szCs w:val="24"/>
              </w:rPr>
              <w:t>设立于广东省深圳、珠海、汕头和厦门经济特区，以及海南岛的原享受低税率优惠政策</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3"/>
                <w:sz w:val="24"/>
                <w:szCs w:val="24"/>
              </w:rPr>
              <w:t>的企业，自</w:t>
            </w:r>
            <w:r>
              <w:rPr>
                <w:rFonts w:ascii="宋体" w:hAnsi="宋体" w:cs="宋体" w:eastAsia="宋体" w:hint="default"/>
                <w:spacing w:val="-64"/>
                <w:sz w:val="24"/>
                <w:szCs w:val="24"/>
              </w:rPr>
              <w:t> </w:t>
            </w:r>
            <w:r>
              <w:rPr>
                <w:rFonts w:ascii="Arial" w:hAnsi="Arial" w:cs="Arial" w:eastAsia="Arial" w:hint="default"/>
                <w:sz w:val="24"/>
                <w:szCs w:val="24"/>
              </w:rPr>
              <w:t>2008</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日起，在新税法施行后</w:t>
            </w:r>
            <w:r>
              <w:rPr>
                <w:rFonts w:ascii="宋体" w:hAnsi="宋体" w:cs="宋体" w:eastAsia="宋体" w:hint="default"/>
                <w:spacing w:val="-63"/>
                <w:sz w:val="24"/>
                <w:szCs w:val="24"/>
              </w:rPr>
              <w:t> </w:t>
            </w:r>
            <w:r>
              <w:rPr>
                <w:rFonts w:ascii="Arial" w:hAnsi="Arial" w:cs="Arial" w:eastAsia="Arial" w:hint="default"/>
                <w:sz w:val="24"/>
                <w:szCs w:val="24"/>
              </w:rPr>
              <w:t>5</w:t>
            </w:r>
            <w:r>
              <w:rPr>
                <w:rFonts w:ascii="Arial" w:hAnsi="Arial" w:cs="Arial" w:eastAsia="Arial" w:hint="default"/>
                <w:spacing w:val="-9"/>
                <w:sz w:val="24"/>
                <w:szCs w:val="24"/>
              </w:rPr>
              <w:t> </w:t>
            </w:r>
            <w:r>
              <w:rPr>
                <w:rFonts w:ascii="宋体" w:hAnsi="宋体" w:cs="宋体" w:eastAsia="宋体" w:hint="default"/>
                <w:sz w:val="24"/>
                <w:szCs w:val="24"/>
              </w:rPr>
              <w:t>年内逐步过渡到法定税率。即</w:t>
            </w:r>
            <w:r>
              <w:rPr>
                <w:rFonts w:ascii="宋体" w:hAnsi="宋体" w:cs="宋体" w:eastAsia="宋体" w:hint="default"/>
                <w:spacing w:val="-63"/>
                <w:sz w:val="24"/>
                <w:szCs w:val="24"/>
              </w:rPr>
              <w:t> </w:t>
            </w:r>
            <w:r>
              <w:rPr>
                <w:rFonts w:ascii="Arial" w:hAnsi="Arial" w:cs="Arial" w:eastAsia="Arial" w:hint="default"/>
                <w:sz w:val="24"/>
                <w:szCs w:val="24"/>
              </w:rPr>
              <w:t>2008</w:t>
            </w:r>
            <w:r>
              <w:rPr>
                <w:rFonts w:ascii="Arial" w:hAnsi="Arial" w:cs="Arial" w:eastAsia="Arial" w:hint="default"/>
                <w:w w:val="99"/>
                <w:sz w:val="24"/>
                <w:szCs w:val="24"/>
              </w:rPr>
              <w:t> </w:t>
            </w:r>
            <w:r>
              <w:rPr>
                <w:rFonts w:ascii="宋体" w:hAnsi="宋体" w:cs="宋体" w:eastAsia="宋体" w:hint="default"/>
                <w:sz w:val="24"/>
                <w:szCs w:val="24"/>
              </w:rPr>
              <w:t>年按</w:t>
            </w:r>
            <w:r>
              <w:rPr>
                <w:rFonts w:ascii="宋体" w:hAnsi="宋体" w:cs="宋体" w:eastAsia="宋体" w:hint="default"/>
                <w:spacing w:val="-60"/>
                <w:sz w:val="24"/>
                <w:szCs w:val="24"/>
              </w:rPr>
              <w:t> </w:t>
            </w:r>
            <w:r>
              <w:rPr>
                <w:rFonts w:ascii="Arial" w:hAnsi="Arial" w:cs="Arial" w:eastAsia="Arial" w:hint="default"/>
                <w:spacing w:val="-8"/>
                <w:sz w:val="24"/>
                <w:szCs w:val="24"/>
              </w:rPr>
              <w:t>18%</w:t>
            </w:r>
            <w:r>
              <w:rPr>
                <w:rFonts w:ascii="宋体" w:hAnsi="宋体" w:cs="宋体" w:eastAsia="宋体" w:hint="default"/>
                <w:spacing w:val="-8"/>
                <w:sz w:val="24"/>
                <w:szCs w:val="24"/>
              </w:rPr>
              <w:t>税率执行，</w:t>
            </w:r>
            <w:r>
              <w:rPr>
                <w:rFonts w:ascii="Arial" w:hAnsi="Arial" w:cs="Arial" w:eastAsia="Arial" w:hint="default"/>
                <w:spacing w:val="-8"/>
                <w:sz w:val="24"/>
                <w:szCs w:val="24"/>
              </w:rPr>
              <w:t>2009</w:t>
            </w:r>
            <w:r>
              <w:rPr>
                <w:rFonts w:ascii="Arial" w:hAnsi="Arial" w:cs="Arial" w:eastAsia="Arial" w:hint="default"/>
                <w:spacing w:val="-5"/>
                <w:sz w:val="24"/>
                <w:szCs w:val="24"/>
              </w:rPr>
              <w:t> </w:t>
            </w:r>
            <w:r>
              <w:rPr>
                <w:rFonts w:ascii="宋体" w:hAnsi="宋体" w:cs="宋体" w:eastAsia="宋体" w:hint="default"/>
                <w:sz w:val="24"/>
                <w:szCs w:val="24"/>
              </w:rPr>
              <w:t>年按</w:t>
            </w:r>
            <w:r>
              <w:rPr>
                <w:rFonts w:ascii="宋体" w:hAnsi="宋体" w:cs="宋体" w:eastAsia="宋体" w:hint="default"/>
                <w:spacing w:val="-59"/>
                <w:sz w:val="24"/>
                <w:szCs w:val="24"/>
              </w:rPr>
              <w:t> </w:t>
            </w:r>
            <w:r>
              <w:rPr>
                <w:rFonts w:ascii="Arial" w:hAnsi="Arial" w:cs="Arial" w:eastAsia="Arial" w:hint="default"/>
                <w:spacing w:val="-9"/>
                <w:sz w:val="24"/>
                <w:szCs w:val="24"/>
              </w:rPr>
              <w:t>20%</w:t>
            </w:r>
            <w:r>
              <w:rPr>
                <w:rFonts w:ascii="宋体" w:hAnsi="宋体" w:cs="宋体" w:eastAsia="宋体" w:hint="default"/>
                <w:spacing w:val="-9"/>
                <w:sz w:val="24"/>
                <w:szCs w:val="24"/>
              </w:rPr>
              <w:t>税率执行，</w:t>
            </w:r>
            <w:r>
              <w:rPr>
                <w:rFonts w:ascii="Arial" w:hAnsi="Arial" w:cs="Arial" w:eastAsia="Arial" w:hint="default"/>
                <w:spacing w:val="-9"/>
                <w:sz w:val="24"/>
                <w:szCs w:val="24"/>
              </w:rPr>
              <w:t>2010</w:t>
            </w:r>
            <w:r>
              <w:rPr>
                <w:rFonts w:ascii="Arial" w:hAnsi="Arial" w:cs="Arial" w:eastAsia="Arial" w:hint="default"/>
                <w:spacing w:val="-5"/>
                <w:sz w:val="24"/>
                <w:szCs w:val="24"/>
              </w:rPr>
              <w:t> </w:t>
            </w:r>
            <w:r>
              <w:rPr>
                <w:rFonts w:ascii="宋体" w:hAnsi="宋体" w:cs="宋体" w:eastAsia="宋体" w:hint="default"/>
                <w:sz w:val="24"/>
                <w:szCs w:val="24"/>
              </w:rPr>
              <w:t>年按</w:t>
            </w:r>
            <w:r>
              <w:rPr>
                <w:rFonts w:ascii="宋体" w:hAnsi="宋体" w:cs="宋体" w:eastAsia="宋体" w:hint="default"/>
                <w:spacing w:val="-59"/>
                <w:sz w:val="24"/>
                <w:szCs w:val="24"/>
              </w:rPr>
              <w:t> </w:t>
            </w:r>
            <w:r>
              <w:rPr>
                <w:rFonts w:ascii="Arial" w:hAnsi="Arial" w:cs="Arial" w:eastAsia="Arial" w:hint="default"/>
                <w:spacing w:val="-10"/>
                <w:sz w:val="24"/>
                <w:szCs w:val="24"/>
              </w:rPr>
              <w:t>22%</w:t>
            </w:r>
            <w:r>
              <w:rPr>
                <w:rFonts w:ascii="宋体" w:hAnsi="宋体" w:cs="宋体" w:eastAsia="宋体" w:hint="default"/>
                <w:spacing w:val="-10"/>
                <w:sz w:val="24"/>
                <w:szCs w:val="24"/>
              </w:rPr>
              <w:t>税率执行，</w:t>
            </w:r>
            <w:r>
              <w:rPr>
                <w:rFonts w:ascii="Arial" w:hAnsi="Arial" w:cs="Arial" w:eastAsia="Arial" w:hint="default"/>
                <w:spacing w:val="-10"/>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年按</w:t>
            </w:r>
            <w:r>
              <w:rPr>
                <w:rFonts w:ascii="宋体" w:hAnsi="宋体" w:cs="宋体" w:eastAsia="宋体" w:hint="default"/>
                <w:spacing w:val="-59"/>
                <w:sz w:val="24"/>
                <w:szCs w:val="24"/>
              </w:rPr>
              <w:t> </w:t>
            </w:r>
            <w:r>
              <w:rPr>
                <w:rFonts w:ascii="Arial" w:hAnsi="Arial" w:cs="Arial" w:eastAsia="Arial" w:hint="default"/>
                <w:sz w:val="24"/>
                <w:szCs w:val="24"/>
              </w:rPr>
              <w:t>24%</w:t>
            </w:r>
            <w:r>
              <w:rPr>
                <w:rFonts w:ascii="Arial" w:hAnsi="Arial" w:cs="Arial" w:eastAsia="Arial" w:hint="default"/>
                <w:spacing w:val="-64"/>
                <w:sz w:val="24"/>
                <w:szCs w:val="24"/>
              </w:rPr>
              <w:t> </w:t>
            </w:r>
            <w:r>
              <w:rPr>
                <w:rFonts w:ascii="Arial" w:hAnsi="Arial" w:cs="Arial" w:eastAsia="Arial" w:hint="default"/>
                <w:spacing w:val="-64"/>
                <w:sz w:val="24"/>
                <w:szCs w:val="24"/>
              </w:rPr>
            </w:r>
            <w:r>
              <w:rPr>
                <w:rFonts w:ascii="宋体" w:hAnsi="宋体" w:cs="宋体" w:eastAsia="宋体" w:hint="default"/>
                <w:sz w:val="24"/>
                <w:szCs w:val="24"/>
              </w:rPr>
              <w:t>税率执行，</w:t>
            </w:r>
            <w:r>
              <w:rPr>
                <w:rFonts w:ascii="Arial" w:hAnsi="Arial" w:cs="Arial" w:eastAsia="Arial" w:hint="default"/>
                <w:sz w:val="24"/>
                <w:szCs w:val="24"/>
              </w:rPr>
              <w:t>2012 </w:t>
            </w:r>
            <w:r>
              <w:rPr>
                <w:rFonts w:ascii="宋体" w:hAnsi="宋体" w:cs="宋体" w:eastAsia="宋体" w:hint="default"/>
                <w:sz w:val="24"/>
                <w:szCs w:val="24"/>
              </w:rPr>
              <w:t>年按</w:t>
            </w:r>
            <w:r>
              <w:rPr>
                <w:rFonts w:ascii="宋体" w:hAnsi="宋体" w:cs="宋体" w:eastAsia="宋体" w:hint="default"/>
                <w:spacing w:val="-72"/>
                <w:sz w:val="24"/>
                <w:szCs w:val="24"/>
              </w:rPr>
              <w:t> </w:t>
            </w:r>
            <w:r>
              <w:rPr>
                <w:rFonts w:ascii="Arial" w:hAnsi="Arial" w:cs="Arial" w:eastAsia="Arial" w:hint="default"/>
                <w:sz w:val="24"/>
                <w:szCs w:val="24"/>
              </w:rPr>
              <w:t>25%</w:t>
            </w:r>
            <w:r>
              <w:rPr>
                <w:rFonts w:ascii="宋体" w:hAnsi="宋体" w:cs="宋体" w:eastAsia="宋体" w:hint="default"/>
                <w:sz w:val="24"/>
                <w:szCs w:val="24"/>
              </w:rPr>
              <w:t>税率执行。</w:t>
            </w:r>
          </w:p>
        </w:tc>
      </w:tr>
      <w:tr>
        <w:trPr>
          <w:trHeight w:val="1522" w:hRule="exact"/>
        </w:trPr>
        <w:tc>
          <w:tcPr>
            <w:tcW w:w="772" w:type="dxa"/>
            <w:tcBorders>
              <w:top w:val="nil" w:sz="6" w:space="0" w:color="auto"/>
              <w:left w:val="nil" w:sz="6" w:space="0" w:color="auto"/>
              <w:bottom w:val="nil" w:sz="6" w:space="0" w:color="auto"/>
              <w:right w:val="nil" w:sz="6" w:space="0" w:color="auto"/>
            </w:tcBorders>
          </w:tcPr>
          <w:p>
            <w:pPr/>
          </w:p>
        </w:tc>
        <w:tc>
          <w:tcPr>
            <w:tcW w:w="9626"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136" w:right="320"/>
              <w:jc w:val="left"/>
              <w:rPr>
                <w:rFonts w:ascii="宋体" w:hAnsi="宋体" w:cs="宋体" w:eastAsia="宋体" w:hint="default"/>
                <w:sz w:val="24"/>
                <w:szCs w:val="24"/>
              </w:rPr>
            </w:pPr>
            <w:r>
              <w:rPr>
                <w:rFonts w:ascii="宋体" w:hAnsi="宋体" w:cs="宋体" w:eastAsia="宋体" w:hint="default"/>
                <w:sz w:val="24"/>
                <w:szCs w:val="24"/>
              </w:rPr>
              <w:t>本集团的下列公司 </w:t>
            </w:r>
            <w:r>
              <w:rPr>
                <w:rFonts w:ascii="Arial" w:hAnsi="Arial" w:cs="Arial" w:eastAsia="Arial" w:hint="default"/>
                <w:sz w:val="24"/>
                <w:szCs w:val="24"/>
              </w:rPr>
              <w:t>-</w:t>
            </w:r>
            <w:r>
              <w:rPr>
                <w:rFonts w:ascii="Arial" w:hAnsi="Arial" w:cs="Arial" w:eastAsia="Arial" w:hint="default"/>
                <w:spacing w:val="19"/>
                <w:sz w:val="24"/>
                <w:szCs w:val="24"/>
              </w:rPr>
              <w:t> </w:t>
            </w:r>
            <w:r>
              <w:rPr>
                <w:rFonts w:ascii="宋体" w:hAnsi="宋体" w:cs="宋体" w:eastAsia="宋体" w:hint="default"/>
                <w:sz w:val="24"/>
                <w:szCs w:val="24"/>
              </w:rPr>
              <w:t>深圳市苏宁电器有限公司及其分公司、深圳市苏宁电器售后服务有 限公司及其分公司、汕头苏宁电器有限公司及其分公司、珠海苏宁电器有限公司、厦门</w:t>
            </w:r>
          </w:p>
          <w:p>
            <w:pPr>
              <w:pStyle w:val="TableParagraph"/>
              <w:spacing w:line="312" w:lineRule="exact"/>
              <w:ind w:left="136" w:right="201"/>
              <w:jc w:val="left"/>
              <w:rPr>
                <w:rFonts w:ascii="宋体" w:hAnsi="宋体" w:cs="宋体" w:eastAsia="宋体" w:hint="default"/>
                <w:sz w:val="24"/>
                <w:szCs w:val="24"/>
              </w:rPr>
            </w:pPr>
            <w:r>
              <w:rPr>
                <w:rFonts w:ascii="宋体" w:hAnsi="宋体" w:cs="宋体" w:eastAsia="宋体" w:hint="default"/>
                <w:spacing w:val="-2"/>
                <w:sz w:val="24"/>
                <w:szCs w:val="24"/>
              </w:rPr>
              <w:t>福厦苏宁电器有限公司、厦门福厦苏宁电器售后服务有限公司为设立于上述地区的企业，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因此</w:t>
            </w:r>
            <w:r>
              <w:rPr>
                <w:rFonts w:ascii="宋体" w:hAnsi="宋体" w:cs="宋体" w:eastAsia="宋体" w:hint="default"/>
                <w:spacing w:val="-63"/>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年适用的企业所得税税率为</w:t>
            </w:r>
            <w:r>
              <w:rPr>
                <w:rFonts w:ascii="宋体" w:hAnsi="宋体" w:cs="宋体" w:eastAsia="宋体" w:hint="default"/>
                <w:spacing w:val="-62"/>
                <w:sz w:val="24"/>
                <w:szCs w:val="24"/>
              </w:rPr>
              <w:t> </w:t>
            </w:r>
            <w:r>
              <w:rPr>
                <w:rFonts w:ascii="Arial" w:hAnsi="Arial" w:cs="Arial" w:eastAsia="Arial" w:hint="default"/>
                <w:sz w:val="24"/>
                <w:szCs w:val="24"/>
              </w:rPr>
              <w:t>24%</w:t>
            </w:r>
            <w:r>
              <w:rPr>
                <w:rFonts w:ascii="宋体" w:hAnsi="宋体" w:cs="宋体" w:eastAsia="宋体" w:hint="default"/>
                <w:sz w:val="24"/>
                <w:szCs w:val="24"/>
              </w:rPr>
              <w:t>。</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(ii)</w:t>
            </w:r>
          </w:p>
        </w:tc>
        <w:tc>
          <w:tcPr>
            <w:tcW w:w="96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西部大开发税收优惠政策</w:t>
            </w:r>
          </w:p>
        </w:tc>
      </w:tr>
      <w:tr>
        <w:trPr>
          <w:trHeight w:val="3985" w:hRule="exact"/>
        </w:trPr>
        <w:tc>
          <w:tcPr>
            <w:tcW w:w="772" w:type="dxa"/>
            <w:tcBorders>
              <w:top w:val="nil" w:sz="6" w:space="0" w:color="auto"/>
              <w:left w:val="nil" w:sz="6" w:space="0" w:color="auto"/>
              <w:bottom w:val="nil" w:sz="6" w:space="0" w:color="auto"/>
              <w:right w:val="nil" w:sz="6" w:space="0" w:color="auto"/>
            </w:tcBorders>
          </w:tcPr>
          <w:p>
            <w:pPr/>
          </w:p>
        </w:tc>
        <w:tc>
          <w:tcPr>
            <w:tcW w:w="962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310"/>
              <w:jc w:val="left"/>
              <w:rPr>
                <w:rFonts w:ascii="宋体" w:hAnsi="宋体" w:cs="宋体" w:eastAsia="宋体" w:hint="default"/>
                <w:sz w:val="24"/>
                <w:szCs w:val="24"/>
              </w:rPr>
            </w:pPr>
            <w:r>
              <w:rPr>
                <w:rFonts w:ascii="宋体" w:hAnsi="宋体" w:cs="宋体" w:eastAsia="宋体" w:hint="default"/>
                <w:sz w:val="24"/>
                <w:szCs w:val="24"/>
              </w:rPr>
              <w:t>根据国发</w:t>
            </w:r>
            <w:r>
              <w:rPr>
                <w:rFonts w:ascii="Arial" w:hAnsi="Arial" w:cs="Arial" w:eastAsia="Arial" w:hint="default"/>
                <w:sz w:val="24"/>
                <w:szCs w:val="24"/>
              </w:rPr>
              <w:t>[2007]39 </w:t>
            </w:r>
            <w:r>
              <w:rPr>
                <w:rFonts w:ascii="宋体" w:hAnsi="宋体" w:cs="宋体" w:eastAsia="宋体" w:hint="default"/>
                <w:sz w:val="24"/>
                <w:szCs w:val="24"/>
              </w:rPr>
              <w:t>号文，下列优惠政策继续执行：财税</w:t>
            </w:r>
            <w:r>
              <w:rPr>
                <w:rFonts w:ascii="Arial" w:hAnsi="Arial" w:cs="Arial" w:eastAsia="Arial" w:hint="default"/>
                <w:sz w:val="24"/>
                <w:szCs w:val="24"/>
              </w:rPr>
              <w:t>[2001]202</w:t>
            </w:r>
            <w:r>
              <w:rPr>
                <w:rFonts w:ascii="Arial" w:hAnsi="Arial" w:cs="Arial" w:eastAsia="Arial" w:hint="default"/>
                <w:spacing w:val="63"/>
                <w:sz w:val="24"/>
                <w:szCs w:val="24"/>
              </w:rPr>
              <w:t> </w:t>
            </w:r>
            <w:r>
              <w:rPr>
                <w:rFonts w:ascii="宋体" w:hAnsi="宋体" w:cs="宋体" w:eastAsia="宋体" w:hint="default"/>
                <w:sz w:val="24"/>
                <w:szCs w:val="24"/>
              </w:rPr>
              <w:t>号文第二条，对设在 </w:t>
            </w:r>
            <w:r>
              <w:rPr>
                <w:rFonts w:ascii="宋体" w:hAnsi="宋体" w:cs="宋体" w:eastAsia="宋体" w:hint="default"/>
                <w:spacing w:val="3"/>
                <w:sz w:val="24"/>
                <w:szCs w:val="24"/>
              </w:rPr>
              <w:t>西部地区国家鼓励类产业的内资企业，其主营业务收入占企业总收入</w:t>
            </w:r>
            <w:r>
              <w:rPr>
                <w:rFonts w:ascii="宋体" w:hAnsi="宋体" w:cs="宋体" w:eastAsia="宋体" w:hint="default"/>
                <w:spacing w:val="32"/>
                <w:sz w:val="24"/>
                <w:szCs w:val="24"/>
              </w:rPr>
              <w:t> </w:t>
            </w:r>
            <w:r>
              <w:rPr>
                <w:rFonts w:ascii="Arial" w:hAnsi="Arial" w:cs="Arial" w:eastAsia="Arial" w:hint="default"/>
                <w:spacing w:val="3"/>
                <w:sz w:val="24"/>
                <w:szCs w:val="24"/>
              </w:rPr>
              <w:t>70%</w:t>
            </w:r>
            <w:r>
              <w:rPr>
                <w:rFonts w:ascii="宋体" w:hAnsi="宋体" w:cs="宋体" w:eastAsia="宋体" w:hint="default"/>
                <w:spacing w:val="3"/>
                <w:sz w:val="24"/>
                <w:szCs w:val="24"/>
              </w:rPr>
              <w:t>以上的，在</w:t>
            </w:r>
            <w:r>
              <w:rPr>
                <w:rFonts w:ascii="宋体" w:hAnsi="宋体" w:cs="宋体" w:eastAsia="宋体" w:hint="default"/>
                <w:sz w:val="24"/>
                <w:szCs w:val="24"/>
              </w:rPr>
            </w:r>
          </w:p>
          <w:p>
            <w:pPr>
              <w:pStyle w:val="TableParagraph"/>
              <w:spacing w:line="312" w:lineRule="exact"/>
              <w:ind w:left="136" w:right="201"/>
              <w:jc w:val="left"/>
              <w:rPr>
                <w:rFonts w:ascii="宋体" w:hAnsi="宋体" w:cs="宋体" w:eastAsia="宋体" w:hint="default"/>
                <w:sz w:val="24"/>
                <w:szCs w:val="24"/>
              </w:rPr>
            </w:pPr>
            <w:r>
              <w:rPr>
                <w:rFonts w:ascii="Arial" w:hAnsi="Arial" w:cs="Arial" w:eastAsia="Arial" w:hint="default"/>
                <w:sz w:val="24"/>
                <w:szCs w:val="24"/>
              </w:rPr>
              <w:t>2001</w:t>
            </w:r>
            <w:r>
              <w:rPr>
                <w:rFonts w:ascii="Arial" w:hAnsi="Arial" w:cs="Arial" w:eastAsia="Arial" w:hint="default"/>
                <w:spacing w:val="-5"/>
                <w:sz w:val="24"/>
                <w:szCs w:val="24"/>
              </w:rPr>
              <w:t> </w:t>
            </w:r>
            <w:r>
              <w:rPr>
                <w:rFonts w:ascii="宋体" w:hAnsi="宋体" w:cs="宋体" w:eastAsia="宋体" w:hint="default"/>
                <w:sz w:val="24"/>
                <w:szCs w:val="24"/>
              </w:rPr>
              <w:t>年至</w:t>
            </w:r>
            <w:r>
              <w:rPr>
                <w:rFonts w:ascii="宋体" w:hAnsi="宋体" w:cs="宋体" w:eastAsia="宋体" w:hint="default"/>
                <w:spacing w:val="-59"/>
                <w:sz w:val="24"/>
                <w:szCs w:val="24"/>
              </w:rPr>
              <w:t> </w:t>
            </w:r>
            <w:r>
              <w:rPr>
                <w:rFonts w:ascii="Arial" w:hAnsi="Arial" w:cs="Arial" w:eastAsia="Arial" w:hint="default"/>
                <w:sz w:val="24"/>
                <w:szCs w:val="24"/>
              </w:rPr>
              <w:t>2010</w:t>
            </w:r>
            <w:r>
              <w:rPr>
                <w:rFonts w:ascii="Arial" w:hAnsi="Arial" w:cs="Arial" w:eastAsia="Arial" w:hint="default"/>
                <w:spacing w:val="-5"/>
                <w:sz w:val="24"/>
                <w:szCs w:val="24"/>
              </w:rPr>
              <w:t> </w:t>
            </w:r>
            <w:r>
              <w:rPr>
                <w:rFonts w:ascii="宋体" w:hAnsi="宋体" w:cs="宋体" w:eastAsia="宋体" w:hint="default"/>
                <w:spacing w:val="-11"/>
                <w:sz w:val="24"/>
                <w:szCs w:val="24"/>
              </w:rPr>
              <w:t>年期间，减按</w:t>
            </w:r>
            <w:r>
              <w:rPr>
                <w:rFonts w:ascii="宋体" w:hAnsi="宋体" w:cs="宋体" w:eastAsia="宋体" w:hint="default"/>
                <w:spacing w:val="-59"/>
                <w:sz w:val="24"/>
                <w:szCs w:val="24"/>
              </w:rPr>
              <w:t> </w:t>
            </w:r>
            <w:r>
              <w:rPr>
                <w:rFonts w:ascii="Arial" w:hAnsi="Arial" w:cs="Arial" w:eastAsia="Arial" w:hint="default"/>
                <w:spacing w:val="-5"/>
                <w:sz w:val="24"/>
                <w:szCs w:val="24"/>
              </w:rPr>
              <w:t>15%</w:t>
            </w:r>
            <w:r>
              <w:rPr>
                <w:rFonts w:ascii="宋体" w:hAnsi="宋体" w:cs="宋体" w:eastAsia="宋体" w:hint="default"/>
                <w:spacing w:val="-5"/>
                <w:sz w:val="24"/>
                <w:szCs w:val="24"/>
              </w:rPr>
              <w:t>的税率征收企业所得税。另外，经省级人民政府批准，</w:t>
            </w:r>
            <w:r>
              <w:rPr>
                <w:rFonts w:ascii="宋体" w:hAnsi="宋体" w:cs="宋体" w:eastAsia="宋体" w:hint="default"/>
                <w:sz w:val="24"/>
                <w:szCs w:val="24"/>
              </w:rPr>
              <w:t> 民族自治地方的内资企业可以定期减征或免征企业所得税。</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136" w:right="198"/>
              <w:jc w:val="left"/>
              <w:rPr>
                <w:rFonts w:ascii="宋体" w:hAnsi="宋体" w:cs="宋体" w:eastAsia="宋体" w:hint="default"/>
                <w:sz w:val="24"/>
                <w:szCs w:val="24"/>
              </w:rPr>
            </w:pPr>
            <w:r>
              <w:rPr>
                <w:rFonts w:ascii="宋体" w:hAnsi="宋体" w:cs="宋体" w:eastAsia="宋体" w:hint="default"/>
                <w:sz w:val="24"/>
                <w:szCs w:val="24"/>
              </w:rPr>
              <w:t>又根据《财政部、海关总署、国家税务总局关于深入实施西部大开发战略有关税收政策</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5"/>
                <w:sz w:val="24"/>
                <w:szCs w:val="24"/>
              </w:rPr>
              <w:t>问题的通知》</w:t>
            </w:r>
            <w:r>
              <w:rPr>
                <w:rFonts w:ascii="Arial" w:hAnsi="Arial" w:cs="Arial" w:eastAsia="Arial" w:hint="default"/>
                <w:spacing w:val="-5"/>
                <w:sz w:val="24"/>
                <w:szCs w:val="24"/>
              </w:rPr>
              <w:t>(</w:t>
            </w:r>
            <w:r>
              <w:rPr>
                <w:rFonts w:ascii="宋体" w:hAnsi="宋体" w:cs="宋体" w:eastAsia="宋体" w:hint="default"/>
                <w:spacing w:val="-5"/>
                <w:sz w:val="24"/>
                <w:szCs w:val="24"/>
              </w:rPr>
              <w:t>财税</w:t>
            </w:r>
            <w:r>
              <w:rPr>
                <w:rFonts w:ascii="Arial" w:hAnsi="Arial" w:cs="Arial" w:eastAsia="Arial" w:hint="default"/>
                <w:spacing w:val="-5"/>
                <w:sz w:val="24"/>
                <w:szCs w:val="24"/>
              </w:rPr>
              <w:t>[2011]58 </w:t>
            </w:r>
            <w:r>
              <w:rPr>
                <w:rFonts w:ascii="宋体" w:hAnsi="宋体" w:cs="宋体" w:eastAsia="宋体" w:hint="default"/>
                <w:sz w:val="24"/>
                <w:szCs w:val="24"/>
              </w:rPr>
              <w:t>号</w:t>
            </w:r>
            <w:r>
              <w:rPr>
                <w:rFonts w:ascii="Arial" w:hAnsi="Arial" w:cs="Arial" w:eastAsia="Arial" w:hint="default"/>
                <w:sz w:val="24"/>
                <w:szCs w:val="24"/>
              </w:rPr>
              <w:t>)("58</w:t>
            </w:r>
            <w:r>
              <w:rPr>
                <w:rFonts w:ascii="Arial" w:hAnsi="Arial" w:cs="Arial" w:eastAsia="Arial" w:hint="default"/>
                <w:spacing w:val="-6"/>
                <w:sz w:val="24"/>
                <w:szCs w:val="24"/>
              </w:rPr>
              <w:t> </w:t>
            </w:r>
            <w:r>
              <w:rPr>
                <w:rFonts w:ascii="宋体" w:hAnsi="宋体" w:cs="宋体" w:eastAsia="宋体" w:hint="default"/>
                <w:spacing w:val="-11"/>
                <w:sz w:val="24"/>
                <w:szCs w:val="24"/>
              </w:rPr>
              <w:t>号文</w:t>
            </w:r>
            <w:r>
              <w:rPr>
                <w:rFonts w:ascii="Arial" w:hAnsi="Arial" w:cs="Arial" w:eastAsia="Arial" w:hint="default"/>
                <w:spacing w:val="-11"/>
                <w:sz w:val="24"/>
                <w:szCs w:val="24"/>
              </w:rPr>
              <w:t>")</w:t>
            </w:r>
            <w:r>
              <w:rPr>
                <w:rFonts w:ascii="宋体" w:hAnsi="宋体" w:cs="宋体" w:eastAsia="宋体" w:hint="default"/>
                <w:spacing w:val="-11"/>
                <w:sz w:val="24"/>
                <w:szCs w:val="24"/>
              </w:rPr>
              <w:t>，自</w:t>
            </w:r>
            <w:r>
              <w:rPr>
                <w:rFonts w:ascii="宋体" w:hAnsi="宋体" w:cs="宋体" w:eastAsia="宋体" w:hint="default"/>
                <w:spacing w:val="-60"/>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日至</w:t>
            </w:r>
            <w:r>
              <w:rPr>
                <w:rFonts w:ascii="宋体" w:hAnsi="宋体" w:cs="宋体" w:eastAsia="宋体" w:hint="default"/>
                <w:spacing w:val="-63"/>
                <w:sz w:val="24"/>
                <w:szCs w:val="24"/>
              </w:rPr>
              <w:t> </w:t>
            </w:r>
            <w:r>
              <w:rPr>
                <w:rFonts w:ascii="Arial" w:hAnsi="Arial" w:cs="Arial" w:eastAsia="Arial" w:hint="default"/>
                <w:sz w:val="24"/>
                <w:szCs w:val="24"/>
              </w:rPr>
              <w:t>2020</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 对设在西部地区的鼓励类产业企业减按</w:t>
            </w:r>
            <w:r>
              <w:rPr>
                <w:rFonts w:ascii="宋体" w:hAnsi="宋体" w:cs="宋体" w:eastAsia="宋体" w:hint="default"/>
                <w:spacing w:val="-66"/>
                <w:sz w:val="24"/>
                <w:szCs w:val="24"/>
              </w:rPr>
              <w:t> </w:t>
            </w:r>
            <w:r>
              <w:rPr>
                <w:rFonts w:ascii="Arial" w:hAnsi="Arial" w:cs="Arial" w:eastAsia="Arial" w:hint="default"/>
                <w:sz w:val="24"/>
                <w:szCs w:val="24"/>
              </w:rPr>
              <w:t>15%</w:t>
            </w:r>
            <w:r>
              <w:rPr>
                <w:rFonts w:ascii="宋体" w:hAnsi="宋体" w:cs="宋体" w:eastAsia="宋体" w:hint="default"/>
                <w:sz w:val="24"/>
                <w:szCs w:val="24"/>
              </w:rPr>
              <w:t>的税率征收企业所得税。上述鼓励类产业企 业是指以《西部地区鼓励类产业目录》中规定的产业项目为主营业务，且其主营业务收</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入占企业收入总额</w:t>
            </w:r>
            <w:r>
              <w:rPr>
                <w:rFonts w:ascii="宋体" w:hAnsi="宋体" w:cs="宋体" w:eastAsia="宋体" w:hint="default"/>
                <w:spacing w:val="-66"/>
                <w:sz w:val="24"/>
                <w:szCs w:val="24"/>
              </w:rPr>
              <w:t> </w:t>
            </w:r>
            <w:r>
              <w:rPr>
                <w:rFonts w:ascii="Arial" w:hAnsi="Arial" w:cs="Arial" w:eastAsia="Arial" w:hint="default"/>
                <w:sz w:val="24"/>
                <w:szCs w:val="24"/>
              </w:rPr>
              <w:t>70%</w:t>
            </w:r>
            <w:r>
              <w:rPr>
                <w:rFonts w:ascii="宋体" w:hAnsi="宋体" w:cs="宋体" w:eastAsia="宋体" w:hint="default"/>
                <w:sz w:val="24"/>
                <w:szCs w:val="24"/>
              </w:rPr>
              <w:t>以上的企业。然而，截至本财务报表批准报出日止，发展改革委 </w:t>
            </w:r>
            <w:r>
              <w:rPr>
                <w:rFonts w:ascii="宋体" w:hAnsi="宋体" w:cs="宋体" w:eastAsia="宋体" w:hint="default"/>
                <w:spacing w:val="-6"/>
                <w:sz w:val="24"/>
                <w:szCs w:val="24"/>
              </w:rPr>
              <w:t>员会仍未发布《西部地区鼓励类产业目录》。本集团</w:t>
            </w:r>
            <w:r>
              <w:rPr>
                <w:rFonts w:ascii="宋体" w:hAnsi="宋体" w:cs="宋体" w:eastAsia="宋体" w:hint="default"/>
                <w:spacing w:val="-48"/>
                <w:sz w:val="24"/>
                <w:szCs w:val="24"/>
              </w:rPr>
              <w:t> </w:t>
            </w:r>
            <w:r>
              <w:rPr>
                <w:rFonts w:ascii="Arial" w:hAnsi="Arial" w:cs="Arial" w:eastAsia="Arial" w:hint="default"/>
                <w:spacing w:val="-5"/>
                <w:w w:val="99"/>
                <w:sz w:val="24"/>
                <w:szCs w:val="24"/>
              </w:rPr>
              <w:t>2011</w:t>
            </w:r>
            <w:r>
              <w:rPr>
                <w:rFonts w:ascii="Arial" w:hAnsi="Arial" w:cs="Arial" w:eastAsia="Arial" w:hint="default"/>
                <w:spacing w:val="6"/>
                <w:w w:val="99"/>
                <w:sz w:val="24"/>
                <w:szCs w:val="24"/>
              </w:rPr>
              <w:t> </w:t>
            </w:r>
            <w:r>
              <w:rPr>
                <w:rFonts w:ascii="宋体" w:hAnsi="宋体" w:cs="宋体" w:eastAsia="宋体" w:hint="default"/>
                <w:spacing w:val="-1"/>
                <w:sz w:val="24"/>
                <w:szCs w:val="24"/>
              </w:rPr>
              <w:t>年度按该项优惠税率计税公司</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情况如下：</w:t>
            </w:r>
          </w:p>
        </w:tc>
      </w:tr>
      <w:tr>
        <w:trPr>
          <w:trHeight w:val="1974" w:hRule="exact"/>
        </w:trPr>
        <w:tc>
          <w:tcPr>
            <w:tcW w:w="772" w:type="dxa"/>
            <w:tcBorders>
              <w:top w:val="nil" w:sz="6" w:space="0" w:color="auto"/>
              <w:left w:val="nil" w:sz="6" w:space="0" w:color="auto"/>
              <w:bottom w:val="nil" w:sz="6" w:space="0" w:color="auto"/>
              <w:right w:val="nil" w:sz="6" w:space="0" w:color="auto"/>
            </w:tcBorders>
          </w:tcPr>
          <w:p>
            <w:pPr/>
          </w:p>
        </w:tc>
        <w:tc>
          <w:tcPr>
            <w:tcW w:w="962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320"/>
              <w:jc w:val="both"/>
              <w:rPr>
                <w:rFonts w:ascii="宋体" w:hAnsi="宋体" w:cs="宋体" w:eastAsia="宋体" w:hint="default"/>
                <w:sz w:val="24"/>
                <w:szCs w:val="24"/>
              </w:rPr>
            </w:pPr>
            <w:r>
              <w:rPr>
                <w:rFonts w:ascii="宋体" w:hAnsi="宋体" w:cs="宋体" w:eastAsia="宋体" w:hint="default"/>
                <w:sz w:val="24"/>
                <w:szCs w:val="24"/>
              </w:rPr>
              <w:t>陕西苏宁电器有限责任公司被列入陕西省发展改革委员会发布的《陕西省符合国家鼓励</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2"/>
                <w:sz w:val="24"/>
                <w:szCs w:val="24"/>
              </w:rPr>
              <w:t>类目录企业确认函》</w:t>
            </w:r>
            <w:r>
              <w:rPr>
                <w:rFonts w:ascii="Arial" w:hAnsi="Arial" w:cs="Arial" w:eastAsia="Arial" w:hint="default"/>
                <w:spacing w:val="-2"/>
                <w:sz w:val="24"/>
                <w:szCs w:val="24"/>
              </w:rPr>
              <w:t>(</w:t>
            </w:r>
            <w:r>
              <w:rPr>
                <w:rFonts w:ascii="宋体" w:hAnsi="宋体" w:cs="宋体" w:eastAsia="宋体" w:hint="default"/>
                <w:spacing w:val="-2"/>
                <w:sz w:val="24"/>
                <w:szCs w:val="24"/>
              </w:rPr>
              <w:t>陕发改产业确认函</w:t>
            </w:r>
            <w:r>
              <w:rPr>
                <w:rFonts w:ascii="Arial" w:hAnsi="Arial" w:cs="Arial" w:eastAsia="Arial" w:hint="default"/>
                <w:spacing w:val="-2"/>
                <w:sz w:val="24"/>
                <w:szCs w:val="24"/>
              </w:rPr>
              <w:t>[2011]081</w:t>
            </w:r>
            <w:r>
              <w:rPr>
                <w:rFonts w:ascii="Arial" w:hAnsi="Arial" w:cs="Arial" w:eastAsia="Arial" w:hint="default"/>
                <w:spacing w:val="12"/>
                <w:sz w:val="24"/>
                <w:szCs w:val="24"/>
              </w:rPr>
              <w:t> </w:t>
            </w:r>
            <w:r>
              <w:rPr>
                <w:rFonts w:ascii="宋体" w:hAnsi="宋体" w:cs="宋体" w:eastAsia="宋体" w:hint="default"/>
                <w:spacing w:val="-1"/>
                <w:sz w:val="24"/>
                <w:szCs w:val="24"/>
              </w:rPr>
              <w:t>号</w:t>
            </w:r>
            <w:r>
              <w:rPr>
                <w:rFonts w:ascii="Arial" w:hAnsi="Arial" w:cs="Arial" w:eastAsia="Arial" w:hint="default"/>
                <w:spacing w:val="-1"/>
                <w:sz w:val="24"/>
                <w:szCs w:val="24"/>
              </w:rPr>
              <w:t>)</w:t>
            </w:r>
            <w:r>
              <w:rPr>
                <w:rFonts w:ascii="宋体" w:hAnsi="宋体" w:cs="宋体" w:eastAsia="宋体" w:hint="default"/>
                <w:spacing w:val="-1"/>
                <w:sz w:val="24"/>
                <w:szCs w:val="24"/>
              </w:rPr>
              <w:t>名单中，该确认函根据国家发展改</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4"/>
                <w:sz w:val="24"/>
                <w:szCs w:val="24"/>
              </w:rPr>
              <w:t>革委《产业结构调整指导目录》</w:t>
            </w:r>
            <w:r>
              <w:rPr>
                <w:rFonts w:ascii="Arial" w:hAnsi="Arial" w:cs="Arial" w:eastAsia="Arial" w:hint="default"/>
                <w:spacing w:val="-4"/>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Arial" w:hAnsi="Arial" w:cs="Arial" w:eastAsia="Arial" w:hint="default"/>
                <w:sz w:val="24"/>
                <w:szCs w:val="24"/>
              </w:rPr>
              <w:t>)(</w:t>
            </w:r>
            <w:r>
              <w:rPr>
                <w:rFonts w:ascii="宋体" w:hAnsi="宋体" w:cs="宋体" w:eastAsia="宋体" w:hint="default"/>
                <w:sz w:val="24"/>
                <w:szCs w:val="24"/>
              </w:rPr>
              <w:t>国家发改委令第</w:t>
            </w:r>
            <w:r>
              <w:rPr>
                <w:rFonts w:ascii="宋体" w:hAnsi="宋体" w:cs="宋体" w:eastAsia="宋体" w:hint="default"/>
                <w:spacing w:val="-60"/>
                <w:sz w:val="24"/>
                <w:szCs w:val="24"/>
              </w:rPr>
              <w:t> </w:t>
            </w:r>
            <w:r>
              <w:rPr>
                <w:rFonts w:ascii="Arial" w:hAnsi="Arial" w:cs="Arial" w:eastAsia="Arial" w:hint="default"/>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和</w:t>
            </w:r>
            <w:r>
              <w:rPr>
                <w:rFonts w:ascii="宋体" w:hAnsi="宋体" w:cs="宋体" w:eastAsia="宋体" w:hint="default"/>
                <w:spacing w:val="-60"/>
                <w:sz w:val="24"/>
                <w:szCs w:val="24"/>
              </w:rPr>
              <w:t> </w:t>
            </w:r>
            <w:r>
              <w:rPr>
                <w:rFonts w:ascii="Arial" w:hAnsi="Arial" w:cs="Arial" w:eastAsia="Arial" w:hint="default"/>
                <w:sz w:val="24"/>
                <w:szCs w:val="24"/>
              </w:rPr>
              <w:t>58</w:t>
            </w:r>
            <w:r>
              <w:rPr>
                <w:rFonts w:ascii="Arial" w:hAnsi="Arial" w:cs="Arial" w:eastAsia="Arial" w:hint="default"/>
                <w:spacing w:val="-6"/>
                <w:sz w:val="24"/>
                <w:szCs w:val="24"/>
              </w:rPr>
              <w:t> </w:t>
            </w:r>
            <w:r>
              <w:rPr>
                <w:rFonts w:ascii="宋体" w:hAnsi="宋体" w:cs="宋体" w:eastAsia="宋体" w:hint="default"/>
                <w:sz w:val="24"/>
                <w:szCs w:val="24"/>
              </w:rPr>
              <w:t>号文将陕西苏宁电</w:t>
            </w:r>
          </w:p>
          <w:p>
            <w:pPr>
              <w:pStyle w:val="TableParagraph"/>
              <w:spacing w:line="291" w:lineRule="exact"/>
              <w:ind w:left="136" w:right="0"/>
              <w:jc w:val="both"/>
              <w:rPr>
                <w:rFonts w:ascii="宋体" w:hAnsi="宋体" w:cs="宋体" w:eastAsia="宋体" w:hint="default"/>
                <w:sz w:val="24"/>
                <w:szCs w:val="24"/>
              </w:rPr>
            </w:pPr>
            <w:r>
              <w:rPr>
                <w:rFonts w:ascii="宋体" w:hAnsi="宋体" w:cs="宋体" w:eastAsia="宋体" w:hint="default"/>
                <w:sz w:val="24"/>
                <w:szCs w:val="24"/>
              </w:rPr>
              <w:t>器有限责任公司列入该国家鼓励类目录企业确认名单</w:t>
            </w:r>
            <w:r>
              <w:rPr>
                <w:rFonts w:ascii="Arial" w:hAnsi="Arial" w:cs="Arial" w:eastAsia="Arial" w:hint="default"/>
                <w:sz w:val="24"/>
                <w:szCs w:val="24"/>
              </w:rPr>
              <w:t>(</w:t>
            </w:r>
            <w:r>
              <w:rPr>
                <w:rFonts w:ascii="宋体" w:hAnsi="宋体" w:cs="宋体" w:eastAsia="宋体" w:hint="default"/>
                <w:sz w:val="24"/>
                <w:szCs w:val="24"/>
              </w:rPr>
              <w:t>第一批</w:t>
            </w:r>
            <w:r>
              <w:rPr>
                <w:rFonts w:ascii="Arial" w:hAnsi="Arial" w:cs="Arial" w:eastAsia="Arial" w:hint="default"/>
                <w:sz w:val="24"/>
                <w:szCs w:val="24"/>
              </w:rPr>
              <w:t>)</w:t>
            </w:r>
            <w:r>
              <w:rPr>
                <w:rFonts w:ascii="宋体" w:hAnsi="宋体" w:cs="宋体" w:eastAsia="宋体" w:hint="default"/>
                <w:sz w:val="24"/>
                <w:szCs w:val="24"/>
              </w:rPr>
              <w:t>，符合自</w:t>
            </w:r>
            <w:r>
              <w:rPr>
                <w:rFonts w:ascii="宋体" w:hAnsi="宋体" w:cs="宋体" w:eastAsia="宋体" w:hint="default"/>
                <w:spacing w:val="-70"/>
                <w:sz w:val="24"/>
                <w:szCs w:val="24"/>
              </w:rPr>
              <w:t> </w:t>
            </w:r>
            <w:r>
              <w:rPr>
                <w:rFonts w:ascii="Arial" w:hAnsi="Arial" w:cs="Arial" w:eastAsia="Arial" w:hint="default"/>
                <w:spacing w:val="-5"/>
                <w:sz w:val="24"/>
                <w:szCs w:val="24"/>
              </w:rPr>
              <w:t>2011</w:t>
            </w:r>
            <w:r>
              <w:rPr>
                <w:rFonts w:ascii="Arial" w:hAnsi="Arial" w:cs="Arial" w:eastAsia="Arial" w:hint="default"/>
                <w:spacing w:val="-16"/>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Arial" w:hAnsi="Arial" w:cs="Arial" w:eastAsia="Arial" w:hint="default"/>
                <w:sz w:val="24"/>
                <w:szCs w:val="24"/>
              </w:rPr>
              <w:t>1</w:t>
            </w:r>
            <w:r>
              <w:rPr>
                <w:rFonts w:ascii="Arial" w:hAnsi="Arial" w:cs="Arial" w:eastAsia="Arial" w:hint="default"/>
                <w:spacing w:val="-16"/>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1</w:t>
            </w:r>
            <w:r>
              <w:rPr>
                <w:rFonts w:ascii="Arial" w:hAnsi="Arial" w:cs="Arial" w:eastAsia="Arial" w:hint="default"/>
                <w:spacing w:val="-16"/>
                <w:sz w:val="24"/>
                <w:szCs w:val="24"/>
              </w:rPr>
              <w:t> </w:t>
            </w:r>
            <w:r>
              <w:rPr>
                <w:rFonts w:ascii="宋体" w:hAnsi="宋体" w:cs="宋体" w:eastAsia="宋体" w:hint="default"/>
                <w:sz w:val="24"/>
                <w:szCs w:val="24"/>
              </w:rPr>
              <w:t>日</w:t>
            </w:r>
          </w:p>
          <w:p>
            <w:pPr>
              <w:pStyle w:val="TableParagraph"/>
              <w:spacing w:line="312" w:lineRule="exact" w:before="21"/>
              <w:ind w:left="136" w:right="320"/>
              <w:jc w:val="both"/>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2020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日，对设在西部地区的鼓励类产业企业减按</w:t>
            </w:r>
            <w:r>
              <w:rPr>
                <w:rFonts w:ascii="宋体" w:hAnsi="宋体" w:cs="宋体" w:eastAsia="宋体" w:hint="default"/>
                <w:spacing w:val="-62"/>
                <w:sz w:val="24"/>
                <w:szCs w:val="24"/>
              </w:rPr>
              <w:t> </w:t>
            </w:r>
            <w:r>
              <w:rPr>
                <w:rFonts w:ascii="Arial" w:hAnsi="Arial" w:cs="Arial" w:eastAsia="Arial" w:hint="default"/>
                <w:sz w:val="24"/>
                <w:szCs w:val="24"/>
              </w:rPr>
              <w:t>15%</w:t>
            </w:r>
            <w:r>
              <w:rPr>
                <w:rFonts w:ascii="宋体" w:hAnsi="宋体" w:cs="宋体" w:eastAsia="宋体" w:hint="default"/>
                <w:sz w:val="24"/>
                <w:szCs w:val="24"/>
              </w:rPr>
              <w:t>的税率征收企业所 得税相关条件。</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480"/>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948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税项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94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税收优惠及批文</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48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企业所得税过渡优惠政策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(ii)</w:t>
            </w:r>
          </w:p>
        </w:tc>
        <w:tc>
          <w:tcPr>
            <w:tcW w:w="948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6"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2104" w:hRule="exact"/>
        </w:trPr>
        <w:tc>
          <w:tcPr>
            <w:tcW w:w="772" w:type="dxa"/>
            <w:tcBorders>
              <w:top w:val="nil" w:sz="6" w:space="0" w:color="auto"/>
              <w:left w:val="nil" w:sz="6" w:space="0" w:color="auto"/>
              <w:bottom w:val="nil" w:sz="6" w:space="0" w:color="auto"/>
              <w:right w:val="nil" w:sz="6" w:space="0" w:color="auto"/>
            </w:tcBorders>
          </w:tcPr>
          <w:p>
            <w:pPr/>
          </w:p>
        </w:tc>
        <w:tc>
          <w:tcPr>
            <w:tcW w:w="9480"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136" w:right="0"/>
              <w:jc w:val="both"/>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21</w:t>
            </w:r>
            <w:r>
              <w:rPr>
                <w:rFonts w:ascii="Arial" w:hAnsi="Arial" w:cs="Arial" w:eastAsia="Arial" w:hint="default"/>
                <w:spacing w:val="-11"/>
                <w:sz w:val="24"/>
                <w:szCs w:val="24"/>
              </w:rPr>
              <w:t> </w:t>
            </w:r>
            <w:r>
              <w:rPr>
                <w:rFonts w:ascii="宋体" w:hAnsi="宋体" w:cs="宋体" w:eastAsia="宋体" w:hint="default"/>
                <w:sz w:val="24"/>
                <w:szCs w:val="24"/>
              </w:rPr>
              <w:t>日，经西双版纳州国家税务局西国税函</w:t>
            </w:r>
            <w:r>
              <w:rPr>
                <w:rFonts w:ascii="Arial" w:hAnsi="Arial" w:cs="Arial" w:eastAsia="Arial" w:hint="default"/>
                <w:sz w:val="24"/>
                <w:szCs w:val="24"/>
              </w:rPr>
              <w:t>[2010]22</w:t>
            </w:r>
            <w:r>
              <w:rPr>
                <w:rFonts w:ascii="Arial" w:hAnsi="Arial" w:cs="Arial" w:eastAsia="Arial" w:hint="default"/>
                <w:spacing w:val="-10"/>
                <w:sz w:val="24"/>
                <w:szCs w:val="24"/>
              </w:rPr>
              <w:t> </w:t>
            </w:r>
            <w:r>
              <w:rPr>
                <w:rFonts w:ascii="宋体" w:hAnsi="宋体" w:cs="宋体" w:eastAsia="宋体" w:hint="default"/>
                <w:spacing w:val="-3"/>
                <w:sz w:val="24"/>
                <w:szCs w:val="24"/>
              </w:rPr>
              <w:t>号文批准：景洪苏宁电</w:t>
            </w:r>
          </w:p>
          <w:p>
            <w:pPr>
              <w:pStyle w:val="TableParagraph"/>
              <w:spacing w:line="322" w:lineRule="exact"/>
              <w:ind w:left="136" w:right="0"/>
              <w:jc w:val="both"/>
              <w:rPr>
                <w:rFonts w:ascii="宋体" w:hAnsi="宋体" w:cs="宋体" w:eastAsia="宋体" w:hint="default"/>
                <w:sz w:val="24"/>
                <w:szCs w:val="24"/>
              </w:rPr>
            </w:pPr>
            <w:r>
              <w:rPr>
                <w:rFonts w:ascii="宋体" w:hAnsi="宋体" w:cs="宋体" w:eastAsia="宋体" w:hint="default"/>
                <w:sz w:val="24"/>
                <w:szCs w:val="24"/>
              </w:rPr>
              <w:t>器有限公司</w:t>
            </w:r>
            <w:r>
              <w:rPr>
                <w:rFonts w:ascii="宋体" w:hAnsi="宋体" w:cs="宋体" w:eastAsia="宋体" w:hint="default"/>
                <w:spacing w:val="-63"/>
                <w:sz w:val="24"/>
                <w:szCs w:val="24"/>
              </w:rPr>
              <w:t> </w:t>
            </w:r>
            <w:r>
              <w:rPr>
                <w:rFonts w:ascii="Arial" w:hAnsi="Arial" w:cs="Arial" w:eastAsia="Arial" w:hint="default"/>
                <w:sz w:val="24"/>
                <w:szCs w:val="24"/>
              </w:rPr>
              <w:t>2009</w:t>
            </w:r>
            <w:r>
              <w:rPr>
                <w:rFonts w:ascii="Arial" w:hAnsi="Arial" w:cs="Arial" w:eastAsia="Arial" w:hint="default"/>
                <w:spacing w:val="-8"/>
                <w:sz w:val="24"/>
                <w:szCs w:val="24"/>
              </w:rPr>
              <w:t> </w:t>
            </w:r>
            <w:r>
              <w:rPr>
                <w:rFonts w:ascii="宋体" w:hAnsi="宋体" w:cs="宋体" w:eastAsia="宋体" w:hint="default"/>
                <w:sz w:val="24"/>
                <w:szCs w:val="24"/>
              </w:rPr>
              <w:t>年至</w:t>
            </w:r>
            <w:r>
              <w:rPr>
                <w:rFonts w:ascii="宋体" w:hAnsi="宋体" w:cs="宋体" w:eastAsia="宋体" w:hint="default"/>
                <w:spacing w:val="-64"/>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年享受</w:t>
            </w:r>
            <w:r>
              <w:rPr>
                <w:rFonts w:ascii="宋体" w:hAnsi="宋体" w:cs="宋体" w:eastAsia="宋体" w:hint="default"/>
                <w:spacing w:val="-62"/>
                <w:sz w:val="24"/>
                <w:szCs w:val="24"/>
              </w:rPr>
              <w:t> </w:t>
            </w:r>
            <w:r>
              <w:rPr>
                <w:rFonts w:ascii="Arial" w:hAnsi="Arial" w:cs="Arial" w:eastAsia="Arial" w:hint="default"/>
                <w:sz w:val="24"/>
                <w:szCs w:val="24"/>
              </w:rPr>
              <w:t>15%</w:t>
            </w:r>
            <w:r>
              <w:rPr>
                <w:rFonts w:ascii="宋体" w:hAnsi="宋体" w:cs="宋体" w:eastAsia="宋体" w:hint="default"/>
                <w:sz w:val="24"/>
                <w:szCs w:val="24"/>
              </w:rPr>
              <w:t>企业所得税率。</w:t>
            </w: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312" w:lineRule="exact"/>
              <w:ind w:left="136" w:right="198"/>
              <w:jc w:val="both"/>
              <w:rPr>
                <w:rFonts w:ascii="宋体" w:hAnsi="宋体" w:cs="宋体" w:eastAsia="宋体" w:hint="default"/>
                <w:sz w:val="24"/>
                <w:szCs w:val="24"/>
              </w:rPr>
            </w:pPr>
            <w:r>
              <w:rPr>
                <w:rFonts w:ascii="宋体" w:hAnsi="宋体" w:cs="宋体" w:eastAsia="宋体" w:hint="default"/>
                <w:spacing w:val="5"/>
                <w:sz w:val="24"/>
                <w:szCs w:val="24"/>
              </w:rPr>
              <w:t>根据西宁市国家税务局发布的宁国税函</w:t>
            </w:r>
            <w:r>
              <w:rPr>
                <w:rFonts w:ascii="Arial" w:hAnsi="Arial" w:cs="Arial" w:eastAsia="Arial" w:hint="default"/>
                <w:spacing w:val="5"/>
                <w:sz w:val="24"/>
                <w:szCs w:val="24"/>
              </w:rPr>
              <w:t>[2009]338</w:t>
            </w:r>
            <w:r>
              <w:rPr>
                <w:rFonts w:ascii="Arial" w:hAnsi="Arial" w:cs="Arial" w:eastAsia="Arial" w:hint="default"/>
                <w:spacing w:val="65"/>
                <w:sz w:val="24"/>
                <w:szCs w:val="24"/>
              </w:rPr>
              <w:t> </w:t>
            </w:r>
            <w:r>
              <w:rPr>
                <w:rFonts w:ascii="宋体" w:hAnsi="宋体" w:cs="宋体" w:eastAsia="宋体" w:hint="default"/>
                <w:spacing w:val="7"/>
                <w:sz w:val="24"/>
                <w:szCs w:val="24"/>
              </w:rPr>
              <w:t>号文批准：西宁苏宁电器有限公司</w:t>
            </w:r>
            <w:r>
              <w:rPr>
                <w:rFonts w:ascii="宋体" w:hAnsi="宋体" w:cs="宋体" w:eastAsia="宋体" w:hint="default"/>
                <w:sz w:val="24"/>
                <w:szCs w:val="24"/>
              </w:rPr>
              <w:t> </w:t>
            </w:r>
            <w:r>
              <w:rPr>
                <w:rFonts w:ascii="Arial" w:hAnsi="Arial" w:cs="Arial" w:eastAsia="Arial" w:hint="default"/>
                <w:spacing w:val="-1"/>
                <w:w w:val="99"/>
                <w:sz w:val="24"/>
                <w:szCs w:val="24"/>
              </w:rPr>
              <w:t>2006</w:t>
            </w:r>
            <w:r>
              <w:rPr>
                <w:rFonts w:ascii="Arial" w:hAnsi="Arial" w:cs="Arial" w:eastAsia="Arial" w:hint="default"/>
                <w:spacing w:val="-3"/>
                <w:w w:val="99"/>
                <w:sz w:val="24"/>
                <w:szCs w:val="24"/>
              </w:rPr>
              <w:t> </w:t>
            </w:r>
            <w:r>
              <w:rPr>
                <w:rFonts w:ascii="宋体" w:hAnsi="宋体" w:cs="宋体" w:eastAsia="宋体" w:hint="default"/>
                <w:sz w:val="24"/>
                <w:szCs w:val="24"/>
              </w:rPr>
              <w:t>年至</w:t>
            </w:r>
            <w:r>
              <w:rPr>
                <w:rFonts w:ascii="宋体" w:hAnsi="宋体" w:cs="宋体" w:eastAsia="宋体" w:hint="default"/>
                <w:spacing w:val="-57"/>
                <w:sz w:val="24"/>
                <w:szCs w:val="24"/>
              </w:rPr>
              <w:t> </w:t>
            </w:r>
            <w:r>
              <w:rPr>
                <w:rFonts w:ascii="Arial" w:hAnsi="Arial" w:cs="Arial" w:eastAsia="Arial" w:hint="default"/>
                <w:spacing w:val="-1"/>
                <w:w w:val="99"/>
                <w:sz w:val="24"/>
                <w:szCs w:val="24"/>
              </w:rPr>
              <w:t>2010</w:t>
            </w:r>
            <w:r>
              <w:rPr>
                <w:rFonts w:ascii="Arial" w:hAnsi="Arial" w:cs="Arial" w:eastAsia="Arial" w:hint="default"/>
                <w:spacing w:val="-3"/>
                <w:w w:val="99"/>
                <w:sz w:val="24"/>
                <w:szCs w:val="24"/>
              </w:rPr>
              <w:t> </w:t>
            </w:r>
            <w:r>
              <w:rPr>
                <w:rFonts w:ascii="宋体" w:hAnsi="宋体" w:cs="宋体" w:eastAsia="宋体" w:hint="default"/>
                <w:spacing w:val="-10"/>
                <w:w w:val="99"/>
                <w:sz w:val="24"/>
                <w:szCs w:val="24"/>
              </w:rPr>
              <w:t>年期间免征企业所得税，</w:t>
            </w:r>
            <w:r>
              <w:rPr>
                <w:rFonts w:ascii="Arial" w:hAnsi="Arial" w:cs="Arial" w:eastAsia="Arial" w:hint="default"/>
                <w:spacing w:val="-10"/>
                <w:w w:val="99"/>
                <w:sz w:val="24"/>
                <w:szCs w:val="24"/>
              </w:rPr>
              <w:t>2011</w:t>
            </w:r>
            <w:r>
              <w:rPr>
                <w:rFonts w:ascii="Arial" w:hAnsi="Arial" w:cs="Arial" w:eastAsia="Arial" w:hint="default"/>
                <w:spacing w:val="-5"/>
                <w:w w:val="99"/>
                <w:sz w:val="24"/>
                <w:szCs w:val="24"/>
              </w:rPr>
              <w:t> </w:t>
            </w:r>
            <w:r>
              <w:rPr>
                <w:rFonts w:ascii="宋体" w:hAnsi="宋体" w:cs="宋体" w:eastAsia="宋体" w:hint="default"/>
                <w:sz w:val="24"/>
                <w:szCs w:val="24"/>
              </w:rPr>
              <w:t>年至</w:t>
            </w:r>
            <w:r>
              <w:rPr>
                <w:rFonts w:ascii="宋体" w:hAnsi="宋体" w:cs="宋体" w:eastAsia="宋体" w:hint="default"/>
                <w:spacing w:val="-57"/>
                <w:sz w:val="24"/>
                <w:szCs w:val="24"/>
              </w:rPr>
              <w:t> </w:t>
            </w:r>
            <w:r>
              <w:rPr>
                <w:rFonts w:ascii="Arial" w:hAnsi="Arial" w:cs="Arial" w:eastAsia="Arial" w:hint="default"/>
                <w:spacing w:val="-1"/>
                <w:w w:val="99"/>
                <w:sz w:val="24"/>
                <w:szCs w:val="24"/>
              </w:rPr>
              <w:t>2012</w:t>
            </w:r>
            <w:r>
              <w:rPr>
                <w:rFonts w:ascii="Arial" w:hAnsi="Arial" w:cs="Arial" w:eastAsia="Arial" w:hint="default"/>
                <w:spacing w:val="-3"/>
                <w:w w:val="99"/>
                <w:sz w:val="24"/>
                <w:szCs w:val="24"/>
              </w:rPr>
              <w:t> </w:t>
            </w:r>
            <w:r>
              <w:rPr>
                <w:rFonts w:ascii="宋体" w:hAnsi="宋体" w:cs="宋体" w:eastAsia="宋体" w:hint="default"/>
                <w:sz w:val="24"/>
                <w:szCs w:val="24"/>
              </w:rPr>
              <w:t>年度减按</w:t>
            </w:r>
            <w:r>
              <w:rPr>
                <w:rFonts w:ascii="宋体" w:hAnsi="宋体" w:cs="宋体" w:eastAsia="宋体" w:hint="default"/>
                <w:spacing w:val="-57"/>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的税率征收企业</w:t>
            </w:r>
            <w:r>
              <w:rPr>
                <w:rFonts w:ascii="宋体" w:hAnsi="宋体" w:cs="宋体" w:eastAsia="宋体" w:hint="default"/>
                <w:sz w:val="24"/>
                <w:szCs w:val="24"/>
              </w:rPr>
              <w:t> 所得税。</w:t>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48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企业所得税优惠政策</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w:t>
            </w:r>
          </w:p>
        </w:tc>
        <w:tc>
          <w:tcPr>
            <w:tcW w:w="948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自治机关地方税收优惠政策</w:t>
            </w:r>
          </w:p>
        </w:tc>
      </w:tr>
      <w:tr>
        <w:trPr>
          <w:trHeight w:val="1674" w:hRule="exact"/>
        </w:trPr>
        <w:tc>
          <w:tcPr>
            <w:tcW w:w="772" w:type="dxa"/>
            <w:tcBorders>
              <w:top w:val="nil" w:sz="6" w:space="0" w:color="auto"/>
              <w:left w:val="nil" w:sz="6" w:space="0" w:color="auto"/>
              <w:bottom w:val="nil" w:sz="6" w:space="0" w:color="auto"/>
              <w:right w:val="nil" w:sz="6" w:space="0" w:color="auto"/>
            </w:tcBorders>
          </w:tcPr>
          <w:p>
            <w:pPr/>
          </w:p>
        </w:tc>
        <w:tc>
          <w:tcPr>
            <w:tcW w:w="948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6" w:right="198"/>
              <w:jc w:val="both"/>
              <w:rPr>
                <w:rFonts w:ascii="宋体" w:hAnsi="宋体" w:cs="宋体" w:eastAsia="宋体" w:hint="default"/>
                <w:sz w:val="24"/>
                <w:szCs w:val="24"/>
              </w:rPr>
            </w:pPr>
            <w:r>
              <w:rPr>
                <w:rFonts w:ascii="Arial" w:hAnsi="Arial" w:cs="Arial" w:eastAsia="Arial" w:hint="default"/>
                <w:sz w:val="24"/>
                <w:szCs w:val="24"/>
              </w:rPr>
              <w:t>2007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日，经昌吉市国家税务局昌市国税减免字</w:t>
            </w:r>
            <w:r>
              <w:rPr>
                <w:rFonts w:ascii="Arial" w:hAnsi="Arial" w:cs="Arial" w:eastAsia="Arial" w:hint="default"/>
                <w:sz w:val="24"/>
                <w:szCs w:val="24"/>
              </w:rPr>
              <w:t>[2007]</w:t>
            </w:r>
            <w:r>
              <w:rPr>
                <w:rFonts w:ascii="宋体" w:hAnsi="宋体" w:cs="宋体" w:eastAsia="宋体" w:hint="default"/>
                <w:sz w:val="24"/>
                <w:szCs w:val="24"/>
              </w:rPr>
              <w:t>第</w:t>
            </w:r>
            <w:r>
              <w:rPr>
                <w:rFonts w:ascii="宋体" w:hAnsi="宋体" w:cs="宋体" w:eastAsia="宋体" w:hint="default"/>
                <w:spacing w:val="-49"/>
                <w:sz w:val="24"/>
                <w:szCs w:val="24"/>
              </w:rPr>
              <w:t> </w:t>
            </w:r>
            <w:r>
              <w:rPr>
                <w:rFonts w:ascii="Arial" w:hAnsi="Arial" w:cs="Arial" w:eastAsia="Arial" w:hint="default"/>
                <w:sz w:val="24"/>
                <w:szCs w:val="24"/>
              </w:rPr>
              <w:t>588</w:t>
            </w:r>
            <w:r>
              <w:rPr>
                <w:rFonts w:ascii="Arial" w:hAnsi="Arial" w:cs="Arial" w:eastAsia="Arial" w:hint="default"/>
                <w:spacing w:val="7"/>
                <w:sz w:val="24"/>
                <w:szCs w:val="24"/>
              </w:rPr>
              <w:t> </w:t>
            </w:r>
            <w:r>
              <w:rPr>
                <w:rFonts w:ascii="宋体" w:hAnsi="宋体" w:cs="宋体" w:eastAsia="宋体" w:hint="default"/>
                <w:sz w:val="24"/>
                <w:szCs w:val="24"/>
              </w:rPr>
              <w:t>号文批准：昌 吉苏宁电器有限责任公司享受“三免三减半”的税收优惠政策，即免征昌吉苏宁电器有</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限责任公司</w:t>
            </w:r>
            <w:r>
              <w:rPr>
                <w:rFonts w:ascii="宋体" w:hAnsi="宋体" w:cs="宋体" w:eastAsia="宋体" w:hint="default"/>
                <w:spacing w:val="-57"/>
                <w:sz w:val="24"/>
                <w:szCs w:val="24"/>
              </w:rPr>
              <w:t> </w:t>
            </w:r>
            <w:r>
              <w:rPr>
                <w:rFonts w:ascii="Arial" w:hAnsi="Arial" w:cs="Arial" w:eastAsia="Arial" w:hint="default"/>
                <w:sz w:val="24"/>
                <w:szCs w:val="24"/>
              </w:rPr>
              <w:t>2007</w:t>
            </w:r>
            <w:r>
              <w:rPr>
                <w:rFonts w:ascii="Arial" w:hAnsi="Arial" w:cs="Arial" w:eastAsia="Arial" w:hint="default"/>
                <w:spacing w:val="-2"/>
                <w:sz w:val="24"/>
                <w:szCs w:val="24"/>
              </w:rPr>
              <w:t> </w:t>
            </w:r>
            <w:r>
              <w:rPr>
                <w:rFonts w:ascii="宋体" w:hAnsi="宋体" w:cs="宋体" w:eastAsia="宋体" w:hint="default"/>
                <w:sz w:val="24"/>
                <w:szCs w:val="24"/>
              </w:rPr>
              <w:t>年至</w:t>
            </w:r>
            <w:r>
              <w:rPr>
                <w:rFonts w:ascii="宋体" w:hAnsi="宋体" w:cs="宋体" w:eastAsia="宋体" w:hint="default"/>
                <w:spacing w:val="-56"/>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年企业所得税，并于</w:t>
            </w:r>
            <w:r>
              <w:rPr>
                <w:rFonts w:ascii="宋体" w:hAnsi="宋体" w:cs="宋体" w:eastAsia="宋体" w:hint="default"/>
                <w:spacing w:val="-56"/>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年至</w:t>
            </w:r>
            <w:r>
              <w:rPr>
                <w:rFonts w:ascii="宋体" w:hAnsi="宋体" w:cs="宋体" w:eastAsia="宋体" w:hint="default"/>
                <w:spacing w:val="-57"/>
                <w:sz w:val="24"/>
                <w:szCs w:val="24"/>
              </w:rPr>
              <w:t> </w:t>
            </w:r>
            <w:r>
              <w:rPr>
                <w:rFonts w:ascii="Arial" w:hAnsi="Arial" w:cs="Arial" w:eastAsia="Arial" w:hint="default"/>
                <w:sz w:val="24"/>
                <w:szCs w:val="24"/>
              </w:rPr>
              <w:t>2012</w:t>
            </w:r>
            <w:r>
              <w:rPr>
                <w:rFonts w:ascii="Arial" w:hAnsi="Arial" w:cs="Arial" w:eastAsia="Arial" w:hint="default"/>
                <w:spacing w:val="-4"/>
                <w:sz w:val="24"/>
                <w:szCs w:val="24"/>
              </w:rPr>
              <w:t> </w:t>
            </w:r>
            <w:r>
              <w:rPr>
                <w:rFonts w:ascii="宋体" w:hAnsi="宋体" w:cs="宋体" w:eastAsia="宋体" w:hint="default"/>
                <w:sz w:val="24"/>
                <w:szCs w:val="24"/>
              </w:rPr>
              <w:t>年享受减半征收企业</w:t>
            </w:r>
          </w:p>
          <w:p>
            <w:pPr>
              <w:pStyle w:val="TableParagraph"/>
              <w:spacing w:line="312" w:lineRule="exact"/>
              <w:ind w:left="136" w:right="198"/>
              <w:jc w:val="both"/>
              <w:rPr>
                <w:rFonts w:ascii="宋体" w:hAnsi="宋体" w:cs="宋体" w:eastAsia="宋体" w:hint="default"/>
                <w:sz w:val="24"/>
                <w:szCs w:val="24"/>
              </w:rPr>
            </w:pPr>
            <w:r>
              <w:rPr>
                <w:rFonts w:ascii="宋体" w:hAnsi="宋体" w:cs="宋体" w:eastAsia="宋体" w:hint="default"/>
                <w:sz w:val="24"/>
                <w:szCs w:val="24"/>
              </w:rPr>
              <w:t>所得税</w:t>
            </w:r>
            <w:r>
              <w:rPr>
                <w:rFonts w:ascii="宋体" w:hAnsi="宋体" w:cs="宋体" w:eastAsia="宋体" w:hint="default"/>
                <w:spacing w:val="-40"/>
                <w:sz w:val="24"/>
                <w:szCs w:val="24"/>
              </w:rPr>
              <w:t> </w:t>
            </w:r>
            <w:r>
              <w:rPr>
                <w:rFonts w:ascii="Arial" w:hAnsi="Arial" w:cs="Arial" w:eastAsia="Arial" w:hint="default"/>
                <w:sz w:val="24"/>
                <w:szCs w:val="24"/>
              </w:rPr>
              <w:t>3</w:t>
            </w:r>
            <w:r>
              <w:rPr>
                <w:rFonts w:ascii="Arial" w:hAnsi="Arial" w:cs="Arial" w:eastAsia="Arial" w:hint="default"/>
                <w:spacing w:val="14"/>
                <w:sz w:val="24"/>
                <w:szCs w:val="24"/>
              </w:rPr>
              <w:t> </w:t>
            </w:r>
            <w:r>
              <w:rPr>
                <w:rFonts w:ascii="宋体" w:hAnsi="宋体" w:cs="宋体" w:eastAsia="宋体" w:hint="default"/>
                <w:sz w:val="24"/>
                <w:szCs w:val="24"/>
              </w:rPr>
              <w:t>年的优惠政策。昌吉苏宁电器有限责任公司</w:t>
            </w:r>
            <w:r>
              <w:rPr>
                <w:rFonts w:ascii="宋体" w:hAnsi="宋体" w:cs="宋体" w:eastAsia="宋体" w:hint="default"/>
                <w:spacing w:val="-39"/>
                <w:sz w:val="24"/>
                <w:szCs w:val="24"/>
              </w:rPr>
              <w:t> </w:t>
            </w:r>
            <w:r>
              <w:rPr>
                <w:rFonts w:ascii="Arial" w:hAnsi="Arial" w:cs="Arial" w:eastAsia="Arial" w:hint="default"/>
                <w:spacing w:val="-4"/>
                <w:sz w:val="24"/>
                <w:szCs w:val="24"/>
              </w:rPr>
              <w:t>2011</w:t>
            </w:r>
            <w:r>
              <w:rPr>
                <w:rFonts w:ascii="Arial" w:hAnsi="Arial" w:cs="Arial" w:eastAsia="Arial" w:hint="default"/>
                <w:spacing w:val="15"/>
                <w:sz w:val="24"/>
                <w:szCs w:val="24"/>
              </w:rPr>
              <w:t> </w:t>
            </w:r>
            <w:r>
              <w:rPr>
                <w:rFonts w:ascii="宋体" w:hAnsi="宋体" w:cs="宋体" w:eastAsia="宋体" w:hint="default"/>
                <w:sz w:val="24"/>
                <w:szCs w:val="24"/>
              </w:rPr>
              <w:t>年享受该项优惠，减半征收 企业所得税，即按</w:t>
            </w:r>
            <w:r>
              <w:rPr>
                <w:rFonts w:ascii="宋体" w:hAnsi="宋体" w:cs="宋体" w:eastAsia="宋体" w:hint="default"/>
                <w:spacing w:val="-62"/>
                <w:sz w:val="24"/>
                <w:szCs w:val="24"/>
              </w:rPr>
              <w:t> </w:t>
            </w:r>
            <w:r>
              <w:rPr>
                <w:rFonts w:ascii="Arial" w:hAnsi="Arial" w:cs="Arial" w:eastAsia="Arial" w:hint="default"/>
                <w:sz w:val="24"/>
                <w:szCs w:val="24"/>
              </w:rPr>
              <w:t>12.5%</w:t>
            </w:r>
            <w:r>
              <w:rPr>
                <w:rFonts w:ascii="宋体" w:hAnsi="宋体" w:cs="宋体" w:eastAsia="宋体" w:hint="default"/>
                <w:sz w:val="24"/>
                <w:szCs w:val="24"/>
              </w:rPr>
              <w:t>的税率缴纳企业所得税。</w:t>
            </w:r>
          </w:p>
        </w:tc>
      </w:tr>
    </w:tbl>
    <w:p>
      <w:pPr>
        <w:spacing w:after="0" w:line="312" w:lineRule="exact"/>
        <w:jc w:val="both"/>
        <w:rPr>
          <w:rFonts w:ascii="宋体" w:hAnsi="宋体" w:cs="宋体" w:eastAsia="宋体" w:hint="default"/>
          <w:sz w:val="24"/>
          <w:szCs w:val="24"/>
        </w:rPr>
        <w:sectPr>
          <w:pgSz w:w="11910" w:h="16850"/>
          <w:pgMar w:header="1474" w:footer="881" w:top="2960" w:bottom="108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528"/>
        <w:gridCol w:w="1910"/>
        <w:gridCol w:w="1506"/>
        <w:gridCol w:w="1098"/>
        <w:gridCol w:w="1254"/>
        <w:gridCol w:w="1714"/>
        <w:gridCol w:w="1770"/>
        <w:gridCol w:w="1398"/>
        <w:gridCol w:w="1373"/>
        <w:gridCol w:w="1783"/>
      </w:tblGrid>
      <w:tr>
        <w:trPr>
          <w:trHeight w:val="693" w:hRule="exact"/>
        </w:trPr>
        <w:tc>
          <w:tcPr>
            <w:tcW w:w="52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28"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341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205" w:right="0"/>
              <w:jc w:val="left"/>
              <w:rPr>
                <w:rFonts w:ascii="宋体" w:hAnsi="宋体" w:cs="宋体" w:eastAsia="宋体" w:hint="default"/>
                <w:sz w:val="24"/>
                <w:szCs w:val="24"/>
              </w:rPr>
            </w:pPr>
            <w:r>
              <w:rPr>
                <w:rFonts w:ascii="宋体" w:hAnsi="宋体" w:cs="宋体" w:eastAsia="宋体" w:hint="default"/>
                <w:b/>
                <w:bCs/>
                <w:sz w:val="24"/>
                <w:szCs w:val="24"/>
              </w:rPr>
              <w:t>企业合并及合并财务报表</w:t>
            </w:r>
            <w:r>
              <w:rPr>
                <w:rFonts w:ascii="宋体" w:hAnsi="宋体" w:cs="宋体" w:eastAsia="宋体" w:hint="default"/>
                <w:sz w:val="24"/>
                <w:szCs w:val="24"/>
              </w:rPr>
            </w:r>
          </w:p>
        </w:tc>
        <w:tc>
          <w:tcPr>
            <w:tcW w:w="1098" w:type="dxa"/>
            <w:tcBorders>
              <w:top w:val="single" w:sz="6" w:space="0" w:color="000000"/>
              <w:left w:val="nil" w:sz="6" w:space="0" w:color="auto"/>
              <w:bottom w:val="nil" w:sz="6" w:space="0" w:color="auto"/>
              <w:right w:val="nil" w:sz="6" w:space="0" w:color="auto"/>
            </w:tcBorders>
          </w:tcPr>
          <w:p>
            <w:pPr/>
          </w:p>
        </w:tc>
        <w:tc>
          <w:tcPr>
            <w:tcW w:w="1254" w:type="dxa"/>
            <w:tcBorders>
              <w:top w:val="single" w:sz="6" w:space="0" w:color="000000"/>
              <w:left w:val="nil" w:sz="6" w:space="0" w:color="auto"/>
              <w:bottom w:val="nil" w:sz="6" w:space="0" w:color="auto"/>
              <w:right w:val="nil" w:sz="6" w:space="0" w:color="auto"/>
            </w:tcBorders>
          </w:tcPr>
          <w:p>
            <w:pPr/>
          </w:p>
        </w:tc>
        <w:tc>
          <w:tcPr>
            <w:tcW w:w="1714" w:type="dxa"/>
            <w:tcBorders>
              <w:top w:val="single" w:sz="6" w:space="0" w:color="000000"/>
              <w:left w:val="nil" w:sz="6" w:space="0" w:color="auto"/>
              <w:bottom w:val="nil" w:sz="6" w:space="0" w:color="auto"/>
              <w:right w:val="nil" w:sz="6" w:space="0" w:color="auto"/>
            </w:tcBorders>
          </w:tcPr>
          <w:p>
            <w:pPr/>
          </w:p>
        </w:tc>
        <w:tc>
          <w:tcPr>
            <w:tcW w:w="1770" w:type="dxa"/>
            <w:tcBorders>
              <w:top w:val="single" w:sz="6" w:space="0" w:color="000000"/>
              <w:left w:val="nil" w:sz="6" w:space="0" w:color="auto"/>
              <w:bottom w:val="nil" w:sz="6" w:space="0" w:color="auto"/>
              <w:right w:val="nil" w:sz="6" w:space="0" w:color="auto"/>
            </w:tcBorders>
          </w:tcPr>
          <w:p>
            <w:pPr/>
          </w:p>
        </w:tc>
        <w:tc>
          <w:tcPr>
            <w:tcW w:w="1398" w:type="dxa"/>
            <w:tcBorders>
              <w:top w:val="single" w:sz="6" w:space="0" w:color="000000"/>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nil" w:sz="6" w:space="0" w:color="auto"/>
              <w:right w:val="nil" w:sz="6" w:space="0" w:color="auto"/>
            </w:tcBorders>
          </w:tcPr>
          <w:p>
            <w:pPr/>
          </w:p>
        </w:tc>
        <w:tc>
          <w:tcPr>
            <w:tcW w:w="1783" w:type="dxa"/>
            <w:tcBorders>
              <w:top w:val="single" w:sz="6" w:space="0" w:color="000000"/>
              <w:left w:val="nil" w:sz="6" w:space="0" w:color="auto"/>
              <w:bottom w:val="nil" w:sz="6" w:space="0" w:color="auto"/>
              <w:right w:val="nil" w:sz="6" w:space="0" w:color="auto"/>
            </w:tcBorders>
          </w:tcPr>
          <w:p>
            <w:pPr/>
          </w:p>
        </w:tc>
      </w:tr>
      <w:tr>
        <w:trPr>
          <w:trHeight w:val="591" w:hRule="exact"/>
        </w:trPr>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8" w:right="0"/>
              <w:jc w:val="left"/>
              <w:rPr>
                <w:rFonts w:ascii="Arial" w:hAnsi="Arial" w:cs="Arial" w:eastAsia="Arial" w:hint="default"/>
                <w:sz w:val="24"/>
                <w:szCs w:val="24"/>
              </w:rPr>
            </w:pPr>
            <w:r>
              <w:rPr>
                <w:rFonts w:ascii="Arial"/>
                <w:sz w:val="24"/>
              </w:rPr>
              <w:t>(1)</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5" w:right="0"/>
              <w:jc w:val="left"/>
              <w:rPr>
                <w:rFonts w:ascii="宋体" w:hAnsi="宋体" w:cs="宋体" w:eastAsia="宋体" w:hint="default"/>
                <w:sz w:val="24"/>
                <w:szCs w:val="24"/>
              </w:rPr>
            </w:pPr>
            <w:r>
              <w:rPr>
                <w:rFonts w:ascii="宋体" w:hAnsi="宋体" w:cs="宋体" w:eastAsia="宋体" w:hint="default"/>
                <w:b/>
                <w:bCs/>
                <w:sz w:val="24"/>
                <w:szCs w:val="24"/>
              </w:rPr>
              <w:t>子公司情况</w:t>
            </w:r>
            <w:r>
              <w:rPr>
                <w:rFonts w:ascii="宋体" w:hAnsi="宋体" w:cs="宋体" w:eastAsia="宋体" w:hint="default"/>
                <w:sz w:val="24"/>
                <w:szCs w:val="24"/>
              </w:rPr>
            </w:r>
          </w:p>
        </w:tc>
        <w:tc>
          <w:tcPr>
            <w:tcW w:w="1506"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r>
      <w:tr>
        <w:trPr>
          <w:trHeight w:val="2116" w:hRule="exact"/>
        </w:trPr>
        <w:tc>
          <w:tcPr>
            <w:tcW w:w="14335" w:type="dxa"/>
            <w:gridSpan w:val="10"/>
            <w:tcBorders>
              <w:top w:val="nil" w:sz="6" w:space="0" w:color="auto"/>
              <w:left w:val="nil" w:sz="6" w:space="0" w:color="auto"/>
              <w:bottom w:val="nil" w:sz="6" w:space="0" w:color="auto"/>
              <w:right w:val="nil" w:sz="6" w:space="0" w:color="auto"/>
            </w:tcBorders>
          </w:tcPr>
          <w:p>
            <w:pPr>
              <w:pStyle w:val="TableParagraph"/>
              <w:spacing w:line="312" w:lineRule="exact" w:before="130"/>
              <w:ind w:left="734" w:right="198"/>
              <w:jc w:val="both"/>
              <w:rPr>
                <w:rFonts w:ascii="宋体" w:hAnsi="宋体" w:cs="宋体" w:eastAsia="宋体" w:hint="default"/>
                <w:sz w:val="24"/>
                <w:szCs w:val="24"/>
              </w:rPr>
            </w:pPr>
            <w:r>
              <w:rPr>
                <w:rFonts w:ascii="宋体" w:hAnsi="宋体" w:cs="宋体" w:eastAsia="宋体" w:hint="default"/>
                <w:sz w:val="24"/>
                <w:szCs w:val="24"/>
              </w:rPr>
              <w:t>截止至</w:t>
            </w:r>
            <w:r>
              <w:rPr>
                <w:rFonts w:ascii="宋体" w:hAnsi="宋体" w:cs="宋体" w:eastAsia="宋体" w:hint="default"/>
                <w:spacing w:val="-57"/>
                <w:sz w:val="24"/>
                <w:szCs w:val="24"/>
              </w:rPr>
              <w:t>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日，本集团下属</w:t>
            </w:r>
            <w:r>
              <w:rPr>
                <w:rFonts w:ascii="宋体" w:hAnsi="宋体" w:cs="宋体" w:eastAsia="宋体" w:hint="default"/>
                <w:spacing w:val="-57"/>
                <w:sz w:val="24"/>
                <w:szCs w:val="24"/>
              </w:rPr>
              <w:t> </w:t>
            </w:r>
            <w:r>
              <w:rPr>
                <w:rFonts w:ascii="Arial" w:hAnsi="Arial" w:cs="Arial" w:eastAsia="Arial" w:hint="default"/>
                <w:sz w:val="24"/>
                <w:szCs w:val="24"/>
              </w:rPr>
              <w:t>422</w:t>
            </w:r>
            <w:r>
              <w:rPr>
                <w:rFonts w:ascii="Arial" w:hAnsi="Arial" w:cs="Arial" w:eastAsia="Arial" w:hint="default"/>
                <w:spacing w:val="-5"/>
                <w:sz w:val="24"/>
                <w:szCs w:val="24"/>
              </w:rPr>
              <w:t> </w:t>
            </w:r>
            <w:r>
              <w:rPr>
                <w:rFonts w:ascii="宋体" w:hAnsi="宋体" w:cs="宋体" w:eastAsia="宋体" w:hint="default"/>
                <w:sz w:val="24"/>
                <w:szCs w:val="24"/>
              </w:rPr>
              <w:t>家子公司，其中</w:t>
            </w:r>
            <w:r>
              <w:rPr>
                <w:rFonts w:ascii="宋体" w:hAnsi="宋体" w:cs="宋体" w:eastAsia="宋体" w:hint="default"/>
                <w:spacing w:val="-56"/>
                <w:sz w:val="24"/>
                <w:szCs w:val="24"/>
              </w:rPr>
              <w:t> </w:t>
            </w:r>
            <w:r>
              <w:rPr>
                <w:rFonts w:ascii="Arial" w:hAnsi="Arial" w:cs="Arial" w:eastAsia="Arial" w:hint="default"/>
                <w:sz w:val="24"/>
                <w:szCs w:val="24"/>
              </w:rPr>
              <w:t>296</w:t>
            </w:r>
            <w:r>
              <w:rPr>
                <w:rFonts w:ascii="Arial" w:hAnsi="Arial" w:cs="Arial" w:eastAsia="Arial" w:hint="default"/>
                <w:spacing w:val="-2"/>
                <w:sz w:val="24"/>
                <w:szCs w:val="24"/>
              </w:rPr>
              <w:t> </w:t>
            </w:r>
            <w:r>
              <w:rPr>
                <w:rFonts w:ascii="宋体" w:hAnsi="宋体" w:cs="宋体" w:eastAsia="宋体" w:hint="default"/>
                <w:sz w:val="24"/>
                <w:szCs w:val="24"/>
              </w:rPr>
              <w:t>家从事电器与电子消费品的连锁零售业务、</w:t>
            </w:r>
            <w:r>
              <w:rPr>
                <w:rFonts w:ascii="Arial" w:hAnsi="Arial" w:cs="Arial" w:eastAsia="Arial" w:hint="default"/>
                <w:sz w:val="24"/>
                <w:szCs w:val="24"/>
              </w:rPr>
              <w:t>56</w:t>
            </w:r>
            <w:r>
              <w:rPr>
                <w:rFonts w:ascii="Arial" w:hAnsi="Arial" w:cs="Arial" w:eastAsia="Arial" w:hint="default"/>
                <w:spacing w:val="-2"/>
                <w:sz w:val="24"/>
                <w:szCs w:val="24"/>
              </w:rPr>
              <w:t> </w:t>
            </w:r>
            <w:r>
              <w:rPr>
                <w:rFonts w:ascii="宋体" w:hAnsi="宋体" w:cs="宋体" w:eastAsia="宋体" w:hint="default"/>
                <w:sz w:val="24"/>
                <w:szCs w:val="24"/>
              </w:rPr>
              <w:t>家从事售后服 务业务、</w:t>
            </w:r>
            <w:r>
              <w:rPr>
                <w:rFonts w:ascii="Arial" w:hAnsi="Arial" w:cs="Arial" w:eastAsia="Arial" w:hint="default"/>
                <w:sz w:val="24"/>
                <w:szCs w:val="24"/>
              </w:rPr>
              <w:t>30 </w:t>
            </w:r>
            <w:r>
              <w:rPr>
                <w:rFonts w:ascii="宋体" w:hAnsi="宋体" w:cs="宋体" w:eastAsia="宋体" w:hint="default"/>
                <w:sz w:val="24"/>
                <w:szCs w:val="24"/>
              </w:rPr>
              <w:t>家从事仓储物流业务、</w:t>
            </w:r>
            <w:r>
              <w:rPr>
                <w:rFonts w:ascii="Arial" w:hAnsi="Arial" w:cs="Arial" w:eastAsia="Arial" w:hint="default"/>
                <w:sz w:val="24"/>
                <w:szCs w:val="24"/>
              </w:rPr>
              <w:t>30 </w:t>
            </w:r>
            <w:r>
              <w:rPr>
                <w:rFonts w:ascii="宋体" w:hAnsi="宋体" w:cs="宋体" w:eastAsia="宋体" w:hint="default"/>
                <w:sz w:val="24"/>
                <w:szCs w:val="24"/>
              </w:rPr>
              <w:t>家从事网上电器与电子消费品的零售业务、</w:t>
            </w:r>
            <w:r>
              <w:rPr>
                <w:rFonts w:ascii="Arial" w:hAnsi="Arial" w:cs="Arial" w:eastAsia="Arial" w:hint="default"/>
                <w:sz w:val="24"/>
                <w:szCs w:val="24"/>
              </w:rPr>
              <w:t>1 </w:t>
            </w:r>
            <w:r>
              <w:rPr>
                <w:rFonts w:ascii="宋体" w:hAnsi="宋体" w:cs="宋体" w:eastAsia="宋体" w:hint="default"/>
                <w:sz w:val="24"/>
                <w:szCs w:val="24"/>
              </w:rPr>
              <w:t>家从事集团内部的行政用品购销业务、</w:t>
            </w:r>
            <w:r>
              <w:rPr>
                <w:rFonts w:ascii="Arial" w:hAnsi="Arial" w:cs="Arial" w:eastAsia="Arial" w:hint="default"/>
                <w:sz w:val="24"/>
                <w:szCs w:val="24"/>
              </w:rPr>
              <w:t>1</w:t>
            </w:r>
            <w:r>
              <w:rPr>
                <w:rFonts w:ascii="Arial" w:hAnsi="Arial" w:cs="Arial" w:eastAsia="Arial" w:hint="default"/>
                <w:spacing w:val="20"/>
                <w:sz w:val="24"/>
                <w:szCs w:val="24"/>
              </w:rPr>
              <w:t> </w:t>
            </w:r>
            <w:r>
              <w:rPr>
                <w:rFonts w:ascii="宋体" w:hAnsi="宋体" w:cs="宋体" w:eastAsia="宋体" w:hint="default"/>
                <w:sz w:val="24"/>
                <w:szCs w:val="24"/>
              </w:rPr>
              <w:t>家 从事地铁商业管理业务、</w:t>
            </w:r>
            <w:r>
              <w:rPr>
                <w:rFonts w:ascii="Arial" w:hAnsi="Arial" w:cs="Arial" w:eastAsia="Arial" w:hint="default"/>
                <w:sz w:val="24"/>
                <w:szCs w:val="24"/>
              </w:rPr>
              <w:t>1</w:t>
            </w:r>
            <w:r>
              <w:rPr>
                <w:rFonts w:ascii="Arial" w:hAnsi="Arial" w:cs="Arial" w:eastAsia="Arial" w:hint="default"/>
                <w:spacing w:val="-19"/>
                <w:sz w:val="24"/>
                <w:szCs w:val="24"/>
              </w:rPr>
              <w:t> </w:t>
            </w:r>
            <w:r>
              <w:rPr>
                <w:rFonts w:ascii="宋体" w:hAnsi="宋体" w:cs="宋体" w:eastAsia="宋体" w:hint="default"/>
                <w:sz w:val="24"/>
                <w:szCs w:val="24"/>
              </w:rPr>
              <w:t>家从事计算机软件信息技术开发业务、</w:t>
            </w:r>
            <w:r>
              <w:rPr>
                <w:rFonts w:ascii="Arial" w:hAnsi="Arial" w:cs="Arial" w:eastAsia="Arial" w:hint="default"/>
                <w:sz w:val="24"/>
                <w:szCs w:val="24"/>
              </w:rPr>
              <w:t>2</w:t>
            </w:r>
            <w:r>
              <w:rPr>
                <w:rFonts w:ascii="Arial" w:hAnsi="Arial" w:cs="Arial" w:eastAsia="Arial" w:hint="default"/>
                <w:spacing w:val="-19"/>
                <w:sz w:val="24"/>
                <w:szCs w:val="24"/>
              </w:rPr>
              <w:t> </w:t>
            </w:r>
            <w:r>
              <w:rPr>
                <w:rFonts w:ascii="宋体" w:hAnsi="宋体" w:cs="宋体" w:eastAsia="宋体" w:hint="default"/>
                <w:sz w:val="24"/>
                <w:szCs w:val="24"/>
              </w:rPr>
              <w:t>家从事香港地区子公司投资业务、</w:t>
            </w:r>
            <w:r>
              <w:rPr>
                <w:rFonts w:ascii="Arial" w:hAnsi="Arial" w:cs="Arial" w:eastAsia="Arial" w:hint="default"/>
                <w:sz w:val="24"/>
                <w:szCs w:val="24"/>
              </w:rPr>
              <w:t>1</w:t>
            </w:r>
            <w:r>
              <w:rPr>
                <w:rFonts w:ascii="Arial" w:hAnsi="Arial" w:cs="Arial" w:eastAsia="Arial" w:hint="default"/>
                <w:spacing w:val="-19"/>
                <w:sz w:val="24"/>
                <w:szCs w:val="24"/>
              </w:rPr>
              <w:t> </w:t>
            </w:r>
            <w:r>
              <w:rPr>
                <w:rFonts w:ascii="宋体" w:hAnsi="宋体" w:cs="宋体" w:eastAsia="宋体" w:hint="default"/>
                <w:sz w:val="24"/>
                <w:szCs w:val="24"/>
              </w:rPr>
              <w:t>家从事海外投资业务、</w:t>
            </w:r>
            <w:r>
              <w:rPr>
                <w:rFonts w:ascii="Arial" w:hAnsi="Arial" w:cs="Arial" w:eastAsia="Arial" w:hint="default"/>
                <w:sz w:val="24"/>
                <w:szCs w:val="24"/>
              </w:rPr>
              <w:t>1</w:t>
            </w:r>
            <w:r>
              <w:rPr>
                <w:rFonts w:ascii="Arial" w:hAnsi="Arial" w:cs="Arial" w:eastAsia="Arial" w:hint="default"/>
                <w:w w:val="99"/>
                <w:sz w:val="24"/>
                <w:szCs w:val="24"/>
              </w:rPr>
              <w:t> </w:t>
            </w:r>
            <w:r>
              <w:rPr>
                <w:rFonts w:ascii="宋体" w:hAnsi="宋体" w:cs="宋体" w:eastAsia="宋体" w:hint="default"/>
                <w:sz w:val="24"/>
                <w:szCs w:val="24"/>
              </w:rPr>
              <w:t>家从事媒体广告业务，</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家从事银行支付业务。</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734" w:right="0"/>
              <w:jc w:val="both"/>
              <w:rPr>
                <w:rFonts w:ascii="宋体" w:hAnsi="宋体" w:cs="宋体" w:eastAsia="宋体" w:hint="default"/>
                <w:sz w:val="24"/>
                <w:szCs w:val="24"/>
              </w:rPr>
            </w:pPr>
            <w:r>
              <w:rPr>
                <w:rFonts w:ascii="宋体" w:hAnsi="宋体" w:cs="宋体" w:eastAsia="宋体" w:hint="default"/>
                <w:sz w:val="24"/>
                <w:szCs w:val="24"/>
              </w:rPr>
              <w:t>截止至</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日，本集团的主要子公司列示如下：</w:t>
            </w:r>
          </w:p>
        </w:tc>
      </w:tr>
      <w:tr>
        <w:trPr>
          <w:trHeight w:val="583" w:hRule="exact"/>
        </w:trPr>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(a)</w:t>
            </w:r>
          </w:p>
        </w:tc>
        <w:tc>
          <w:tcPr>
            <w:tcW w:w="45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205" w:right="-13"/>
              <w:jc w:val="left"/>
              <w:rPr>
                <w:rFonts w:ascii="宋体" w:hAnsi="宋体" w:cs="宋体" w:eastAsia="宋体" w:hint="default"/>
                <w:sz w:val="24"/>
                <w:szCs w:val="24"/>
              </w:rPr>
            </w:pPr>
            <w:r>
              <w:rPr>
                <w:rFonts w:ascii="宋体" w:hAnsi="宋体" w:cs="宋体" w:eastAsia="宋体" w:hint="default"/>
                <w:sz w:val="24"/>
                <w:szCs w:val="24"/>
              </w:rPr>
              <w:t>通过设立或投资等方式取得的主要子公司</w:t>
            </w:r>
          </w:p>
        </w:tc>
        <w:tc>
          <w:tcPr>
            <w:tcW w:w="1254"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r>
      <w:tr>
        <w:trPr>
          <w:trHeight w:val="525" w:hRule="exact"/>
        </w:trPr>
        <w:tc>
          <w:tcPr>
            <w:tcW w:w="52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6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3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21"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1"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62"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60"/>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847" w:hRule="exact"/>
        </w:trPr>
        <w:tc>
          <w:tcPr>
            <w:tcW w:w="52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17" w:right="439" w:hanging="212"/>
              <w:jc w:val="left"/>
              <w:rPr>
                <w:rFonts w:ascii="宋体" w:hAnsi="宋体" w:cs="宋体" w:eastAsia="宋体" w:hint="default"/>
                <w:sz w:val="21"/>
                <w:szCs w:val="21"/>
              </w:rPr>
            </w:pPr>
            <w:r>
              <w:rPr>
                <w:rFonts w:ascii="宋体" w:hAnsi="宋体" w:cs="宋体" w:eastAsia="宋体" w:hint="default"/>
                <w:spacing w:val="-1"/>
                <w:sz w:val="21"/>
                <w:szCs w:val="21"/>
              </w:rPr>
              <w:t>北京苏宁电器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exact" w:before="131"/>
              <w:ind w:left="230" w:right="431"/>
              <w:jc w:val="left"/>
              <w:rPr>
                <w:rFonts w:ascii="宋体" w:hAnsi="宋体" w:cs="宋体" w:eastAsia="宋体" w:hint="default"/>
                <w:sz w:val="21"/>
                <w:szCs w:val="21"/>
              </w:rPr>
            </w:pPr>
            <w:r>
              <w:rPr>
                <w:rFonts w:ascii="宋体" w:hAnsi="宋体" w:cs="宋体" w:eastAsia="宋体" w:hint="default"/>
                <w:spacing w:val="-1"/>
                <w:sz w:val="21"/>
                <w:szCs w:val="21"/>
              </w:rPr>
              <w:t>直接控股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pacing w:val="-1"/>
                <w:sz w:val="21"/>
                <w:szCs w:val="21"/>
              </w:rPr>
              <w:t>间接控股</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6"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714" w:type="dxa"/>
            <w:tcBorders>
              <w:top w:val="nil" w:sz="6" w:space="0" w:color="auto"/>
              <w:left w:val="nil" w:sz="6" w:space="0" w:color="auto"/>
              <w:bottom w:val="nil" w:sz="6" w:space="0" w:color="auto"/>
              <w:right w:val="nil" w:sz="6" w:space="0" w:color="auto"/>
            </w:tcBorders>
          </w:tcPr>
          <w:p>
            <w:pPr>
              <w:pStyle w:val="TableParagraph"/>
              <w:spacing w:line="274" w:lineRule="exact" w:before="97"/>
              <w:ind w:left="966"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190" w:right="0"/>
              <w:jc w:val="left"/>
              <w:rPr>
                <w:rFonts w:ascii="宋体" w:hAnsi="宋体" w:cs="宋体" w:eastAsia="宋体" w:hint="default"/>
                <w:sz w:val="21"/>
                <w:szCs w:val="21"/>
              </w:rPr>
            </w:pPr>
            <w:r>
              <w:rPr>
                <w:rFonts w:ascii="Arial" w:hAnsi="Arial" w:cs="Arial" w:eastAsia="Arial" w:hint="default"/>
                <w:sz w:val="21"/>
                <w:szCs w:val="21"/>
              </w:rPr>
              <w:t>44,294.85</w:t>
            </w:r>
            <w:r>
              <w:rPr>
                <w:rFonts w:ascii="Arial" w:hAnsi="Arial" w:cs="Arial" w:eastAsia="Arial"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5" w:right="180" w:hanging="212"/>
              <w:jc w:val="left"/>
              <w:rPr>
                <w:rFonts w:ascii="宋体" w:hAnsi="宋体" w:cs="宋体" w:eastAsia="宋体" w:hint="default"/>
                <w:sz w:val="21"/>
                <w:szCs w:val="21"/>
              </w:rPr>
            </w:pPr>
            <w:r>
              <w:rPr>
                <w:rFonts w:ascii="宋体" w:hAnsi="宋体" w:cs="宋体" w:eastAsia="宋体" w:hint="default"/>
                <w:spacing w:val="-1"/>
                <w:sz w:val="21"/>
                <w:szCs w:val="21"/>
              </w:rPr>
              <w:t>电器和电子消费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品的连锁销售</w:t>
            </w:r>
          </w:p>
        </w:tc>
        <w:tc>
          <w:tcPr>
            <w:tcW w:w="1398" w:type="dxa"/>
            <w:tcBorders>
              <w:top w:val="nil" w:sz="6" w:space="0" w:color="auto"/>
              <w:left w:val="nil" w:sz="6" w:space="0" w:color="auto"/>
              <w:bottom w:val="nil" w:sz="6" w:space="0" w:color="auto"/>
              <w:right w:val="nil" w:sz="6" w:space="0" w:color="auto"/>
            </w:tcBorders>
          </w:tcPr>
          <w:p>
            <w:pPr>
              <w:pStyle w:val="TableParagraph"/>
              <w:spacing w:line="274" w:lineRule="exact" w:before="97"/>
              <w:ind w:right="160"/>
              <w:jc w:val="right"/>
              <w:rPr>
                <w:rFonts w:ascii="宋体" w:hAnsi="宋体" w:cs="宋体" w:eastAsia="宋体" w:hint="default"/>
                <w:sz w:val="21"/>
                <w:szCs w:val="21"/>
              </w:rPr>
            </w:pPr>
            <w:r>
              <w:rPr>
                <w:rFonts w:ascii="宋体" w:hAnsi="宋体" w:cs="宋体" w:eastAsia="宋体" w:hint="default"/>
                <w:spacing w:val="-1"/>
                <w:sz w:val="21"/>
                <w:szCs w:val="21"/>
              </w:rPr>
              <w:t>有限责任公</w:t>
            </w:r>
          </w:p>
          <w:p>
            <w:pPr>
              <w:pStyle w:val="TableParagraph"/>
              <w:spacing w:line="274" w:lineRule="exact"/>
              <w:ind w:right="162"/>
              <w:jc w:val="right"/>
              <w:rPr>
                <w:rFonts w:ascii="宋体" w:hAnsi="宋体" w:cs="宋体" w:eastAsia="宋体" w:hint="default"/>
                <w:sz w:val="21"/>
                <w:szCs w:val="21"/>
              </w:rPr>
            </w:pPr>
            <w:r>
              <w:rPr>
                <w:rFonts w:ascii="宋体" w:hAnsi="宋体" w:cs="宋体" w:eastAsia="宋体" w:hint="default"/>
                <w:w w:val="100"/>
                <w:sz w:val="21"/>
                <w:szCs w:val="21"/>
              </w:rPr>
              <w:t>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7"/>
              <w:jc w:val="right"/>
              <w:rPr>
                <w:rFonts w:ascii="宋体" w:hAnsi="宋体" w:cs="宋体" w:eastAsia="宋体" w:hint="default"/>
                <w:sz w:val="21"/>
                <w:szCs w:val="21"/>
              </w:rPr>
            </w:pPr>
            <w:r>
              <w:rPr>
                <w:rFonts w:ascii="宋体" w:hAnsi="宋体" w:cs="宋体" w:eastAsia="宋体" w:hint="default"/>
                <w:sz w:val="21"/>
                <w:szCs w:val="21"/>
              </w:rPr>
              <w:t>孙为民</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8"/>
              <w:jc w:val="right"/>
              <w:rPr>
                <w:rFonts w:ascii="Arial" w:hAnsi="Arial" w:cs="Arial" w:eastAsia="Arial" w:hint="default"/>
                <w:sz w:val="21"/>
                <w:szCs w:val="21"/>
              </w:rPr>
            </w:pPr>
            <w:r>
              <w:rPr>
                <w:rFonts w:ascii="Arial"/>
                <w:spacing w:val="-1"/>
                <w:sz w:val="21"/>
              </w:rPr>
              <w:t>63369774-1</w:t>
            </w:r>
          </w:p>
        </w:tc>
      </w:tr>
      <w:tr>
        <w:trPr>
          <w:trHeight w:val="721" w:hRule="exact"/>
        </w:trPr>
        <w:tc>
          <w:tcPr>
            <w:tcW w:w="52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4" w:lineRule="exact"/>
              <w:ind w:right="233"/>
              <w:jc w:val="center"/>
              <w:rPr>
                <w:rFonts w:ascii="宋体" w:hAnsi="宋体" w:cs="宋体" w:eastAsia="宋体" w:hint="default"/>
                <w:sz w:val="21"/>
                <w:szCs w:val="21"/>
              </w:rPr>
            </w:pPr>
            <w:r>
              <w:rPr>
                <w:rFonts w:ascii="宋体" w:hAnsi="宋体" w:cs="宋体" w:eastAsia="宋体" w:hint="default"/>
                <w:sz w:val="21"/>
                <w:szCs w:val="21"/>
              </w:rPr>
              <w:t>上海苏宁电器</w:t>
            </w:r>
          </w:p>
          <w:p>
            <w:pPr>
              <w:pStyle w:val="TableParagraph"/>
              <w:spacing w:line="275" w:lineRule="exact"/>
              <w:ind w:right="23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506" w:type="dxa"/>
            <w:tcBorders>
              <w:top w:val="nil" w:sz="6" w:space="0" w:color="auto"/>
              <w:left w:val="nil" w:sz="6" w:space="0" w:color="auto"/>
              <w:bottom w:val="nil" w:sz="6" w:space="0" w:color="auto"/>
              <w:right w:val="nil" w:sz="6" w:space="0" w:color="auto"/>
            </w:tcBorders>
          </w:tcPr>
          <w:p>
            <w:pPr>
              <w:pStyle w:val="TableParagraph"/>
              <w:spacing w:line="208" w:lineRule="exact"/>
              <w:ind w:left="230" w:right="0"/>
              <w:jc w:val="left"/>
              <w:rPr>
                <w:rFonts w:ascii="宋体" w:hAnsi="宋体" w:cs="宋体" w:eastAsia="宋体" w:hint="default"/>
                <w:sz w:val="21"/>
                <w:szCs w:val="21"/>
              </w:rPr>
            </w:pPr>
            <w:r>
              <w:rPr>
                <w:rFonts w:ascii="宋体" w:hAnsi="宋体" w:cs="宋体" w:eastAsia="宋体" w:hint="default"/>
                <w:sz w:val="21"/>
                <w:szCs w:val="21"/>
              </w:rPr>
              <w:t>直接控股</w:t>
            </w:r>
          </w:p>
          <w:p>
            <w:pPr>
              <w:pStyle w:val="TableParagraph"/>
              <w:spacing w:line="240" w:lineRule="exact" w:before="36"/>
              <w:ind w:left="230" w:right="431"/>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pacing w:val="-1"/>
                <w:sz w:val="21"/>
                <w:szCs w:val="21"/>
              </w:rPr>
              <w:t>间接控股</w:t>
            </w:r>
          </w:p>
        </w:tc>
        <w:tc>
          <w:tcPr>
            <w:tcW w:w="1098" w:type="dxa"/>
            <w:tcBorders>
              <w:top w:val="nil" w:sz="6" w:space="0" w:color="auto"/>
              <w:left w:val="nil" w:sz="6" w:space="0" w:color="auto"/>
              <w:bottom w:val="nil" w:sz="6" w:space="0" w:color="auto"/>
              <w:right w:val="nil" w:sz="6" w:space="0" w:color="auto"/>
            </w:tcBorders>
          </w:tcPr>
          <w:p>
            <w:pPr>
              <w:pStyle w:val="TableParagraph"/>
              <w:spacing w:line="245" w:lineRule="exact"/>
              <w:ind w:left="217"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54" w:type="dxa"/>
            <w:tcBorders>
              <w:top w:val="nil" w:sz="6" w:space="0" w:color="auto"/>
              <w:left w:val="nil" w:sz="6" w:space="0" w:color="auto"/>
              <w:bottom w:val="nil" w:sz="6" w:space="0" w:color="auto"/>
              <w:right w:val="nil" w:sz="6" w:space="0" w:color="auto"/>
            </w:tcBorders>
          </w:tcPr>
          <w:p>
            <w:pPr>
              <w:pStyle w:val="TableParagraph"/>
              <w:spacing w:line="245" w:lineRule="exact"/>
              <w:ind w:left="196"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714" w:type="dxa"/>
            <w:tcBorders>
              <w:top w:val="nil" w:sz="6" w:space="0" w:color="auto"/>
              <w:left w:val="nil" w:sz="6" w:space="0" w:color="auto"/>
              <w:bottom w:val="nil" w:sz="6" w:space="0" w:color="auto"/>
              <w:right w:val="nil" w:sz="6" w:space="0" w:color="auto"/>
            </w:tcBorders>
          </w:tcPr>
          <w:p>
            <w:pPr>
              <w:pStyle w:val="TableParagraph"/>
              <w:spacing w:line="244" w:lineRule="exact"/>
              <w:ind w:left="190" w:right="0" w:firstLine="775"/>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190" w:right="0"/>
              <w:jc w:val="left"/>
              <w:rPr>
                <w:rFonts w:ascii="宋体" w:hAnsi="宋体" w:cs="宋体" w:eastAsia="宋体" w:hint="default"/>
                <w:sz w:val="21"/>
                <w:szCs w:val="21"/>
              </w:rPr>
            </w:pPr>
            <w:r>
              <w:rPr>
                <w:rFonts w:ascii="Arial" w:hAnsi="Arial" w:cs="Arial" w:eastAsia="Arial" w:hint="default"/>
                <w:sz w:val="21"/>
                <w:szCs w:val="21"/>
              </w:rPr>
              <w:t>45,718.00</w:t>
            </w:r>
            <w:r>
              <w:rPr>
                <w:rFonts w:ascii="Arial" w:hAnsi="Arial" w:cs="Arial" w:eastAsia="Arial"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4" w:lineRule="exact"/>
              <w:ind w:left="325" w:right="0" w:hanging="212"/>
              <w:jc w:val="left"/>
              <w:rPr>
                <w:rFonts w:ascii="宋体" w:hAnsi="宋体" w:cs="宋体" w:eastAsia="宋体" w:hint="default"/>
                <w:sz w:val="21"/>
                <w:szCs w:val="21"/>
              </w:rPr>
            </w:pPr>
            <w:r>
              <w:rPr>
                <w:rFonts w:ascii="宋体" w:hAnsi="宋体" w:cs="宋体" w:eastAsia="宋体" w:hint="default"/>
                <w:sz w:val="21"/>
                <w:szCs w:val="21"/>
              </w:rPr>
              <w:t>电器和电子消费</w:t>
            </w:r>
          </w:p>
          <w:p>
            <w:pPr>
              <w:pStyle w:val="TableParagraph"/>
              <w:spacing w:line="275" w:lineRule="exact"/>
              <w:ind w:left="325" w:right="0"/>
              <w:jc w:val="left"/>
              <w:rPr>
                <w:rFonts w:ascii="宋体" w:hAnsi="宋体" w:cs="宋体" w:eastAsia="宋体" w:hint="default"/>
                <w:sz w:val="21"/>
                <w:szCs w:val="21"/>
              </w:rPr>
            </w:pPr>
            <w:r>
              <w:rPr>
                <w:rFonts w:ascii="宋体" w:hAnsi="宋体" w:cs="宋体" w:eastAsia="宋体" w:hint="default"/>
                <w:sz w:val="21"/>
                <w:szCs w:val="21"/>
              </w:rPr>
              <w:t>品的连锁销售</w:t>
            </w:r>
          </w:p>
        </w:tc>
        <w:tc>
          <w:tcPr>
            <w:tcW w:w="1398" w:type="dxa"/>
            <w:tcBorders>
              <w:top w:val="nil" w:sz="6" w:space="0" w:color="auto"/>
              <w:left w:val="nil" w:sz="6" w:space="0" w:color="auto"/>
              <w:bottom w:val="nil" w:sz="6" w:space="0" w:color="auto"/>
              <w:right w:val="nil" w:sz="6" w:space="0" w:color="auto"/>
            </w:tcBorders>
          </w:tcPr>
          <w:p>
            <w:pPr>
              <w:pStyle w:val="TableParagraph"/>
              <w:spacing w:line="244" w:lineRule="exact"/>
              <w:ind w:right="160"/>
              <w:jc w:val="right"/>
              <w:rPr>
                <w:rFonts w:ascii="宋体" w:hAnsi="宋体" w:cs="宋体" w:eastAsia="宋体" w:hint="default"/>
                <w:sz w:val="21"/>
                <w:szCs w:val="21"/>
              </w:rPr>
            </w:pPr>
            <w:r>
              <w:rPr>
                <w:rFonts w:ascii="宋体" w:hAnsi="宋体" w:cs="宋体" w:eastAsia="宋体" w:hint="default"/>
                <w:spacing w:val="-1"/>
                <w:sz w:val="21"/>
                <w:szCs w:val="21"/>
              </w:rPr>
              <w:t>有限责任公</w:t>
            </w:r>
          </w:p>
          <w:p>
            <w:pPr>
              <w:pStyle w:val="TableParagraph"/>
              <w:spacing w:line="275" w:lineRule="exact"/>
              <w:ind w:right="162"/>
              <w:jc w:val="right"/>
              <w:rPr>
                <w:rFonts w:ascii="宋体" w:hAnsi="宋体" w:cs="宋体" w:eastAsia="宋体" w:hint="default"/>
                <w:sz w:val="21"/>
                <w:szCs w:val="21"/>
              </w:rPr>
            </w:pPr>
            <w:r>
              <w:rPr>
                <w:rFonts w:ascii="宋体" w:hAnsi="宋体" w:cs="宋体" w:eastAsia="宋体" w:hint="default"/>
                <w:w w:val="100"/>
                <w:sz w:val="21"/>
                <w:szCs w:val="21"/>
              </w:rPr>
              <w:t>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5" w:lineRule="exact"/>
              <w:ind w:right="257"/>
              <w:jc w:val="right"/>
              <w:rPr>
                <w:rFonts w:ascii="宋体" w:hAnsi="宋体" w:cs="宋体" w:eastAsia="宋体" w:hint="default"/>
                <w:sz w:val="21"/>
                <w:szCs w:val="21"/>
              </w:rPr>
            </w:pPr>
            <w:r>
              <w:rPr>
                <w:rFonts w:ascii="宋体" w:hAnsi="宋体" w:cs="宋体" w:eastAsia="宋体" w:hint="default"/>
                <w:sz w:val="21"/>
                <w:szCs w:val="21"/>
              </w:rPr>
              <w:t>蒋勇</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Arial" w:hAnsi="Arial" w:cs="Arial" w:eastAsia="Arial" w:hint="default"/>
                <w:sz w:val="21"/>
                <w:szCs w:val="21"/>
              </w:rPr>
            </w:pPr>
            <w:r>
              <w:rPr>
                <w:rFonts w:ascii="Arial"/>
                <w:spacing w:val="-1"/>
                <w:sz w:val="21"/>
              </w:rPr>
              <w:t>73749327-6</w:t>
            </w:r>
          </w:p>
        </w:tc>
      </w:tr>
      <w:tr>
        <w:trPr>
          <w:trHeight w:val="720" w:hRule="exact"/>
        </w:trPr>
        <w:tc>
          <w:tcPr>
            <w:tcW w:w="52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4" w:lineRule="exact"/>
              <w:ind w:right="233"/>
              <w:jc w:val="center"/>
              <w:rPr>
                <w:rFonts w:ascii="宋体" w:hAnsi="宋体" w:cs="宋体" w:eastAsia="宋体" w:hint="default"/>
                <w:sz w:val="21"/>
                <w:szCs w:val="21"/>
              </w:rPr>
            </w:pPr>
            <w:r>
              <w:rPr>
                <w:rFonts w:ascii="宋体" w:hAnsi="宋体" w:cs="宋体" w:eastAsia="宋体" w:hint="default"/>
                <w:sz w:val="21"/>
                <w:szCs w:val="21"/>
              </w:rPr>
              <w:t>广东苏宁电器</w:t>
            </w:r>
          </w:p>
          <w:p>
            <w:pPr>
              <w:pStyle w:val="TableParagraph"/>
              <w:spacing w:line="274" w:lineRule="exact"/>
              <w:ind w:right="231"/>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exact" w:before="4"/>
              <w:ind w:left="230" w:right="431"/>
              <w:jc w:val="left"/>
              <w:rPr>
                <w:rFonts w:ascii="宋体" w:hAnsi="宋体" w:cs="宋体" w:eastAsia="宋体" w:hint="default"/>
                <w:sz w:val="21"/>
                <w:szCs w:val="21"/>
              </w:rPr>
            </w:pPr>
            <w:r>
              <w:rPr>
                <w:rFonts w:ascii="宋体" w:hAnsi="宋体" w:cs="宋体" w:eastAsia="宋体" w:hint="default"/>
                <w:spacing w:val="-1"/>
                <w:sz w:val="21"/>
                <w:szCs w:val="21"/>
              </w:rPr>
              <w:t>直接控股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pacing w:val="-1"/>
                <w:sz w:val="21"/>
                <w:szCs w:val="21"/>
              </w:rPr>
              <w:t>间接控股</w:t>
            </w:r>
          </w:p>
        </w:tc>
        <w:tc>
          <w:tcPr>
            <w:tcW w:w="1098" w:type="dxa"/>
            <w:tcBorders>
              <w:top w:val="nil" w:sz="6" w:space="0" w:color="auto"/>
              <w:left w:val="nil" w:sz="6" w:space="0" w:color="auto"/>
              <w:bottom w:val="nil" w:sz="6" w:space="0" w:color="auto"/>
              <w:right w:val="nil" w:sz="6" w:space="0" w:color="auto"/>
            </w:tcBorders>
          </w:tcPr>
          <w:p>
            <w:pPr>
              <w:pStyle w:val="TableParagraph"/>
              <w:spacing w:line="245" w:lineRule="exact"/>
              <w:ind w:left="217"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254" w:type="dxa"/>
            <w:tcBorders>
              <w:top w:val="nil" w:sz="6" w:space="0" w:color="auto"/>
              <w:left w:val="nil" w:sz="6" w:space="0" w:color="auto"/>
              <w:bottom w:val="nil" w:sz="6" w:space="0" w:color="auto"/>
              <w:right w:val="nil" w:sz="6" w:space="0" w:color="auto"/>
            </w:tcBorders>
          </w:tcPr>
          <w:p>
            <w:pPr>
              <w:pStyle w:val="TableParagraph"/>
              <w:spacing w:line="245" w:lineRule="exact"/>
              <w:ind w:left="196"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714" w:type="dxa"/>
            <w:tcBorders>
              <w:top w:val="nil" w:sz="6" w:space="0" w:color="auto"/>
              <w:left w:val="nil" w:sz="6" w:space="0" w:color="auto"/>
              <w:bottom w:val="nil" w:sz="6" w:space="0" w:color="auto"/>
              <w:right w:val="nil" w:sz="6" w:space="0" w:color="auto"/>
            </w:tcBorders>
          </w:tcPr>
          <w:p>
            <w:pPr>
              <w:pStyle w:val="TableParagraph"/>
              <w:spacing w:line="244" w:lineRule="exact"/>
              <w:ind w:left="190" w:right="0" w:firstLine="775"/>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190" w:right="0"/>
              <w:jc w:val="left"/>
              <w:rPr>
                <w:rFonts w:ascii="宋体" w:hAnsi="宋体" w:cs="宋体" w:eastAsia="宋体" w:hint="default"/>
                <w:sz w:val="21"/>
                <w:szCs w:val="21"/>
              </w:rPr>
            </w:pPr>
            <w:r>
              <w:rPr>
                <w:rFonts w:ascii="Arial" w:hAnsi="Arial" w:cs="Arial" w:eastAsia="Arial" w:hint="default"/>
                <w:sz w:val="21"/>
                <w:szCs w:val="21"/>
              </w:rPr>
              <w:t>30,400.00</w:t>
            </w:r>
            <w:r>
              <w:rPr>
                <w:rFonts w:ascii="Arial" w:hAnsi="Arial" w:cs="Arial" w:eastAsia="Arial"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4" w:lineRule="exact"/>
              <w:ind w:left="325" w:right="0" w:hanging="212"/>
              <w:jc w:val="left"/>
              <w:rPr>
                <w:rFonts w:ascii="宋体" w:hAnsi="宋体" w:cs="宋体" w:eastAsia="宋体" w:hint="default"/>
                <w:sz w:val="21"/>
                <w:szCs w:val="21"/>
              </w:rPr>
            </w:pPr>
            <w:r>
              <w:rPr>
                <w:rFonts w:ascii="宋体" w:hAnsi="宋体" w:cs="宋体" w:eastAsia="宋体" w:hint="default"/>
                <w:sz w:val="21"/>
                <w:szCs w:val="21"/>
              </w:rPr>
              <w:t>电器和电子消费</w:t>
            </w:r>
          </w:p>
          <w:p>
            <w:pPr>
              <w:pStyle w:val="TableParagraph"/>
              <w:spacing w:line="274" w:lineRule="exact"/>
              <w:ind w:left="325" w:right="0"/>
              <w:jc w:val="left"/>
              <w:rPr>
                <w:rFonts w:ascii="宋体" w:hAnsi="宋体" w:cs="宋体" w:eastAsia="宋体" w:hint="default"/>
                <w:sz w:val="21"/>
                <w:szCs w:val="21"/>
              </w:rPr>
            </w:pPr>
            <w:r>
              <w:rPr>
                <w:rFonts w:ascii="宋体" w:hAnsi="宋体" w:cs="宋体" w:eastAsia="宋体" w:hint="default"/>
                <w:sz w:val="21"/>
                <w:szCs w:val="21"/>
              </w:rPr>
              <w:t>品的连锁销售</w:t>
            </w:r>
          </w:p>
        </w:tc>
        <w:tc>
          <w:tcPr>
            <w:tcW w:w="1398" w:type="dxa"/>
            <w:tcBorders>
              <w:top w:val="nil" w:sz="6" w:space="0" w:color="auto"/>
              <w:left w:val="nil" w:sz="6" w:space="0" w:color="auto"/>
              <w:bottom w:val="nil" w:sz="6" w:space="0" w:color="auto"/>
              <w:right w:val="nil" w:sz="6" w:space="0" w:color="auto"/>
            </w:tcBorders>
          </w:tcPr>
          <w:p>
            <w:pPr>
              <w:pStyle w:val="TableParagraph"/>
              <w:spacing w:line="244" w:lineRule="exact"/>
              <w:ind w:right="160"/>
              <w:jc w:val="right"/>
              <w:rPr>
                <w:rFonts w:ascii="宋体" w:hAnsi="宋体" w:cs="宋体" w:eastAsia="宋体" w:hint="default"/>
                <w:sz w:val="21"/>
                <w:szCs w:val="21"/>
              </w:rPr>
            </w:pPr>
            <w:r>
              <w:rPr>
                <w:rFonts w:ascii="宋体" w:hAnsi="宋体" w:cs="宋体" w:eastAsia="宋体" w:hint="default"/>
                <w:spacing w:val="-1"/>
                <w:sz w:val="21"/>
                <w:szCs w:val="21"/>
              </w:rPr>
              <w:t>有限责任公</w:t>
            </w:r>
          </w:p>
          <w:p>
            <w:pPr>
              <w:pStyle w:val="TableParagraph"/>
              <w:spacing w:line="274" w:lineRule="exact"/>
              <w:ind w:right="162"/>
              <w:jc w:val="right"/>
              <w:rPr>
                <w:rFonts w:ascii="宋体" w:hAnsi="宋体" w:cs="宋体" w:eastAsia="宋体" w:hint="default"/>
                <w:sz w:val="21"/>
                <w:szCs w:val="21"/>
              </w:rPr>
            </w:pPr>
            <w:r>
              <w:rPr>
                <w:rFonts w:ascii="宋体" w:hAnsi="宋体" w:cs="宋体" w:eastAsia="宋体" w:hint="default"/>
                <w:w w:val="100"/>
                <w:sz w:val="21"/>
                <w:szCs w:val="21"/>
              </w:rPr>
              <w:t>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5" w:lineRule="exact"/>
              <w:ind w:right="257"/>
              <w:jc w:val="right"/>
              <w:rPr>
                <w:rFonts w:ascii="宋体" w:hAnsi="宋体" w:cs="宋体" w:eastAsia="宋体" w:hint="default"/>
                <w:sz w:val="21"/>
                <w:szCs w:val="21"/>
              </w:rPr>
            </w:pPr>
            <w:r>
              <w:rPr>
                <w:rFonts w:ascii="宋体" w:hAnsi="宋体" w:cs="宋体" w:eastAsia="宋体" w:hint="default"/>
                <w:sz w:val="21"/>
                <w:szCs w:val="21"/>
              </w:rPr>
              <w:t>鲍东升</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Arial" w:hAnsi="Arial" w:cs="Arial" w:eastAsia="Arial" w:hint="default"/>
                <w:sz w:val="21"/>
                <w:szCs w:val="21"/>
              </w:rPr>
            </w:pPr>
            <w:r>
              <w:rPr>
                <w:rFonts w:ascii="Arial"/>
                <w:spacing w:val="-1"/>
                <w:sz w:val="21"/>
              </w:rPr>
              <w:t>61743194-3</w:t>
            </w:r>
          </w:p>
        </w:tc>
      </w:tr>
      <w:tr>
        <w:trPr>
          <w:trHeight w:val="706" w:hRule="exact"/>
        </w:trPr>
        <w:tc>
          <w:tcPr>
            <w:tcW w:w="528"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4" w:lineRule="exact"/>
              <w:ind w:left="205" w:right="0"/>
              <w:jc w:val="left"/>
              <w:rPr>
                <w:rFonts w:ascii="宋体" w:hAnsi="宋体" w:cs="宋体" w:eastAsia="宋体" w:hint="default"/>
                <w:sz w:val="21"/>
                <w:szCs w:val="21"/>
              </w:rPr>
            </w:pPr>
            <w:r>
              <w:rPr>
                <w:rFonts w:ascii="宋体" w:hAnsi="宋体" w:cs="宋体" w:eastAsia="宋体" w:hint="default"/>
                <w:sz w:val="21"/>
                <w:szCs w:val="21"/>
              </w:rPr>
              <w:t>深圳市苏宁电器</w:t>
            </w:r>
          </w:p>
          <w:p>
            <w:pPr>
              <w:pStyle w:val="TableParagraph"/>
              <w:spacing w:line="274" w:lineRule="exact"/>
              <w:ind w:left="41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exact" w:before="4"/>
              <w:ind w:left="230" w:right="431"/>
              <w:jc w:val="left"/>
              <w:rPr>
                <w:rFonts w:ascii="宋体" w:hAnsi="宋体" w:cs="宋体" w:eastAsia="宋体" w:hint="default"/>
                <w:sz w:val="21"/>
                <w:szCs w:val="21"/>
              </w:rPr>
            </w:pPr>
            <w:r>
              <w:rPr>
                <w:rFonts w:ascii="宋体" w:hAnsi="宋体" w:cs="宋体" w:eastAsia="宋体" w:hint="default"/>
                <w:spacing w:val="-1"/>
                <w:sz w:val="21"/>
                <w:szCs w:val="21"/>
              </w:rPr>
              <w:t>直接控股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pacing w:val="-1"/>
                <w:sz w:val="21"/>
                <w:szCs w:val="21"/>
              </w:rPr>
              <w:t>间接控股</w:t>
            </w:r>
          </w:p>
        </w:tc>
        <w:tc>
          <w:tcPr>
            <w:tcW w:w="1098" w:type="dxa"/>
            <w:tcBorders>
              <w:top w:val="nil" w:sz="6" w:space="0" w:color="auto"/>
              <w:left w:val="nil" w:sz="6" w:space="0" w:color="auto"/>
              <w:bottom w:val="nil" w:sz="6" w:space="0" w:color="auto"/>
              <w:right w:val="nil" w:sz="6" w:space="0" w:color="auto"/>
            </w:tcBorders>
          </w:tcPr>
          <w:p>
            <w:pPr>
              <w:pStyle w:val="TableParagraph"/>
              <w:spacing w:line="245" w:lineRule="exact"/>
              <w:ind w:left="217"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54" w:type="dxa"/>
            <w:tcBorders>
              <w:top w:val="nil" w:sz="6" w:space="0" w:color="auto"/>
              <w:left w:val="nil" w:sz="6" w:space="0" w:color="auto"/>
              <w:bottom w:val="nil" w:sz="6" w:space="0" w:color="auto"/>
              <w:right w:val="nil" w:sz="6" w:space="0" w:color="auto"/>
            </w:tcBorders>
          </w:tcPr>
          <w:p>
            <w:pPr>
              <w:pStyle w:val="TableParagraph"/>
              <w:spacing w:line="245" w:lineRule="exact"/>
              <w:ind w:left="196"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1714" w:type="dxa"/>
            <w:tcBorders>
              <w:top w:val="nil" w:sz="6" w:space="0" w:color="auto"/>
              <w:left w:val="nil" w:sz="6" w:space="0" w:color="auto"/>
              <w:bottom w:val="nil" w:sz="6" w:space="0" w:color="auto"/>
              <w:right w:val="nil" w:sz="6" w:space="0" w:color="auto"/>
            </w:tcBorders>
          </w:tcPr>
          <w:p>
            <w:pPr>
              <w:pStyle w:val="TableParagraph"/>
              <w:spacing w:line="244" w:lineRule="exact"/>
              <w:ind w:left="205" w:right="0" w:firstLine="761"/>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205" w:right="0"/>
              <w:jc w:val="left"/>
              <w:rPr>
                <w:rFonts w:ascii="宋体" w:hAnsi="宋体" w:cs="宋体" w:eastAsia="宋体" w:hint="default"/>
                <w:sz w:val="21"/>
                <w:szCs w:val="21"/>
              </w:rPr>
            </w:pPr>
            <w:r>
              <w:rPr>
                <w:rFonts w:ascii="Arial" w:hAnsi="Arial" w:cs="Arial" w:eastAsia="Arial" w:hint="default"/>
                <w:spacing w:val="-3"/>
                <w:sz w:val="21"/>
                <w:szCs w:val="21"/>
              </w:rPr>
              <w:t>11,064.00</w:t>
            </w:r>
            <w:r>
              <w:rPr>
                <w:rFonts w:ascii="Arial" w:hAnsi="Arial" w:cs="Arial" w:eastAsia="Arial" w:hint="default"/>
                <w:spacing w:val="6"/>
                <w:sz w:val="21"/>
                <w:szCs w:val="21"/>
              </w:rPr>
              <w:t> </w:t>
            </w:r>
            <w:r>
              <w:rPr>
                <w:rFonts w:ascii="宋体" w:hAnsi="宋体" w:cs="宋体" w:eastAsia="宋体" w:hint="default"/>
                <w:sz w:val="21"/>
                <w:szCs w:val="21"/>
              </w:rPr>
              <w:t>万元</w:t>
            </w:r>
          </w:p>
        </w:tc>
        <w:tc>
          <w:tcPr>
            <w:tcW w:w="1770" w:type="dxa"/>
            <w:tcBorders>
              <w:top w:val="nil" w:sz="6" w:space="0" w:color="auto"/>
              <w:left w:val="nil" w:sz="6" w:space="0" w:color="auto"/>
              <w:bottom w:val="nil" w:sz="6" w:space="0" w:color="auto"/>
              <w:right w:val="nil" w:sz="6" w:space="0" w:color="auto"/>
            </w:tcBorders>
          </w:tcPr>
          <w:p>
            <w:pPr>
              <w:pStyle w:val="TableParagraph"/>
              <w:spacing w:line="244" w:lineRule="exact"/>
              <w:ind w:left="325" w:right="0" w:hanging="212"/>
              <w:jc w:val="left"/>
              <w:rPr>
                <w:rFonts w:ascii="宋体" w:hAnsi="宋体" w:cs="宋体" w:eastAsia="宋体" w:hint="default"/>
                <w:sz w:val="21"/>
                <w:szCs w:val="21"/>
              </w:rPr>
            </w:pPr>
            <w:r>
              <w:rPr>
                <w:rFonts w:ascii="宋体" w:hAnsi="宋体" w:cs="宋体" w:eastAsia="宋体" w:hint="default"/>
                <w:sz w:val="21"/>
                <w:szCs w:val="21"/>
              </w:rPr>
              <w:t>电器和电子消费</w:t>
            </w:r>
          </w:p>
          <w:p>
            <w:pPr>
              <w:pStyle w:val="TableParagraph"/>
              <w:spacing w:line="274" w:lineRule="exact"/>
              <w:ind w:left="325" w:right="0"/>
              <w:jc w:val="left"/>
              <w:rPr>
                <w:rFonts w:ascii="宋体" w:hAnsi="宋体" w:cs="宋体" w:eastAsia="宋体" w:hint="default"/>
                <w:sz w:val="21"/>
                <w:szCs w:val="21"/>
              </w:rPr>
            </w:pPr>
            <w:r>
              <w:rPr>
                <w:rFonts w:ascii="宋体" w:hAnsi="宋体" w:cs="宋体" w:eastAsia="宋体" w:hint="default"/>
                <w:sz w:val="21"/>
                <w:szCs w:val="21"/>
              </w:rPr>
              <w:t>品的连锁销售</w:t>
            </w:r>
          </w:p>
        </w:tc>
        <w:tc>
          <w:tcPr>
            <w:tcW w:w="1398" w:type="dxa"/>
            <w:tcBorders>
              <w:top w:val="nil" w:sz="6" w:space="0" w:color="auto"/>
              <w:left w:val="nil" w:sz="6" w:space="0" w:color="auto"/>
              <w:bottom w:val="nil" w:sz="6" w:space="0" w:color="auto"/>
              <w:right w:val="nil" w:sz="6" w:space="0" w:color="auto"/>
            </w:tcBorders>
          </w:tcPr>
          <w:p>
            <w:pPr>
              <w:pStyle w:val="TableParagraph"/>
              <w:spacing w:line="244" w:lineRule="exact"/>
              <w:ind w:right="160"/>
              <w:jc w:val="right"/>
              <w:rPr>
                <w:rFonts w:ascii="宋体" w:hAnsi="宋体" w:cs="宋体" w:eastAsia="宋体" w:hint="default"/>
                <w:sz w:val="21"/>
                <w:szCs w:val="21"/>
              </w:rPr>
            </w:pPr>
            <w:r>
              <w:rPr>
                <w:rFonts w:ascii="宋体" w:hAnsi="宋体" w:cs="宋体" w:eastAsia="宋体" w:hint="default"/>
                <w:spacing w:val="-1"/>
                <w:sz w:val="21"/>
                <w:szCs w:val="21"/>
              </w:rPr>
              <w:t>有限责任公</w:t>
            </w:r>
          </w:p>
          <w:p>
            <w:pPr>
              <w:pStyle w:val="TableParagraph"/>
              <w:spacing w:line="274" w:lineRule="exact"/>
              <w:ind w:right="162"/>
              <w:jc w:val="right"/>
              <w:rPr>
                <w:rFonts w:ascii="宋体" w:hAnsi="宋体" w:cs="宋体" w:eastAsia="宋体" w:hint="default"/>
                <w:sz w:val="21"/>
                <w:szCs w:val="21"/>
              </w:rPr>
            </w:pPr>
            <w:r>
              <w:rPr>
                <w:rFonts w:ascii="宋体" w:hAnsi="宋体" w:cs="宋体" w:eastAsia="宋体" w:hint="default"/>
                <w:w w:val="100"/>
                <w:sz w:val="21"/>
                <w:szCs w:val="21"/>
              </w:rPr>
              <w:t>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5" w:lineRule="exact"/>
              <w:ind w:right="257"/>
              <w:jc w:val="right"/>
              <w:rPr>
                <w:rFonts w:ascii="宋体" w:hAnsi="宋体" w:cs="宋体" w:eastAsia="宋体" w:hint="default"/>
                <w:sz w:val="21"/>
                <w:szCs w:val="21"/>
              </w:rPr>
            </w:pPr>
            <w:r>
              <w:rPr>
                <w:rFonts w:ascii="宋体" w:hAnsi="宋体" w:cs="宋体" w:eastAsia="宋体" w:hint="default"/>
                <w:sz w:val="21"/>
                <w:szCs w:val="21"/>
              </w:rPr>
              <w:t>孙为民</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Arial" w:hAnsi="Arial" w:cs="Arial" w:eastAsia="Arial" w:hint="default"/>
                <w:sz w:val="21"/>
                <w:szCs w:val="21"/>
              </w:rPr>
            </w:pPr>
            <w:r>
              <w:rPr>
                <w:rFonts w:ascii="Arial"/>
                <w:spacing w:val="-1"/>
                <w:sz w:val="21"/>
              </w:rPr>
              <w:t>72858230-6</w:t>
            </w:r>
          </w:p>
        </w:tc>
      </w:tr>
    </w:tbl>
    <w:p>
      <w:pPr>
        <w:spacing w:after="0" w:line="240" w:lineRule="exact"/>
        <w:jc w:val="right"/>
        <w:rPr>
          <w:rFonts w:ascii="Arial" w:hAnsi="Arial" w:cs="Arial" w:eastAsia="Arial" w:hint="default"/>
          <w:sz w:val="21"/>
          <w:szCs w:val="21"/>
        </w:rPr>
        <w:sectPr>
          <w:headerReference w:type="default" r:id="rId74"/>
          <w:footerReference w:type="default" r:id="rId75"/>
          <w:pgSz w:w="16850" w:h="11910" w:orient="landscape"/>
          <w:pgMar w:header="1474" w:footer="954" w:top="2960" w:bottom="1140" w:left="1580" w:right="0"/>
          <w:pgNumType w:start="135"/>
        </w:sectPr>
      </w:pPr>
    </w:p>
    <w:p>
      <w:pPr>
        <w:spacing w:line="240" w:lineRule="auto" w:before="11"/>
        <w:rPr>
          <w:rFonts w:ascii="Times New Roman" w:hAnsi="Times New Roman" w:cs="Times New Roman" w:eastAsia="Times New Roman" w:hint="default"/>
          <w:sz w:val="4"/>
          <w:szCs w:val="4"/>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7.25pt;height:.75pt;mso-position-horizontal-relative:char;mso-position-vertical-relative:line" coordorigin="0,0" coordsize="13745,15">
            <v:group style="position:absolute;left:7;top:7;width:13730;height:2" coordorigin="7,7" coordsize="13730,2">
              <v:shape style="position:absolute;left:7;top:7;width:13730;height:2" coordorigin="7,7" coordsize="13730,0" path="m7,7l137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p>
      <w:pPr>
        <w:pStyle w:val="Heading2"/>
        <w:tabs>
          <w:tab w:pos="856" w:val="left" w:leader="none"/>
        </w:tabs>
        <w:spacing w:line="240" w:lineRule="auto"/>
        <w:ind w:left="148" w:right="0"/>
        <w:jc w:val="left"/>
        <w:rPr>
          <w:rFonts w:ascii="Arial" w:hAnsi="Arial" w:cs="Arial" w:eastAsia="Arial" w:hint="default"/>
          <w:b w:val="0"/>
          <w:bCs w:val="0"/>
        </w:rPr>
      </w:pP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6" w:val="left" w:leader="none"/>
        </w:tabs>
        <w:spacing w:before="0"/>
        <w:ind w:left="148" w:right="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56" w:val="left" w:leader="none"/>
        </w:tabs>
        <w:spacing w:line="240" w:lineRule="auto" w:before="0"/>
        <w:ind w:left="148" w:right="0"/>
        <w:jc w:val="left"/>
        <w:rPr>
          <w:rFonts w:ascii="Arial" w:hAnsi="Arial" w:cs="Arial" w:eastAsia="Arial" w:hint="default"/>
        </w:rPr>
      </w:pPr>
      <w:r>
        <w:rPr>
          <w:rFonts w:ascii="Arial" w:hAnsi="Arial" w:cs="Arial" w:eastAsia="Arial" w:hint="default"/>
          <w:w w:val="95"/>
          <w:position w:val="2"/>
        </w:rPr>
        <w:t>(a)</w:t>
        <w:tab/>
      </w:r>
      <w:r>
        <w:rPr/>
        <w:t>通过设立或投资等方式取得的主要子公司</w:t>
      </w:r>
      <w:r>
        <w:rPr>
          <w:rFonts w:ascii="Arial" w:hAnsi="Arial" w:cs="Arial" w:eastAsia="Arial" w:hint="default"/>
        </w:rPr>
        <w:t>(</w:t>
      </w:r>
      <w:r>
        <w:rPr/>
        <w:t>续</w:t>
      </w:r>
      <w:r>
        <w:rPr>
          <w:rFonts w:ascii="Arial" w:hAnsi="Arial" w:cs="Arial" w:eastAsia="Arial" w:hint="default"/>
        </w:rPr>
        <w:t>)</w:t>
      </w:r>
    </w:p>
    <w:p>
      <w:pPr>
        <w:spacing w:line="240" w:lineRule="auto" w:before="6"/>
        <w:rPr>
          <w:rFonts w:ascii="Arial" w:hAnsi="Arial" w:cs="Arial" w:eastAsia="Arial" w:hint="default"/>
          <w:sz w:val="25"/>
          <w:szCs w:val="25"/>
        </w:rPr>
      </w:pPr>
    </w:p>
    <w:tbl>
      <w:tblPr>
        <w:tblW w:w="0" w:type="auto"/>
        <w:jc w:val="left"/>
        <w:tblInd w:w="764" w:type="dxa"/>
        <w:tblLayout w:type="fixed"/>
        <w:tblCellMar>
          <w:top w:w="0" w:type="dxa"/>
          <w:left w:w="0" w:type="dxa"/>
          <w:bottom w:w="0" w:type="dxa"/>
          <w:right w:w="0" w:type="dxa"/>
        </w:tblCellMar>
        <w:tblLook w:val="01E0"/>
      </w:tblPr>
      <w:tblGrid>
        <w:gridCol w:w="1736"/>
        <w:gridCol w:w="1420"/>
        <w:gridCol w:w="1059"/>
        <w:gridCol w:w="1447"/>
        <w:gridCol w:w="1732"/>
        <w:gridCol w:w="1748"/>
        <w:gridCol w:w="1378"/>
        <w:gridCol w:w="1369"/>
        <w:gridCol w:w="1788"/>
      </w:tblGrid>
      <w:tr>
        <w:trPr>
          <w:trHeight w:val="359" w:hRule="exact"/>
        </w:trPr>
        <w:tc>
          <w:tcPr>
            <w:tcW w:w="1736"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059" w:type="dxa"/>
            <w:tcBorders>
              <w:top w:val="nil" w:sz="6" w:space="0" w:color="auto"/>
              <w:left w:val="nil" w:sz="6" w:space="0" w:color="auto"/>
              <w:bottom w:val="nil" w:sz="6" w:space="0" w:color="auto"/>
              <w:right w:val="nil" w:sz="6" w:space="0" w:color="auto"/>
            </w:tcBorders>
          </w:tcPr>
          <w:p>
            <w:pPr>
              <w:pStyle w:val="TableParagraph"/>
              <w:spacing w:line="211" w:lineRule="exact"/>
              <w:ind w:right="245"/>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47" w:type="dxa"/>
            <w:tcBorders>
              <w:top w:val="nil" w:sz="6" w:space="0" w:color="auto"/>
              <w:left w:val="nil" w:sz="6" w:space="0" w:color="auto"/>
              <w:bottom w:val="nil" w:sz="6" w:space="0" w:color="auto"/>
              <w:right w:val="nil" w:sz="6" w:space="0" w:color="auto"/>
            </w:tcBorders>
          </w:tcPr>
          <w:p>
            <w:pPr>
              <w:pStyle w:val="TableParagraph"/>
              <w:spacing w:line="211" w:lineRule="exact"/>
              <w:ind w:left="24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32" w:type="dxa"/>
            <w:tcBorders>
              <w:top w:val="nil" w:sz="6" w:space="0" w:color="auto"/>
              <w:left w:val="nil" w:sz="6" w:space="0" w:color="auto"/>
              <w:bottom w:val="nil" w:sz="6" w:space="0" w:color="auto"/>
              <w:right w:val="nil" w:sz="6" w:space="0" w:color="auto"/>
            </w:tcBorders>
          </w:tcPr>
          <w:p>
            <w:pPr>
              <w:pStyle w:val="TableParagraph"/>
              <w:spacing w:line="211" w:lineRule="exact"/>
              <w:ind w:left="36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48" w:type="dxa"/>
            <w:tcBorders>
              <w:top w:val="nil" w:sz="6" w:space="0" w:color="auto"/>
              <w:left w:val="nil" w:sz="6" w:space="0" w:color="auto"/>
              <w:bottom w:val="nil" w:sz="6" w:space="0" w:color="auto"/>
              <w:right w:val="nil" w:sz="6" w:space="0" w:color="auto"/>
            </w:tcBorders>
          </w:tcPr>
          <w:p>
            <w:pPr>
              <w:pStyle w:val="TableParagraph"/>
              <w:spacing w:line="211" w:lineRule="exact"/>
              <w:ind w:left="405"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378" w:type="dxa"/>
            <w:tcBorders>
              <w:top w:val="nil" w:sz="6" w:space="0" w:color="auto"/>
              <w:left w:val="nil" w:sz="6" w:space="0" w:color="auto"/>
              <w:bottom w:val="nil" w:sz="6" w:space="0" w:color="auto"/>
              <w:right w:val="nil" w:sz="6" w:space="0" w:color="auto"/>
            </w:tcBorders>
          </w:tcPr>
          <w:p>
            <w:pPr>
              <w:pStyle w:val="TableParagraph"/>
              <w:spacing w:line="211" w:lineRule="exact"/>
              <w:ind w:right="79"/>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369" w:type="dxa"/>
            <w:tcBorders>
              <w:top w:val="nil" w:sz="6" w:space="0" w:color="auto"/>
              <w:left w:val="nil" w:sz="6" w:space="0" w:color="auto"/>
              <w:bottom w:val="nil" w:sz="6" w:space="0" w:color="auto"/>
              <w:right w:val="nil" w:sz="6" w:space="0" w:color="auto"/>
            </w:tcBorders>
          </w:tcPr>
          <w:p>
            <w:pPr>
              <w:pStyle w:val="TableParagraph"/>
              <w:spacing w:line="211" w:lineRule="exact"/>
              <w:ind w:left="155"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788" w:type="dxa"/>
            <w:tcBorders>
              <w:top w:val="nil" w:sz="6" w:space="0" w:color="auto"/>
              <w:left w:val="nil" w:sz="6" w:space="0" w:color="auto"/>
              <w:bottom w:val="nil" w:sz="6" w:space="0" w:color="auto"/>
              <w:right w:val="nil" w:sz="6" w:space="0" w:color="auto"/>
            </w:tcBorders>
          </w:tcPr>
          <w:p>
            <w:pPr>
              <w:pStyle w:val="TableParagraph"/>
              <w:spacing w:line="211" w:lineRule="exact"/>
              <w:ind w:right="243"/>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595"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1" w:right="263" w:hanging="192"/>
              <w:jc w:val="left"/>
              <w:rPr>
                <w:rFonts w:ascii="宋体" w:hAnsi="宋体" w:cs="宋体" w:eastAsia="宋体" w:hint="default"/>
                <w:sz w:val="18"/>
                <w:szCs w:val="18"/>
              </w:rPr>
            </w:pPr>
            <w:r>
              <w:rPr>
                <w:rFonts w:ascii="宋体" w:hAnsi="宋体" w:cs="宋体" w:eastAsia="宋体" w:hint="default"/>
                <w:sz w:val="18"/>
                <w:szCs w:val="18"/>
              </w:rPr>
              <w:t>天津天宁苏宁 电器有限公司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9"/>
              <w:jc w:val="center"/>
              <w:rPr>
                <w:rFonts w:ascii="宋体" w:hAnsi="宋体" w:cs="宋体" w:eastAsia="宋体" w:hint="default"/>
                <w:sz w:val="18"/>
                <w:szCs w:val="18"/>
              </w:rPr>
            </w:pPr>
            <w:r>
              <w:rPr>
                <w:rFonts w:ascii="宋体" w:hAnsi="宋体" w:cs="宋体" w:eastAsia="宋体" w:hint="default"/>
                <w:sz w:val="18"/>
                <w:szCs w:val="18"/>
              </w:rPr>
              <w:t>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5"/>
              <w:jc w:val="right"/>
              <w:rPr>
                <w:rFonts w:ascii="宋体" w:hAnsi="宋体" w:cs="宋体" w:eastAsia="宋体" w:hint="default"/>
                <w:sz w:val="18"/>
                <w:szCs w:val="18"/>
              </w:rPr>
            </w:pPr>
            <w:r>
              <w:rPr>
                <w:rFonts w:ascii="宋体" w:hAnsi="宋体" w:cs="宋体" w:eastAsia="宋体" w:hint="default"/>
                <w:sz w:val="18"/>
                <w:szCs w:val="18"/>
              </w:rPr>
              <w:t>天津市</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35" w:lineRule="exact" w:before="95"/>
              <w:ind w:left="10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457" w:right="0"/>
              <w:jc w:val="left"/>
              <w:rPr>
                <w:rFonts w:ascii="宋体" w:hAnsi="宋体" w:cs="宋体" w:eastAsia="宋体" w:hint="default"/>
                <w:sz w:val="18"/>
                <w:szCs w:val="18"/>
              </w:rPr>
            </w:pPr>
            <w:r>
              <w:rPr>
                <w:rFonts w:ascii="Arial" w:hAnsi="Arial" w:cs="Arial" w:eastAsia="Arial" w:hint="default"/>
                <w:sz w:val="18"/>
                <w:szCs w:val="18"/>
              </w:rPr>
              <w:t>9,290.08</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35" w:lineRule="exact" w:before="95"/>
              <w:ind w:left="165"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78"/>
              <w:jc w:val="right"/>
              <w:rPr>
                <w:rFonts w:ascii="宋体" w:hAnsi="宋体" w:cs="宋体" w:eastAsia="宋体" w:hint="default"/>
                <w:sz w:val="18"/>
                <w:szCs w:val="18"/>
              </w:rPr>
            </w:pPr>
            <w:r>
              <w:rPr>
                <w:rFonts w:ascii="宋体" w:hAnsi="宋体" w:cs="宋体" w:eastAsia="宋体" w:hint="default"/>
                <w:sz w:val="18"/>
                <w:szCs w:val="18"/>
              </w:rPr>
              <w:t>姚凯</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8"/>
              <w:jc w:val="right"/>
              <w:rPr>
                <w:rFonts w:ascii="Arial" w:hAnsi="Arial" w:cs="Arial" w:eastAsia="Arial" w:hint="default"/>
                <w:sz w:val="18"/>
                <w:szCs w:val="18"/>
              </w:rPr>
            </w:pPr>
            <w:r>
              <w:rPr>
                <w:rFonts w:ascii="Arial"/>
                <w:spacing w:val="-1"/>
                <w:sz w:val="18"/>
              </w:rPr>
              <w:t>66882536-0</w:t>
            </w:r>
          </w:p>
        </w:tc>
      </w:tr>
      <w:tr>
        <w:trPr>
          <w:trHeight w:val="468"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宋体" w:hAnsi="宋体" w:cs="宋体" w:eastAsia="宋体" w:hint="default"/>
                <w:sz w:val="18"/>
                <w:szCs w:val="18"/>
              </w:rPr>
            </w:pPr>
            <w:r>
              <w:rPr>
                <w:rFonts w:ascii="宋体" w:hAnsi="宋体" w:cs="宋体" w:eastAsia="宋体" w:hint="default"/>
                <w:sz w:val="18"/>
                <w:szCs w:val="18"/>
              </w:rPr>
              <w:t>重庆渝宁苏宁</w:t>
            </w: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4" w:lineRule="exact"/>
              <w:ind w:right="59"/>
              <w:jc w:val="center"/>
              <w:rPr>
                <w:rFonts w:ascii="宋体" w:hAnsi="宋体" w:cs="宋体" w:eastAsia="宋体" w:hint="default"/>
                <w:sz w:val="18"/>
                <w:szCs w:val="18"/>
              </w:rPr>
            </w:pPr>
            <w:r>
              <w:rPr>
                <w:rFonts w:ascii="宋体" w:hAnsi="宋体" w:cs="宋体" w:eastAsia="宋体" w:hint="default"/>
                <w:sz w:val="18"/>
                <w:szCs w:val="18"/>
              </w:rPr>
              <w:t>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4" w:lineRule="exact"/>
              <w:ind w:right="265"/>
              <w:jc w:val="right"/>
              <w:rPr>
                <w:rFonts w:ascii="宋体" w:hAnsi="宋体" w:cs="宋体" w:eastAsia="宋体" w:hint="default"/>
                <w:sz w:val="18"/>
                <w:szCs w:val="18"/>
              </w:rPr>
            </w:pPr>
            <w:r>
              <w:rPr>
                <w:rFonts w:ascii="宋体" w:hAnsi="宋体" w:cs="宋体" w:eastAsia="宋体" w:hint="default"/>
                <w:sz w:val="18"/>
                <w:szCs w:val="18"/>
              </w:rPr>
              <w:t>重庆市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4"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4" w:lineRule="exact"/>
              <w:ind w:left="358" w:right="0" w:firstLine="665"/>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58" w:right="0"/>
              <w:jc w:val="left"/>
              <w:rPr>
                <w:rFonts w:ascii="宋体" w:hAnsi="宋体" w:cs="宋体" w:eastAsia="宋体" w:hint="default"/>
                <w:sz w:val="18"/>
                <w:szCs w:val="18"/>
              </w:rPr>
            </w:pPr>
            <w:r>
              <w:rPr>
                <w:rFonts w:ascii="Arial" w:hAnsi="Arial" w:cs="Arial" w:eastAsia="Arial" w:hint="default"/>
                <w:sz w:val="18"/>
                <w:szCs w:val="18"/>
              </w:rPr>
              <w:t>38,144.97</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sz w:val="18"/>
                <w:szCs w:val="18"/>
              </w:rPr>
              <w:t>电器和电子消费品</w:t>
            </w:r>
          </w:p>
          <w:p>
            <w:pPr>
              <w:pStyle w:val="TableParagraph"/>
              <w:spacing w:line="240" w:lineRule="auto"/>
              <w:ind w:left="705" w:right="0"/>
              <w:jc w:val="left"/>
              <w:rPr>
                <w:rFonts w:ascii="宋体" w:hAnsi="宋体" w:cs="宋体" w:eastAsia="宋体" w:hint="default"/>
                <w:sz w:val="18"/>
                <w:szCs w:val="18"/>
              </w:rPr>
            </w:pPr>
            <w:r>
              <w:rPr>
                <w:rFonts w:ascii="宋体" w:hAnsi="宋体" w:cs="宋体" w:eastAsia="宋体" w:hint="default"/>
                <w:sz w:val="18"/>
                <w:szCs w:val="18"/>
              </w:rPr>
              <w:t>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4" w:lineRule="exact"/>
              <w:ind w:right="278"/>
              <w:jc w:val="right"/>
              <w:rPr>
                <w:rFonts w:ascii="宋体" w:hAnsi="宋体" w:cs="宋体" w:eastAsia="宋体" w:hint="default"/>
                <w:sz w:val="18"/>
                <w:szCs w:val="18"/>
              </w:rPr>
            </w:pPr>
            <w:r>
              <w:rPr>
                <w:rFonts w:ascii="宋体" w:hAnsi="宋体" w:cs="宋体" w:eastAsia="宋体" w:hint="default"/>
                <w:sz w:val="18"/>
                <w:szCs w:val="18"/>
              </w:rPr>
              <w:t>徐耀华</w:t>
            </w:r>
          </w:p>
        </w:tc>
        <w:tc>
          <w:tcPr>
            <w:tcW w:w="1788" w:type="dxa"/>
            <w:tcBorders>
              <w:top w:val="nil" w:sz="6" w:space="0" w:color="auto"/>
              <w:left w:val="nil" w:sz="6" w:space="0" w:color="auto"/>
              <w:bottom w:val="nil" w:sz="6" w:space="0" w:color="auto"/>
              <w:right w:val="nil" w:sz="6" w:space="0" w:color="auto"/>
            </w:tcBorders>
          </w:tcPr>
          <w:p>
            <w:pPr>
              <w:pStyle w:val="TableParagraph"/>
              <w:spacing w:line="204" w:lineRule="exact"/>
              <w:ind w:right="198"/>
              <w:jc w:val="right"/>
              <w:rPr>
                <w:rFonts w:ascii="Arial" w:hAnsi="Arial" w:cs="Arial" w:eastAsia="Arial" w:hint="default"/>
                <w:sz w:val="18"/>
                <w:szCs w:val="18"/>
              </w:rPr>
            </w:pPr>
            <w:r>
              <w:rPr>
                <w:rFonts w:ascii="Arial"/>
                <w:w w:val="95"/>
                <w:sz w:val="18"/>
              </w:rPr>
              <w:t>66893754-9</w:t>
            </w:r>
            <w:r>
              <w:rPr>
                <w:rFonts w:ascii="Arial"/>
                <w:sz w:val="18"/>
              </w:rPr>
            </w:r>
          </w:p>
        </w:tc>
      </w:tr>
      <w:tr>
        <w:trPr>
          <w:trHeight w:val="468"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3" w:lineRule="exact"/>
              <w:ind w:right="255"/>
              <w:jc w:val="center"/>
              <w:rPr>
                <w:rFonts w:ascii="宋体" w:hAnsi="宋体" w:cs="宋体" w:eastAsia="宋体" w:hint="default"/>
                <w:sz w:val="18"/>
                <w:szCs w:val="18"/>
              </w:rPr>
            </w:pPr>
            <w:r>
              <w:rPr>
                <w:rFonts w:ascii="宋体" w:hAnsi="宋体" w:cs="宋体" w:eastAsia="宋体" w:hint="default"/>
                <w:sz w:val="18"/>
                <w:szCs w:val="18"/>
              </w:rPr>
              <w:t>四川苏宁电器</w:t>
            </w:r>
          </w:p>
          <w:p>
            <w:pPr>
              <w:pStyle w:val="TableParagraph"/>
              <w:spacing w:line="240" w:lineRule="auto"/>
              <w:ind w:right="23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4" w:lineRule="exact"/>
              <w:ind w:right="64"/>
              <w:jc w:val="center"/>
              <w:rPr>
                <w:rFonts w:ascii="宋体" w:hAnsi="宋体" w:cs="宋体" w:eastAsia="宋体" w:hint="default"/>
                <w:sz w:val="18"/>
                <w:szCs w:val="18"/>
              </w:rPr>
            </w:pPr>
            <w:r>
              <w:rPr>
                <w:rFonts w:ascii="宋体" w:hAnsi="宋体" w:cs="宋体" w:eastAsia="宋体" w:hint="default"/>
                <w:sz w:val="18"/>
                <w:szCs w:val="18"/>
              </w:rPr>
              <w:t>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4" w:lineRule="exact"/>
              <w:ind w:right="265"/>
              <w:jc w:val="right"/>
              <w:rPr>
                <w:rFonts w:ascii="宋体" w:hAnsi="宋体" w:cs="宋体" w:eastAsia="宋体" w:hint="default"/>
                <w:sz w:val="18"/>
                <w:szCs w:val="18"/>
              </w:rPr>
            </w:pPr>
            <w:r>
              <w:rPr>
                <w:rFonts w:ascii="宋体" w:hAnsi="宋体" w:cs="宋体" w:eastAsia="宋体" w:hint="default"/>
                <w:sz w:val="18"/>
                <w:szCs w:val="18"/>
              </w:rPr>
              <w:t>成都市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4"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3" w:lineRule="exact"/>
              <w:ind w:left="358" w:right="0" w:firstLine="665"/>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58" w:right="0"/>
              <w:jc w:val="left"/>
              <w:rPr>
                <w:rFonts w:ascii="宋体" w:hAnsi="宋体" w:cs="宋体" w:eastAsia="宋体" w:hint="default"/>
                <w:sz w:val="18"/>
                <w:szCs w:val="18"/>
              </w:rPr>
            </w:pPr>
            <w:r>
              <w:rPr>
                <w:rFonts w:ascii="Arial" w:hAnsi="Arial" w:cs="Arial" w:eastAsia="Arial" w:hint="default"/>
                <w:sz w:val="18"/>
                <w:szCs w:val="18"/>
              </w:rPr>
              <w:t>24,742.44</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3"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4" w:lineRule="exact"/>
              <w:ind w:right="278"/>
              <w:jc w:val="right"/>
              <w:rPr>
                <w:rFonts w:ascii="宋体" w:hAnsi="宋体" w:cs="宋体" w:eastAsia="宋体" w:hint="default"/>
                <w:sz w:val="18"/>
                <w:szCs w:val="18"/>
              </w:rPr>
            </w:pPr>
            <w:r>
              <w:rPr>
                <w:rFonts w:ascii="宋体" w:hAnsi="宋体" w:cs="宋体" w:eastAsia="宋体" w:hint="default"/>
                <w:sz w:val="18"/>
                <w:szCs w:val="18"/>
              </w:rPr>
              <w:t>陶京海</w:t>
            </w:r>
          </w:p>
        </w:tc>
        <w:tc>
          <w:tcPr>
            <w:tcW w:w="1788" w:type="dxa"/>
            <w:tcBorders>
              <w:top w:val="nil" w:sz="6" w:space="0" w:color="auto"/>
              <w:left w:val="nil" w:sz="6" w:space="0" w:color="auto"/>
              <w:bottom w:val="nil" w:sz="6" w:space="0" w:color="auto"/>
              <w:right w:val="nil" w:sz="6" w:space="0" w:color="auto"/>
            </w:tcBorders>
          </w:tcPr>
          <w:p>
            <w:pPr>
              <w:pStyle w:val="TableParagraph"/>
              <w:spacing w:line="204" w:lineRule="exact"/>
              <w:ind w:right="198"/>
              <w:jc w:val="right"/>
              <w:rPr>
                <w:rFonts w:ascii="Arial" w:hAnsi="Arial" w:cs="Arial" w:eastAsia="Arial" w:hint="default"/>
                <w:sz w:val="18"/>
                <w:szCs w:val="18"/>
              </w:rPr>
            </w:pPr>
            <w:r>
              <w:rPr>
                <w:rFonts w:ascii="Arial"/>
                <w:spacing w:val="-1"/>
                <w:sz w:val="18"/>
              </w:rPr>
              <w:t>66956674-3</w:t>
            </w:r>
          </w:p>
        </w:tc>
      </w:tr>
      <w:tr>
        <w:trPr>
          <w:trHeight w:val="698"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18"/>
                <w:szCs w:val="18"/>
              </w:rPr>
            </w:pPr>
            <w:r>
              <w:rPr>
                <w:rFonts w:ascii="宋体" w:hAnsi="宋体" w:cs="宋体" w:eastAsia="宋体" w:hint="default"/>
                <w:sz w:val="18"/>
                <w:szCs w:val="18"/>
              </w:rPr>
              <w:t>陕西苏宁电器</w:t>
            </w: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3" w:lineRule="exact"/>
              <w:ind w:left="263" w:right="0"/>
              <w:jc w:val="left"/>
              <w:rPr>
                <w:rFonts w:ascii="宋体" w:hAnsi="宋体" w:cs="宋体" w:eastAsia="宋体" w:hint="default"/>
                <w:sz w:val="18"/>
                <w:szCs w:val="18"/>
              </w:rPr>
            </w:pPr>
            <w:r>
              <w:rPr>
                <w:rFonts w:ascii="宋体" w:hAnsi="宋体" w:cs="宋体" w:eastAsia="宋体" w:hint="default"/>
                <w:sz w:val="18"/>
                <w:szCs w:val="18"/>
              </w:rPr>
              <w:t>直接控股</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及</w:t>
            </w:r>
          </w:p>
          <w:p>
            <w:pPr>
              <w:pStyle w:val="TableParagraph"/>
              <w:spacing w:line="234" w:lineRule="exact"/>
              <w:ind w:left="319" w:right="0"/>
              <w:jc w:val="left"/>
              <w:rPr>
                <w:rFonts w:ascii="宋体" w:hAnsi="宋体" w:cs="宋体" w:eastAsia="宋体" w:hint="default"/>
                <w:sz w:val="18"/>
                <w:szCs w:val="18"/>
              </w:rPr>
            </w:pPr>
            <w:r>
              <w:rPr>
                <w:rFonts w:ascii="宋体" w:hAnsi="宋体" w:cs="宋体" w:eastAsia="宋体" w:hint="default"/>
                <w:sz w:val="18"/>
                <w:szCs w:val="18"/>
              </w:rPr>
              <w:t>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4" w:lineRule="exact"/>
              <w:ind w:right="265"/>
              <w:jc w:val="right"/>
              <w:rPr>
                <w:rFonts w:ascii="宋体" w:hAnsi="宋体" w:cs="宋体" w:eastAsia="宋体" w:hint="default"/>
                <w:sz w:val="18"/>
                <w:szCs w:val="18"/>
              </w:rPr>
            </w:pPr>
            <w:r>
              <w:rPr>
                <w:rFonts w:ascii="宋体" w:hAnsi="宋体" w:cs="宋体" w:eastAsia="宋体" w:hint="default"/>
                <w:sz w:val="18"/>
                <w:szCs w:val="18"/>
              </w:rPr>
              <w:t>西安市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4"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3" w:lineRule="exact"/>
              <w:ind w:left="457" w:right="0" w:firstLine="566"/>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457" w:right="0"/>
              <w:jc w:val="left"/>
              <w:rPr>
                <w:rFonts w:ascii="宋体" w:hAnsi="宋体" w:cs="宋体" w:eastAsia="宋体" w:hint="default"/>
                <w:sz w:val="18"/>
                <w:szCs w:val="18"/>
              </w:rPr>
            </w:pPr>
            <w:r>
              <w:rPr>
                <w:rFonts w:ascii="Arial" w:hAnsi="Arial" w:cs="Arial" w:eastAsia="Arial" w:hint="default"/>
                <w:sz w:val="18"/>
                <w:szCs w:val="18"/>
              </w:rPr>
              <w:t>8,026.00</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3"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4" w:lineRule="exact"/>
              <w:ind w:right="278"/>
              <w:jc w:val="right"/>
              <w:rPr>
                <w:rFonts w:ascii="宋体" w:hAnsi="宋体" w:cs="宋体" w:eastAsia="宋体" w:hint="default"/>
                <w:sz w:val="18"/>
                <w:szCs w:val="18"/>
              </w:rPr>
            </w:pPr>
            <w:r>
              <w:rPr>
                <w:rFonts w:ascii="宋体" w:hAnsi="宋体" w:cs="宋体" w:eastAsia="宋体" w:hint="default"/>
                <w:sz w:val="18"/>
                <w:szCs w:val="18"/>
              </w:rPr>
              <w:t>孙为民</w:t>
            </w:r>
          </w:p>
        </w:tc>
        <w:tc>
          <w:tcPr>
            <w:tcW w:w="1788" w:type="dxa"/>
            <w:tcBorders>
              <w:top w:val="nil" w:sz="6" w:space="0" w:color="auto"/>
              <w:left w:val="nil" w:sz="6" w:space="0" w:color="auto"/>
              <w:bottom w:val="nil" w:sz="6" w:space="0" w:color="auto"/>
              <w:right w:val="nil" w:sz="6" w:space="0" w:color="auto"/>
            </w:tcBorders>
          </w:tcPr>
          <w:p>
            <w:pPr>
              <w:pStyle w:val="TableParagraph"/>
              <w:spacing w:line="204" w:lineRule="exact"/>
              <w:ind w:right="198"/>
              <w:jc w:val="right"/>
              <w:rPr>
                <w:rFonts w:ascii="Arial" w:hAnsi="Arial" w:cs="Arial" w:eastAsia="Arial" w:hint="default"/>
                <w:sz w:val="18"/>
                <w:szCs w:val="18"/>
              </w:rPr>
            </w:pPr>
            <w:r>
              <w:rPr>
                <w:rFonts w:ascii="Arial"/>
                <w:spacing w:val="-1"/>
                <w:sz w:val="18"/>
              </w:rPr>
              <w:t>71978340-5</w:t>
            </w:r>
          </w:p>
        </w:tc>
      </w:tr>
      <w:tr>
        <w:trPr>
          <w:trHeight w:val="702"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8" w:lineRule="exact"/>
              <w:ind w:right="255"/>
              <w:jc w:val="center"/>
              <w:rPr>
                <w:rFonts w:ascii="宋体" w:hAnsi="宋体" w:cs="宋体" w:eastAsia="宋体" w:hint="default"/>
                <w:sz w:val="18"/>
                <w:szCs w:val="18"/>
              </w:rPr>
            </w:pPr>
            <w:r>
              <w:rPr>
                <w:rFonts w:ascii="宋体" w:hAnsi="宋体" w:cs="宋体" w:eastAsia="宋体" w:hint="default"/>
                <w:sz w:val="18"/>
                <w:szCs w:val="18"/>
              </w:rPr>
              <w:t>浙江苏宁电器</w:t>
            </w:r>
          </w:p>
          <w:p>
            <w:pPr>
              <w:pStyle w:val="TableParagraph"/>
              <w:spacing w:line="234" w:lineRule="exact"/>
              <w:ind w:right="23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8" w:lineRule="exact"/>
              <w:ind w:left="263" w:right="0"/>
              <w:jc w:val="left"/>
              <w:rPr>
                <w:rFonts w:ascii="宋体" w:hAnsi="宋体" w:cs="宋体" w:eastAsia="宋体" w:hint="default"/>
                <w:sz w:val="18"/>
                <w:szCs w:val="18"/>
              </w:rPr>
            </w:pPr>
            <w:r>
              <w:rPr>
                <w:rFonts w:ascii="宋体" w:hAnsi="宋体" w:cs="宋体" w:eastAsia="宋体" w:hint="default"/>
                <w:sz w:val="18"/>
                <w:szCs w:val="18"/>
              </w:rPr>
              <w:t>直接控股</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及</w:t>
            </w: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9" w:lineRule="exact"/>
              <w:ind w:right="265"/>
              <w:jc w:val="right"/>
              <w:rPr>
                <w:rFonts w:ascii="宋体" w:hAnsi="宋体" w:cs="宋体" w:eastAsia="宋体" w:hint="default"/>
                <w:sz w:val="18"/>
                <w:szCs w:val="18"/>
              </w:rPr>
            </w:pPr>
            <w:r>
              <w:rPr>
                <w:rFonts w:ascii="宋体" w:hAnsi="宋体" w:cs="宋体" w:eastAsia="宋体" w:hint="default"/>
                <w:sz w:val="18"/>
                <w:szCs w:val="18"/>
              </w:rPr>
              <w:t>杭州市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9"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8" w:lineRule="exact"/>
              <w:ind w:left="358" w:right="0" w:firstLine="665"/>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7" w:lineRule="exact"/>
              <w:ind w:left="358" w:right="0"/>
              <w:jc w:val="left"/>
              <w:rPr>
                <w:rFonts w:ascii="宋体" w:hAnsi="宋体" w:cs="宋体" w:eastAsia="宋体" w:hint="default"/>
                <w:sz w:val="18"/>
                <w:szCs w:val="18"/>
              </w:rPr>
            </w:pPr>
            <w:r>
              <w:rPr>
                <w:rFonts w:ascii="Arial" w:hAnsi="Arial" w:cs="Arial" w:eastAsia="Arial" w:hint="default"/>
                <w:sz w:val="18"/>
                <w:szCs w:val="18"/>
              </w:rPr>
              <w:t>30,809.35</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8"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34" w:lineRule="exact"/>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9"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9" w:lineRule="exact"/>
              <w:ind w:right="278"/>
              <w:jc w:val="right"/>
              <w:rPr>
                <w:rFonts w:ascii="宋体" w:hAnsi="宋体" w:cs="宋体" w:eastAsia="宋体" w:hint="default"/>
                <w:sz w:val="18"/>
                <w:szCs w:val="18"/>
              </w:rPr>
            </w:pPr>
            <w:r>
              <w:rPr>
                <w:rFonts w:ascii="宋体" w:hAnsi="宋体" w:cs="宋体" w:eastAsia="宋体" w:hint="default"/>
                <w:sz w:val="18"/>
                <w:szCs w:val="18"/>
              </w:rPr>
              <w:t>卞农</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18"/>
                <w:szCs w:val="18"/>
              </w:rPr>
            </w:pPr>
            <w:r>
              <w:rPr>
                <w:rFonts w:ascii="Arial"/>
                <w:spacing w:val="-1"/>
                <w:sz w:val="18"/>
              </w:rPr>
              <w:t>70421064-7</w:t>
            </w:r>
          </w:p>
        </w:tc>
      </w:tr>
      <w:tr>
        <w:trPr>
          <w:trHeight w:val="473"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8" w:lineRule="exact"/>
              <w:ind w:right="255"/>
              <w:jc w:val="center"/>
              <w:rPr>
                <w:rFonts w:ascii="宋体" w:hAnsi="宋体" w:cs="宋体" w:eastAsia="宋体" w:hint="default"/>
                <w:sz w:val="18"/>
                <w:szCs w:val="18"/>
              </w:rPr>
            </w:pPr>
            <w:r>
              <w:rPr>
                <w:rFonts w:ascii="宋体" w:hAnsi="宋体" w:cs="宋体" w:eastAsia="宋体" w:hint="default"/>
                <w:sz w:val="18"/>
                <w:szCs w:val="18"/>
              </w:rPr>
              <w:t>山东苏宁电器</w:t>
            </w:r>
          </w:p>
          <w:p>
            <w:pPr>
              <w:pStyle w:val="TableParagraph"/>
              <w:spacing w:line="240" w:lineRule="auto"/>
              <w:ind w:right="23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8" w:lineRule="exact"/>
              <w:ind w:right="59"/>
              <w:jc w:val="center"/>
              <w:rPr>
                <w:rFonts w:ascii="宋体" w:hAnsi="宋体" w:cs="宋体" w:eastAsia="宋体" w:hint="default"/>
                <w:sz w:val="18"/>
                <w:szCs w:val="18"/>
              </w:rPr>
            </w:pPr>
            <w:r>
              <w:rPr>
                <w:rFonts w:ascii="宋体" w:hAnsi="宋体" w:cs="宋体" w:eastAsia="宋体" w:hint="default"/>
                <w:sz w:val="18"/>
                <w:szCs w:val="18"/>
              </w:rPr>
              <w:t>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8" w:lineRule="exact"/>
              <w:ind w:right="265"/>
              <w:jc w:val="right"/>
              <w:rPr>
                <w:rFonts w:ascii="宋体" w:hAnsi="宋体" w:cs="宋体" w:eastAsia="宋体" w:hint="default"/>
                <w:sz w:val="18"/>
                <w:szCs w:val="18"/>
              </w:rPr>
            </w:pPr>
            <w:r>
              <w:rPr>
                <w:rFonts w:ascii="宋体" w:hAnsi="宋体" w:cs="宋体" w:eastAsia="宋体" w:hint="default"/>
                <w:sz w:val="18"/>
                <w:szCs w:val="18"/>
              </w:rPr>
              <w:t>济南市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8"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8" w:lineRule="exact"/>
              <w:ind w:left="457" w:right="0" w:firstLine="566"/>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457" w:right="0"/>
              <w:jc w:val="left"/>
              <w:rPr>
                <w:rFonts w:ascii="宋体" w:hAnsi="宋体" w:cs="宋体" w:eastAsia="宋体" w:hint="default"/>
                <w:sz w:val="18"/>
                <w:szCs w:val="18"/>
              </w:rPr>
            </w:pPr>
            <w:r>
              <w:rPr>
                <w:rFonts w:ascii="Arial" w:hAnsi="Arial" w:cs="Arial" w:eastAsia="Arial" w:hint="default"/>
                <w:sz w:val="18"/>
                <w:szCs w:val="18"/>
              </w:rPr>
              <w:t>1,782.00</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8"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8"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8" w:lineRule="exact"/>
              <w:ind w:right="278"/>
              <w:jc w:val="right"/>
              <w:rPr>
                <w:rFonts w:ascii="宋体" w:hAnsi="宋体" w:cs="宋体" w:eastAsia="宋体" w:hint="default"/>
                <w:sz w:val="18"/>
                <w:szCs w:val="18"/>
              </w:rPr>
            </w:pPr>
            <w:r>
              <w:rPr>
                <w:rFonts w:ascii="宋体" w:hAnsi="宋体" w:cs="宋体" w:eastAsia="宋体" w:hint="default"/>
                <w:sz w:val="18"/>
                <w:szCs w:val="18"/>
              </w:rPr>
              <w:t>戴冯军</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Arial" w:hAnsi="Arial" w:cs="Arial" w:eastAsia="Arial" w:hint="default"/>
                <w:sz w:val="18"/>
                <w:szCs w:val="18"/>
              </w:rPr>
            </w:pPr>
            <w:r>
              <w:rPr>
                <w:rFonts w:ascii="Arial"/>
                <w:spacing w:val="-1"/>
                <w:sz w:val="18"/>
              </w:rPr>
              <w:t>66934454-2</w:t>
            </w:r>
          </w:p>
        </w:tc>
      </w:tr>
      <w:tr>
        <w:trPr>
          <w:trHeight w:val="698"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4" w:lineRule="exact"/>
              <w:ind w:right="255"/>
              <w:jc w:val="center"/>
              <w:rPr>
                <w:rFonts w:ascii="宋体" w:hAnsi="宋体" w:cs="宋体" w:eastAsia="宋体" w:hint="default"/>
                <w:sz w:val="18"/>
                <w:szCs w:val="18"/>
              </w:rPr>
            </w:pPr>
            <w:r>
              <w:rPr>
                <w:rFonts w:ascii="宋体" w:hAnsi="宋体" w:cs="宋体" w:eastAsia="宋体" w:hint="default"/>
                <w:sz w:val="18"/>
                <w:szCs w:val="18"/>
              </w:rPr>
              <w:t>武汉苏宁电器</w:t>
            </w:r>
          </w:p>
          <w:p>
            <w:pPr>
              <w:pStyle w:val="TableParagraph"/>
              <w:spacing w:line="240" w:lineRule="auto"/>
              <w:ind w:right="23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4" w:lineRule="exact"/>
              <w:ind w:left="263" w:right="0"/>
              <w:jc w:val="left"/>
              <w:rPr>
                <w:rFonts w:ascii="宋体" w:hAnsi="宋体" w:cs="宋体" w:eastAsia="宋体" w:hint="default"/>
                <w:sz w:val="18"/>
                <w:szCs w:val="18"/>
              </w:rPr>
            </w:pPr>
            <w:r>
              <w:rPr>
                <w:rFonts w:ascii="宋体" w:hAnsi="宋体" w:cs="宋体" w:eastAsia="宋体" w:hint="default"/>
                <w:sz w:val="18"/>
                <w:szCs w:val="18"/>
              </w:rPr>
              <w:t>直接控股</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及</w:t>
            </w:r>
          </w:p>
          <w:p>
            <w:pPr>
              <w:pStyle w:val="TableParagraph"/>
              <w:spacing w:line="234" w:lineRule="exact"/>
              <w:ind w:left="319" w:right="0"/>
              <w:jc w:val="left"/>
              <w:rPr>
                <w:rFonts w:ascii="宋体" w:hAnsi="宋体" w:cs="宋体" w:eastAsia="宋体" w:hint="default"/>
                <w:sz w:val="18"/>
                <w:szCs w:val="18"/>
              </w:rPr>
            </w:pPr>
            <w:r>
              <w:rPr>
                <w:rFonts w:ascii="宋体" w:hAnsi="宋体" w:cs="宋体" w:eastAsia="宋体" w:hint="default"/>
                <w:sz w:val="18"/>
                <w:szCs w:val="18"/>
              </w:rPr>
              <w:t>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4" w:lineRule="exact"/>
              <w:ind w:right="265"/>
              <w:jc w:val="right"/>
              <w:rPr>
                <w:rFonts w:ascii="宋体" w:hAnsi="宋体" w:cs="宋体" w:eastAsia="宋体" w:hint="default"/>
                <w:sz w:val="18"/>
                <w:szCs w:val="18"/>
              </w:rPr>
            </w:pPr>
            <w:r>
              <w:rPr>
                <w:rFonts w:ascii="宋体" w:hAnsi="宋体" w:cs="宋体" w:eastAsia="宋体" w:hint="default"/>
                <w:sz w:val="18"/>
                <w:szCs w:val="18"/>
              </w:rPr>
              <w:t>武汉市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4"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4" w:lineRule="exact"/>
              <w:ind w:left="358" w:right="0" w:firstLine="665"/>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58" w:right="0"/>
              <w:jc w:val="left"/>
              <w:rPr>
                <w:rFonts w:ascii="宋体" w:hAnsi="宋体" w:cs="宋体" w:eastAsia="宋体" w:hint="default"/>
                <w:sz w:val="18"/>
                <w:szCs w:val="18"/>
              </w:rPr>
            </w:pPr>
            <w:r>
              <w:rPr>
                <w:rFonts w:ascii="Arial" w:hAnsi="Arial" w:cs="Arial" w:eastAsia="Arial" w:hint="default"/>
                <w:sz w:val="18"/>
                <w:szCs w:val="18"/>
              </w:rPr>
              <w:t>35,879.00</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4"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4"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4" w:lineRule="exact"/>
              <w:ind w:right="278"/>
              <w:jc w:val="right"/>
              <w:rPr>
                <w:rFonts w:ascii="宋体" w:hAnsi="宋体" w:cs="宋体" w:eastAsia="宋体" w:hint="default"/>
                <w:sz w:val="18"/>
                <w:szCs w:val="18"/>
              </w:rPr>
            </w:pPr>
            <w:r>
              <w:rPr>
                <w:rFonts w:ascii="宋体" w:hAnsi="宋体" w:cs="宋体" w:eastAsia="宋体" w:hint="default"/>
                <w:sz w:val="18"/>
                <w:szCs w:val="18"/>
              </w:rPr>
              <w:t>赵蓓</w:t>
            </w:r>
          </w:p>
        </w:tc>
        <w:tc>
          <w:tcPr>
            <w:tcW w:w="1788" w:type="dxa"/>
            <w:tcBorders>
              <w:top w:val="nil" w:sz="6" w:space="0" w:color="auto"/>
              <w:left w:val="nil" w:sz="6" w:space="0" w:color="auto"/>
              <w:bottom w:val="nil" w:sz="6" w:space="0" w:color="auto"/>
              <w:right w:val="nil" w:sz="6" w:space="0" w:color="auto"/>
            </w:tcBorders>
          </w:tcPr>
          <w:p>
            <w:pPr>
              <w:pStyle w:val="TableParagraph"/>
              <w:spacing w:line="205" w:lineRule="exact"/>
              <w:ind w:right="198"/>
              <w:jc w:val="right"/>
              <w:rPr>
                <w:rFonts w:ascii="Arial" w:hAnsi="Arial" w:cs="Arial" w:eastAsia="Arial" w:hint="default"/>
                <w:sz w:val="18"/>
                <w:szCs w:val="18"/>
              </w:rPr>
            </w:pPr>
            <w:r>
              <w:rPr>
                <w:rFonts w:ascii="Arial"/>
                <w:spacing w:val="-1"/>
                <w:sz w:val="18"/>
              </w:rPr>
              <w:t>77455948-1</w:t>
            </w:r>
          </w:p>
        </w:tc>
      </w:tr>
      <w:tr>
        <w:trPr>
          <w:trHeight w:val="677" w:hRule="exact"/>
        </w:trPr>
        <w:tc>
          <w:tcPr>
            <w:tcW w:w="1736" w:type="dxa"/>
            <w:tcBorders>
              <w:top w:val="nil" w:sz="6" w:space="0" w:color="auto"/>
              <w:left w:val="nil" w:sz="6" w:space="0" w:color="auto"/>
              <w:bottom w:val="nil" w:sz="6" w:space="0" w:color="auto"/>
              <w:right w:val="nil" w:sz="6" w:space="0" w:color="auto"/>
            </w:tcBorders>
          </w:tcPr>
          <w:p>
            <w:pPr>
              <w:pStyle w:val="TableParagraph"/>
              <w:spacing w:line="208" w:lineRule="exact"/>
              <w:ind w:right="255"/>
              <w:jc w:val="center"/>
              <w:rPr>
                <w:rFonts w:ascii="宋体" w:hAnsi="宋体" w:cs="宋体" w:eastAsia="宋体" w:hint="default"/>
                <w:sz w:val="18"/>
                <w:szCs w:val="18"/>
              </w:rPr>
            </w:pPr>
            <w:r>
              <w:rPr>
                <w:rFonts w:ascii="宋体" w:hAnsi="宋体" w:cs="宋体" w:eastAsia="宋体" w:hint="default"/>
                <w:sz w:val="18"/>
                <w:szCs w:val="18"/>
              </w:rPr>
              <w:t>沈阳苏宁电器</w:t>
            </w:r>
          </w:p>
          <w:p>
            <w:pPr>
              <w:pStyle w:val="TableParagraph"/>
              <w:spacing w:line="234" w:lineRule="exact"/>
              <w:ind w:right="23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420" w:type="dxa"/>
            <w:tcBorders>
              <w:top w:val="nil" w:sz="6" w:space="0" w:color="auto"/>
              <w:left w:val="nil" w:sz="6" w:space="0" w:color="auto"/>
              <w:bottom w:val="nil" w:sz="6" w:space="0" w:color="auto"/>
              <w:right w:val="nil" w:sz="6" w:space="0" w:color="auto"/>
            </w:tcBorders>
          </w:tcPr>
          <w:p>
            <w:pPr>
              <w:pStyle w:val="TableParagraph"/>
              <w:spacing w:line="208" w:lineRule="exact"/>
              <w:ind w:left="263" w:right="0"/>
              <w:jc w:val="left"/>
              <w:rPr>
                <w:rFonts w:ascii="宋体" w:hAnsi="宋体" w:cs="宋体" w:eastAsia="宋体" w:hint="default"/>
                <w:sz w:val="18"/>
                <w:szCs w:val="18"/>
              </w:rPr>
            </w:pPr>
            <w:r>
              <w:rPr>
                <w:rFonts w:ascii="宋体" w:hAnsi="宋体" w:cs="宋体" w:eastAsia="宋体" w:hint="default"/>
                <w:sz w:val="18"/>
                <w:szCs w:val="18"/>
              </w:rPr>
              <w:t>直接控股</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及</w:t>
            </w: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间接控股</w:t>
            </w:r>
          </w:p>
        </w:tc>
        <w:tc>
          <w:tcPr>
            <w:tcW w:w="1059" w:type="dxa"/>
            <w:tcBorders>
              <w:top w:val="nil" w:sz="6" w:space="0" w:color="auto"/>
              <w:left w:val="nil" w:sz="6" w:space="0" w:color="auto"/>
              <w:bottom w:val="nil" w:sz="6" w:space="0" w:color="auto"/>
              <w:right w:val="nil" w:sz="6" w:space="0" w:color="auto"/>
            </w:tcBorders>
          </w:tcPr>
          <w:p>
            <w:pPr>
              <w:pStyle w:val="TableParagraph"/>
              <w:spacing w:line="209" w:lineRule="exact"/>
              <w:ind w:right="265"/>
              <w:jc w:val="right"/>
              <w:rPr>
                <w:rFonts w:ascii="宋体" w:hAnsi="宋体" w:cs="宋体" w:eastAsia="宋体" w:hint="default"/>
                <w:sz w:val="18"/>
                <w:szCs w:val="18"/>
              </w:rPr>
            </w:pPr>
            <w:r>
              <w:rPr>
                <w:rFonts w:ascii="宋体" w:hAnsi="宋体" w:cs="宋体" w:eastAsia="宋体" w:hint="default"/>
                <w:sz w:val="18"/>
                <w:szCs w:val="18"/>
              </w:rPr>
              <w:t>沈阳市</w:t>
            </w:r>
          </w:p>
        </w:tc>
        <w:tc>
          <w:tcPr>
            <w:tcW w:w="1447" w:type="dxa"/>
            <w:tcBorders>
              <w:top w:val="nil" w:sz="6" w:space="0" w:color="auto"/>
              <w:left w:val="nil" w:sz="6" w:space="0" w:color="auto"/>
              <w:bottom w:val="nil" w:sz="6" w:space="0" w:color="auto"/>
              <w:right w:val="nil" w:sz="6" w:space="0" w:color="auto"/>
            </w:tcBorders>
          </w:tcPr>
          <w:p>
            <w:pPr>
              <w:pStyle w:val="TableParagraph"/>
              <w:spacing w:line="209" w:lineRule="exact"/>
              <w:ind w:left="257"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1732" w:type="dxa"/>
            <w:tcBorders>
              <w:top w:val="nil" w:sz="6" w:space="0" w:color="auto"/>
              <w:left w:val="nil" w:sz="6" w:space="0" w:color="auto"/>
              <w:bottom w:val="nil" w:sz="6" w:space="0" w:color="auto"/>
              <w:right w:val="nil" w:sz="6" w:space="0" w:color="auto"/>
            </w:tcBorders>
          </w:tcPr>
          <w:p>
            <w:pPr>
              <w:pStyle w:val="TableParagraph"/>
              <w:spacing w:line="208" w:lineRule="exact"/>
              <w:ind w:left="358" w:right="0" w:firstLine="665"/>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7" w:lineRule="exact"/>
              <w:ind w:left="358" w:right="0"/>
              <w:jc w:val="left"/>
              <w:rPr>
                <w:rFonts w:ascii="宋体" w:hAnsi="宋体" w:cs="宋体" w:eastAsia="宋体" w:hint="default"/>
                <w:sz w:val="18"/>
                <w:szCs w:val="18"/>
              </w:rPr>
            </w:pPr>
            <w:r>
              <w:rPr>
                <w:rFonts w:ascii="Arial" w:hAnsi="Arial" w:cs="Arial" w:eastAsia="Arial" w:hint="default"/>
                <w:sz w:val="18"/>
                <w:szCs w:val="18"/>
              </w:rPr>
              <w:t>31,727.30</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748" w:type="dxa"/>
            <w:tcBorders>
              <w:top w:val="nil" w:sz="6" w:space="0" w:color="auto"/>
              <w:left w:val="nil" w:sz="6" w:space="0" w:color="auto"/>
              <w:bottom w:val="nil" w:sz="6" w:space="0" w:color="auto"/>
              <w:right w:val="nil" w:sz="6" w:space="0" w:color="auto"/>
            </w:tcBorders>
          </w:tcPr>
          <w:p>
            <w:pPr>
              <w:pStyle w:val="TableParagraph"/>
              <w:spacing w:line="208" w:lineRule="exact"/>
              <w:ind w:left="525" w:right="0" w:hanging="180"/>
              <w:jc w:val="left"/>
              <w:rPr>
                <w:rFonts w:ascii="宋体" w:hAnsi="宋体" w:cs="宋体" w:eastAsia="宋体" w:hint="default"/>
                <w:sz w:val="18"/>
                <w:szCs w:val="18"/>
              </w:rPr>
            </w:pPr>
            <w:r>
              <w:rPr>
                <w:rFonts w:ascii="宋体" w:hAnsi="宋体" w:cs="宋体" w:eastAsia="宋体" w:hint="default"/>
                <w:sz w:val="18"/>
                <w:szCs w:val="18"/>
              </w:rPr>
              <w:t>电器和电子消费</w:t>
            </w:r>
          </w:p>
          <w:p>
            <w:pPr>
              <w:pStyle w:val="TableParagraph"/>
              <w:spacing w:line="234" w:lineRule="exact"/>
              <w:ind w:left="525" w:right="0"/>
              <w:jc w:val="left"/>
              <w:rPr>
                <w:rFonts w:ascii="宋体" w:hAnsi="宋体" w:cs="宋体" w:eastAsia="宋体" w:hint="default"/>
                <w:sz w:val="18"/>
                <w:szCs w:val="18"/>
              </w:rPr>
            </w:pPr>
            <w:r>
              <w:rPr>
                <w:rFonts w:ascii="宋体" w:hAnsi="宋体" w:cs="宋体" w:eastAsia="宋体" w:hint="default"/>
                <w:sz w:val="18"/>
                <w:szCs w:val="18"/>
              </w:rPr>
              <w:t>品的连锁销售</w:t>
            </w:r>
          </w:p>
        </w:tc>
        <w:tc>
          <w:tcPr>
            <w:tcW w:w="1378" w:type="dxa"/>
            <w:tcBorders>
              <w:top w:val="nil" w:sz="6" w:space="0" w:color="auto"/>
              <w:left w:val="nil" w:sz="6" w:space="0" w:color="auto"/>
              <w:bottom w:val="nil" w:sz="6" w:space="0" w:color="auto"/>
              <w:right w:val="nil" w:sz="6" w:space="0" w:color="auto"/>
            </w:tcBorders>
          </w:tcPr>
          <w:p>
            <w:pPr>
              <w:pStyle w:val="TableParagraph"/>
              <w:spacing w:line="209" w:lineRule="exact"/>
              <w:ind w:right="1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09" w:lineRule="exact"/>
              <w:ind w:right="278"/>
              <w:jc w:val="right"/>
              <w:rPr>
                <w:rFonts w:ascii="宋体" w:hAnsi="宋体" w:cs="宋体" w:eastAsia="宋体" w:hint="default"/>
                <w:sz w:val="18"/>
                <w:szCs w:val="18"/>
              </w:rPr>
            </w:pPr>
            <w:r>
              <w:rPr>
                <w:rFonts w:ascii="宋体" w:hAnsi="宋体" w:cs="宋体" w:eastAsia="宋体" w:hint="default"/>
                <w:sz w:val="18"/>
                <w:szCs w:val="18"/>
              </w:rPr>
              <w:t>范志军</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98"/>
              <w:jc w:val="right"/>
              <w:rPr>
                <w:rFonts w:ascii="Arial" w:hAnsi="Arial" w:cs="Arial" w:eastAsia="Arial" w:hint="default"/>
                <w:sz w:val="18"/>
                <w:szCs w:val="18"/>
              </w:rPr>
            </w:pPr>
            <w:r>
              <w:rPr>
                <w:rFonts w:ascii="Arial"/>
                <w:spacing w:val="-1"/>
                <w:sz w:val="18"/>
              </w:rPr>
              <w:t>75078305-9</w:t>
            </w:r>
          </w:p>
        </w:tc>
      </w:tr>
    </w:tbl>
    <w:p>
      <w:pPr>
        <w:spacing w:after="0" w:line="240" w:lineRule="auto"/>
        <w:jc w:val="right"/>
        <w:rPr>
          <w:rFonts w:ascii="Arial" w:hAnsi="Arial" w:cs="Arial" w:eastAsia="Arial" w:hint="default"/>
          <w:sz w:val="18"/>
          <w:szCs w:val="18"/>
        </w:rPr>
        <w:sectPr>
          <w:pgSz w:w="16850" w:h="11910" w:orient="landscape"/>
          <w:pgMar w:header="1474" w:footer="954" w:top="2960" w:bottom="1140" w:left="1580" w:right="0"/>
        </w:sectPr>
      </w:pPr>
    </w:p>
    <w:p>
      <w:pPr>
        <w:pStyle w:val="Heading2"/>
        <w:tabs>
          <w:tab w:pos="856" w:val="left" w:leader="none"/>
        </w:tabs>
        <w:spacing w:line="240" w:lineRule="auto" w:before="31"/>
        <w:ind w:left="148" w:right="0"/>
        <w:jc w:val="left"/>
        <w:rPr>
          <w:rFonts w:ascii="Arial" w:hAnsi="Arial" w:cs="Arial" w:eastAsia="Arial" w:hint="default"/>
          <w:b w:val="0"/>
          <w:bCs w:val="0"/>
        </w:rPr>
      </w:pPr>
      <w:r>
        <w:rPr/>
        <w:pict>
          <v:group style="position:absolute;margin-left:84.984001pt;margin-top:3.205625pt;width:686.5pt;height:.1pt;mso-position-horizontal-relative:page;mso-position-vertical-relative:paragraph;z-index:-1359784" coordorigin="1700,64" coordsize="13730,2">
            <v:shape style="position:absolute;left:1700;top:64;width:13730;height:2" coordorigin="1700,64" coordsize="13730,0" path="m1700,64l15430,64e" filled="false" stroked="true" strokeweight=".72pt" strokecolor="#000000">
              <v:path arrowok="t"/>
            </v:shape>
            <w10:wrap type="none"/>
          </v:group>
        </w:pict>
      </w:r>
      <w:r>
        <w:rPr>
          <w:w w:val="95"/>
        </w:rPr>
        <w:t>四</w:t>
        <w:tab/>
      </w:r>
      <w:r>
        <w:rPr/>
        <w:t>企业合并及合并财务报表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6" w:val="left" w:leader="none"/>
        </w:tabs>
        <w:spacing w:before="0"/>
        <w:ind w:left="148" w:right="0" w:firstLine="0"/>
        <w:jc w:val="left"/>
        <w:rPr>
          <w:rFonts w:ascii="Arial" w:hAnsi="Arial" w:cs="Arial" w:eastAsia="Arial" w:hint="default"/>
          <w:sz w:val="24"/>
          <w:szCs w:val="24"/>
        </w:rPr>
      </w:pPr>
      <w:r>
        <w:rPr>
          <w:rFonts w:ascii="Arial" w:hAnsi="Arial" w:cs="Arial" w:eastAsia="Arial" w:hint="default"/>
          <w:w w:val="95"/>
          <w:position w:val="2"/>
          <w:sz w:val="24"/>
          <w:szCs w:val="24"/>
        </w:rPr>
        <w:t>(1)</w:t>
        <w:tab/>
      </w: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56" w:val="left" w:leader="none"/>
        </w:tabs>
        <w:spacing w:line="240" w:lineRule="auto" w:before="0"/>
        <w:ind w:left="148" w:right="0"/>
        <w:jc w:val="left"/>
        <w:rPr>
          <w:rFonts w:ascii="Arial" w:hAnsi="Arial" w:cs="Arial" w:eastAsia="Arial" w:hint="default"/>
        </w:rPr>
      </w:pPr>
      <w:r>
        <w:rPr>
          <w:rFonts w:ascii="Arial" w:hAnsi="Arial" w:cs="Arial" w:eastAsia="Arial" w:hint="default"/>
          <w:w w:val="95"/>
          <w:position w:val="2"/>
        </w:rPr>
        <w:t>(a)</w:t>
        <w:tab/>
      </w:r>
      <w:r>
        <w:rPr/>
        <w:t>通过设立或投资等方式取得的主要子公司</w:t>
      </w:r>
      <w:r>
        <w:rPr>
          <w:rFonts w:ascii="Arial" w:hAnsi="Arial" w:cs="Arial" w:eastAsia="Arial" w:hint="default"/>
        </w:rPr>
        <w:t>(</w:t>
      </w:r>
      <w:r>
        <w:rPr/>
        <w:t>续</w:t>
      </w:r>
      <w:r>
        <w:rPr>
          <w:rFonts w:ascii="Arial" w:hAnsi="Arial" w:cs="Arial" w:eastAsia="Arial" w:hint="default"/>
        </w:rPr>
        <w:t>)</w:t>
      </w:r>
    </w:p>
    <w:p>
      <w:pPr>
        <w:spacing w:line="240" w:lineRule="auto" w:before="5"/>
        <w:rPr>
          <w:rFonts w:ascii="Arial" w:hAnsi="Arial" w:cs="Arial" w:eastAsia="Arial" w:hint="default"/>
          <w:sz w:val="28"/>
          <w:szCs w:val="28"/>
        </w:rPr>
      </w:pPr>
    </w:p>
    <w:tbl>
      <w:tblPr>
        <w:tblW w:w="0" w:type="auto"/>
        <w:jc w:val="left"/>
        <w:tblInd w:w="764" w:type="dxa"/>
        <w:tblLayout w:type="fixed"/>
        <w:tblCellMar>
          <w:top w:w="0" w:type="dxa"/>
          <w:left w:w="0" w:type="dxa"/>
          <w:bottom w:w="0" w:type="dxa"/>
          <w:right w:w="0" w:type="dxa"/>
        </w:tblCellMar>
        <w:tblLook w:val="01E0"/>
      </w:tblPr>
      <w:tblGrid>
        <w:gridCol w:w="1795"/>
        <w:gridCol w:w="1361"/>
        <w:gridCol w:w="981"/>
        <w:gridCol w:w="1321"/>
        <w:gridCol w:w="1920"/>
        <w:gridCol w:w="1675"/>
        <w:gridCol w:w="1468"/>
        <w:gridCol w:w="1369"/>
        <w:gridCol w:w="1781"/>
      </w:tblGrid>
      <w:tr>
        <w:trPr>
          <w:trHeight w:val="358" w:hRule="exact"/>
        </w:trPr>
        <w:tc>
          <w:tcPr>
            <w:tcW w:w="179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11" w:lineRule="exact"/>
              <w:ind w:left="128"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981" w:type="dxa"/>
            <w:tcBorders>
              <w:top w:val="nil" w:sz="6" w:space="0" w:color="auto"/>
              <w:left w:val="nil" w:sz="6" w:space="0" w:color="auto"/>
              <w:bottom w:val="nil" w:sz="6" w:space="0" w:color="auto"/>
              <w:right w:val="nil" w:sz="6" w:space="0" w:color="auto"/>
            </w:tcBorders>
          </w:tcPr>
          <w:p>
            <w:pPr>
              <w:pStyle w:val="TableParagraph"/>
              <w:spacing w:line="211" w:lineRule="exact"/>
              <w:ind w:left="11"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21" w:type="dxa"/>
            <w:tcBorders>
              <w:top w:val="nil" w:sz="6" w:space="0" w:color="auto"/>
              <w:left w:val="nil" w:sz="6" w:space="0" w:color="auto"/>
              <w:bottom w:val="nil" w:sz="6" w:space="0" w:color="auto"/>
              <w:right w:val="nil" w:sz="6" w:space="0" w:color="auto"/>
            </w:tcBorders>
          </w:tcPr>
          <w:p>
            <w:pPr>
              <w:pStyle w:val="TableParagraph"/>
              <w:spacing w:line="211" w:lineRule="exact"/>
              <w:ind w:right="138"/>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920" w:type="dxa"/>
            <w:tcBorders>
              <w:top w:val="nil" w:sz="6" w:space="0" w:color="auto"/>
              <w:left w:val="nil" w:sz="6" w:space="0" w:color="auto"/>
              <w:bottom w:val="nil" w:sz="6" w:space="0" w:color="auto"/>
              <w:right w:val="nil" w:sz="6" w:space="0" w:color="auto"/>
            </w:tcBorders>
          </w:tcPr>
          <w:p>
            <w:pPr>
              <w:pStyle w:val="TableParagraph"/>
              <w:spacing w:line="211" w:lineRule="exact"/>
              <w:ind w:left="56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75" w:type="dxa"/>
            <w:tcBorders>
              <w:top w:val="nil" w:sz="6" w:space="0" w:color="auto"/>
              <w:left w:val="nil" w:sz="6" w:space="0" w:color="auto"/>
              <w:bottom w:val="nil" w:sz="6" w:space="0" w:color="auto"/>
              <w:right w:val="nil" w:sz="6" w:space="0" w:color="auto"/>
            </w:tcBorders>
          </w:tcPr>
          <w:p>
            <w:pPr>
              <w:pStyle w:val="TableParagraph"/>
              <w:spacing w:line="211" w:lineRule="exact"/>
              <w:ind w:left="421"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468" w:type="dxa"/>
            <w:tcBorders>
              <w:top w:val="nil" w:sz="6" w:space="0" w:color="auto"/>
              <w:left w:val="nil" w:sz="6" w:space="0" w:color="auto"/>
              <w:bottom w:val="nil" w:sz="6" w:space="0" w:color="auto"/>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1369" w:type="dxa"/>
            <w:tcBorders>
              <w:top w:val="nil" w:sz="6" w:space="0" w:color="auto"/>
              <w:left w:val="nil" w:sz="6" w:space="0" w:color="auto"/>
              <w:bottom w:val="nil" w:sz="6" w:space="0" w:color="auto"/>
              <w:right w:val="nil" w:sz="6" w:space="0" w:color="auto"/>
            </w:tcBorders>
          </w:tcPr>
          <w:p>
            <w:pPr>
              <w:pStyle w:val="TableParagraph"/>
              <w:spacing w:line="211" w:lineRule="exact"/>
              <w:ind w:left="153"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1781" w:type="dxa"/>
            <w:tcBorders>
              <w:top w:val="nil" w:sz="6" w:space="0" w:color="auto"/>
              <w:left w:val="nil" w:sz="6" w:space="0" w:color="auto"/>
              <w:bottom w:val="nil" w:sz="6" w:space="0" w:color="auto"/>
              <w:right w:val="nil" w:sz="6" w:space="0" w:color="auto"/>
            </w:tcBorders>
          </w:tcPr>
          <w:p>
            <w:pPr>
              <w:pStyle w:val="TableParagraph"/>
              <w:spacing w:line="211" w:lineRule="exact"/>
              <w:ind w:right="236"/>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939"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1" w:right="138" w:hanging="192"/>
              <w:jc w:val="left"/>
              <w:rPr>
                <w:rFonts w:ascii="宋体" w:hAnsi="宋体" w:cs="宋体" w:eastAsia="宋体" w:hint="default"/>
                <w:sz w:val="21"/>
                <w:szCs w:val="21"/>
              </w:rPr>
            </w:pPr>
            <w:r>
              <w:rPr>
                <w:rFonts w:ascii="宋体" w:hAnsi="宋体" w:cs="宋体" w:eastAsia="宋体" w:hint="default"/>
                <w:sz w:val="21"/>
                <w:szCs w:val="21"/>
              </w:rPr>
              <w:t>上海长宁苏宁</w:t>
            </w:r>
            <w:r>
              <w:rPr>
                <w:rFonts w:ascii="宋体" w:hAnsi="宋体" w:cs="宋体" w:eastAsia="宋体" w:hint="default"/>
                <w:w w:val="100"/>
                <w:sz w:val="21"/>
                <w:szCs w:val="21"/>
              </w:rPr>
              <w:t> </w:t>
            </w:r>
            <w:r>
              <w:rPr>
                <w:rFonts w:ascii="宋体" w:hAnsi="宋体" w:cs="宋体" w:eastAsia="宋体" w:hint="default"/>
                <w:spacing w:val="-1"/>
                <w:sz w:val="21"/>
                <w:szCs w:val="21"/>
              </w:rPr>
              <w:t>电器有限公司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37" w:lineRule="auto" w:before="94"/>
              <w:ind w:left="140" w:right="311" w:firstLine="64"/>
              <w:jc w:val="left"/>
              <w:rPr>
                <w:rFonts w:ascii="宋体" w:hAnsi="宋体" w:cs="宋体" w:eastAsia="宋体" w:hint="default"/>
                <w:sz w:val="21"/>
                <w:szCs w:val="21"/>
              </w:rPr>
            </w:pPr>
            <w:r>
              <w:rPr>
                <w:rFonts w:ascii="宋体" w:hAnsi="宋体" w:cs="宋体" w:eastAsia="宋体" w:hint="default"/>
                <w:spacing w:val="-1"/>
                <w:sz w:val="21"/>
                <w:szCs w:val="21"/>
              </w:rPr>
              <w:t>直接控股</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间接控股</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8"/>
              <w:jc w:val="center"/>
              <w:rPr>
                <w:rFonts w:ascii="宋体" w:hAnsi="宋体" w:cs="宋体" w:eastAsia="宋体" w:hint="default"/>
                <w:sz w:val="21"/>
                <w:szCs w:val="21"/>
              </w:rPr>
            </w:pPr>
            <w:r>
              <w:rPr>
                <w:rFonts w:ascii="宋体" w:hAnsi="宋体" w:cs="宋体" w:eastAsia="宋体" w:hint="default"/>
                <w:sz w:val="21"/>
                <w:szCs w:val="21"/>
              </w:rPr>
              <w:t>零售</w:t>
            </w:r>
          </w:p>
        </w:tc>
        <w:tc>
          <w:tcPr>
            <w:tcW w:w="1920" w:type="dxa"/>
            <w:tcBorders>
              <w:top w:val="nil" w:sz="6" w:space="0" w:color="auto"/>
              <w:left w:val="nil" w:sz="6" w:space="0" w:color="auto"/>
              <w:bottom w:val="nil" w:sz="6" w:space="0" w:color="auto"/>
              <w:right w:val="nil" w:sz="6" w:space="0" w:color="auto"/>
            </w:tcBorders>
          </w:tcPr>
          <w:p>
            <w:pPr>
              <w:pStyle w:val="TableParagraph"/>
              <w:spacing w:line="274" w:lineRule="exact" w:before="92"/>
              <w:ind w:left="1136"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361" w:right="0"/>
              <w:jc w:val="left"/>
              <w:rPr>
                <w:rFonts w:ascii="宋体" w:hAnsi="宋体" w:cs="宋体" w:eastAsia="宋体" w:hint="default"/>
                <w:sz w:val="21"/>
                <w:szCs w:val="21"/>
              </w:rPr>
            </w:pPr>
            <w:r>
              <w:rPr>
                <w:rFonts w:ascii="Arial" w:hAnsi="Arial" w:cs="Arial" w:eastAsia="Arial" w:hint="default"/>
                <w:sz w:val="21"/>
                <w:szCs w:val="21"/>
              </w:rPr>
              <w:t>55,818.60</w:t>
            </w:r>
            <w:r>
              <w:rPr>
                <w:rFonts w:ascii="Arial" w:hAnsi="Arial" w:cs="Arial" w:eastAsia="Arial" w:hint="default"/>
                <w:spacing w:val="-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61" w:right="49" w:hanging="212"/>
              <w:jc w:val="left"/>
              <w:rPr>
                <w:rFonts w:ascii="宋体" w:hAnsi="宋体" w:cs="宋体" w:eastAsia="宋体" w:hint="default"/>
                <w:sz w:val="21"/>
                <w:szCs w:val="21"/>
              </w:rPr>
            </w:pPr>
            <w:r>
              <w:rPr>
                <w:rFonts w:ascii="宋体" w:hAnsi="宋体" w:cs="宋体" w:eastAsia="宋体" w:hint="default"/>
                <w:spacing w:val="-1"/>
                <w:sz w:val="21"/>
                <w:szCs w:val="21"/>
              </w:rPr>
              <w:t>电器和电子消费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品的连锁销售</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宋体" w:hAnsi="宋体" w:cs="宋体" w:eastAsia="宋体" w:hint="default"/>
                <w:sz w:val="21"/>
                <w:szCs w:val="21"/>
              </w:rPr>
            </w:pPr>
            <w:r>
              <w:rPr>
                <w:rFonts w:ascii="宋体" w:hAnsi="宋体" w:cs="宋体" w:eastAsia="宋体" w:hint="default"/>
                <w:sz w:val="21"/>
                <w:szCs w:val="21"/>
              </w:rPr>
              <w:t>蒋勇</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8"/>
              <w:jc w:val="right"/>
              <w:rPr>
                <w:rFonts w:ascii="Arial" w:hAnsi="Arial" w:cs="Arial" w:eastAsia="Arial" w:hint="default"/>
                <w:sz w:val="21"/>
                <w:szCs w:val="21"/>
              </w:rPr>
            </w:pPr>
            <w:r>
              <w:rPr>
                <w:rFonts w:ascii="Arial"/>
                <w:spacing w:val="-1"/>
                <w:sz w:val="21"/>
              </w:rPr>
              <w:t>79702660-2</w:t>
            </w:r>
          </w:p>
        </w:tc>
      </w:tr>
      <w:tr>
        <w:trPr>
          <w:trHeight w:val="794" w:hRule="exact"/>
        </w:trPr>
        <w:tc>
          <w:tcPr>
            <w:tcW w:w="1795" w:type="dxa"/>
            <w:tcBorders>
              <w:top w:val="nil" w:sz="6" w:space="0" w:color="auto"/>
              <w:left w:val="nil" w:sz="6" w:space="0" w:color="auto"/>
              <w:bottom w:val="nil" w:sz="6" w:space="0" w:color="auto"/>
              <w:right w:val="nil" w:sz="6" w:space="0" w:color="auto"/>
            </w:tcBorders>
          </w:tcPr>
          <w:p>
            <w:pPr>
              <w:pStyle w:val="TableParagraph"/>
              <w:spacing w:line="246" w:lineRule="exact"/>
              <w:ind w:right="130"/>
              <w:jc w:val="center"/>
              <w:rPr>
                <w:rFonts w:ascii="宋体" w:hAnsi="宋体" w:cs="宋体" w:eastAsia="宋体" w:hint="default"/>
                <w:sz w:val="21"/>
                <w:szCs w:val="21"/>
              </w:rPr>
            </w:pPr>
            <w:r>
              <w:rPr>
                <w:rFonts w:ascii="宋体" w:hAnsi="宋体" w:cs="宋体" w:eastAsia="宋体" w:hint="default"/>
                <w:sz w:val="21"/>
                <w:szCs w:val="21"/>
              </w:rPr>
              <w:t>福建苏宁电器</w:t>
            </w:r>
          </w:p>
          <w:p>
            <w:pPr>
              <w:pStyle w:val="TableParagraph"/>
              <w:spacing w:line="274" w:lineRule="exact"/>
              <w:ind w:right="166"/>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61" w:type="dxa"/>
            <w:tcBorders>
              <w:top w:val="nil" w:sz="6" w:space="0" w:color="auto"/>
              <w:left w:val="nil" w:sz="6" w:space="0" w:color="auto"/>
              <w:bottom w:val="nil" w:sz="6" w:space="0" w:color="auto"/>
              <w:right w:val="nil" w:sz="6" w:space="0" w:color="auto"/>
            </w:tcBorders>
          </w:tcPr>
          <w:p>
            <w:pPr>
              <w:pStyle w:val="TableParagraph"/>
              <w:spacing w:line="246" w:lineRule="exact"/>
              <w:ind w:left="205" w:right="0"/>
              <w:jc w:val="left"/>
              <w:rPr>
                <w:rFonts w:ascii="宋体" w:hAnsi="宋体" w:cs="宋体" w:eastAsia="宋体" w:hint="default"/>
                <w:sz w:val="21"/>
                <w:szCs w:val="21"/>
              </w:rPr>
            </w:pPr>
            <w:r>
              <w:rPr>
                <w:rFonts w:ascii="宋体" w:hAnsi="宋体" w:cs="宋体" w:eastAsia="宋体" w:hint="default"/>
                <w:sz w:val="21"/>
                <w:szCs w:val="21"/>
              </w:rPr>
              <w:t>直接控股</w:t>
            </w:r>
          </w:p>
          <w:p>
            <w:pPr>
              <w:pStyle w:val="TableParagraph"/>
              <w:spacing w:line="240" w:lineRule="auto"/>
              <w:ind w:left="140" w:right="376" w:firstLine="64"/>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pacing w:val="-1"/>
                <w:sz w:val="21"/>
                <w:szCs w:val="21"/>
              </w:rPr>
              <w:t>间接控股</w:t>
            </w:r>
          </w:p>
        </w:tc>
        <w:tc>
          <w:tcPr>
            <w:tcW w:w="981" w:type="dxa"/>
            <w:tcBorders>
              <w:top w:val="nil" w:sz="6" w:space="0" w:color="auto"/>
              <w:left w:val="nil" w:sz="6" w:space="0" w:color="auto"/>
              <w:bottom w:val="nil" w:sz="6" w:space="0" w:color="auto"/>
              <w:right w:val="nil" w:sz="6" w:space="0" w:color="auto"/>
            </w:tcBorders>
          </w:tcPr>
          <w:p>
            <w:pPr>
              <w:pStyle w:val="TableParagraph"/>
              <w:spacing w:line="247" w:lineRule="exact"/>
              <w:ind w:left="11" w:right="0"/>
              <w:jc w:val="center"/>
              <w:rPr>
                <w:rFonts w:ascii="宋体" w:hAnsi="宋体" w:cs="宋体" w:eastAsia="宋体" w:hint="default"/>
                <w:sz w:val="21"/>
                <w:szCs w:val="21"/>
              </w:rPr>
            </w:pPr>
            <w:r>
              <w:rPr>
                <w:rFonts w:ascii="宋体" w:hAnsi="宋体" w:cs="宋体" w:eastAsia="宋体" w:hint="default"/>
                <w:sz w:val="21"/>
                <w:szCs w:val="21"/>
              </w:rPr>
              <w:t>福州市</w:t>
            </w:r>
          </w:p>
        </w:tc>
        <w:tc>
          <w:tcPr>
            <w:tcW w:w="1321" w:type="dxa"/>
            <w:tcBorders>
              <w:top w:val="nil" w:sz="6" w:space="0" w:color="auto"/>
              <w:left w:val="nil" w:sz="6" w:space="0" w:color="auto"/>
              <w:bottom w:val="nil" w:sz="6" w:space="0" w:color="auto"/>
              <w:right w:val="nil" w:sz="6" w:space="0" w:color="auto"/>
            </w:tcBorders>
          </w:tcPr>
          <w:p>
            <w:pPr>
              <w:pStyle w:val="TableParagraph"/>
              <w:spacing w:line="247" w:lineRule="exact"/>
              <w:ind w:right="138"/>
              <w:jc w:val="center"/>
              <w:rPr>
                <w:rFonts w:ascii="宋体" w:hAnsi="宋体" w:cs="宋体" w:eastAsia="宋体" w:hint="default"/>
                <w:sz w:val="21"/>
                <w:szCs w:val="21"/>
              </w:rPr>
            </w:pPr>
            <w:r>
              <w:rPr>
                <w:rFonts w:ascii="宋体" w:hAnsi="宋体" w:cs="宋体" w:eastAsia="宋体" w:hint="default"/>
                <w:sz w:val="21"/>
                <w:szCs w:val="21"/>
              </w:rPr>
              <w:t>零售</w:t>
            </w:r>
          </w:p>
        </w:tc>
        <w:tc>
          <w:tcPr>
            <w:tcW w:w="1920" w:type="dxa"/>
            <w:tcBorders>
              <w:top w:val="nil" w:sz="6" w:space="0" w:color="auto"/>
              <w:left w:val="nil" w:sz="6" w:space="0" w:color="auto"/>
              <w:bottom w:val="nil" w:sz="6" w:space="0" w:color="auto"/>
              <w:right w:val="nil" w:sz="6" w:space="0" w:color="auto"/>
            </w:tcBorders>
          </w:tcPr>
          <w:p>
            <w:pPr>
              <w:pStyle w:val="TableParagraph"/>
              <w:spacing w:line="246" w:lineRule="exact"/>
              <w:ind w:left="308" w:right="0" w:firstLine="828"/>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89" w:lineRule="exact"/>
              <w:ind w:left="308" w:right="0"/>
              <w:jc w:val="left"/>
              <w:rPr>
                <w:rFonts w:ascii="宋体" w:hAnsi="宋体" w:cs="宋体" w:eastAsia="宋体" w:hint="default"/>
                <w:sz w:val="21"/>
                <w:szCs w:val="21"/>
              </w:rPr>
            </w:pPr>
            <w:r>
              <w:rPr>
                <w:rFonts w:ascii="Arial" w:hAnsi="Arial" w:cs="Arial" w:eastAsia="Arial" w:hint="default"/>
                <w:sz w:val="21"/>
                <w:szCs w:val="21"/>
              </w:rPr>
              <w:t>19,085.00</w:t>
            </w:r>
            <w:r>
              <w:rPr>
                <w:rFonts w:ascii="Arial" w:hAnsi="Arial" w:cs="Arial" w:eastAsia="Arial" w:hint="default"/>
                <w:spacing w:val="49"/>
                <w:sz w:val="21"/>
                <w:szCs w:val="21"/>
              </w:rPr>
              <w:t> </w:t>
            </w:r>
            <w:r>
              <w:rPr>
                <w:rFonts w:ascii="宋体" w:hAnsi="宋体" w:cs="宋体" w:eastAsia="宋体" w:hint="default"/>
                <w:sz w:val="21"/>
                <w:szCs w:val="21"/>
              </w:rPr>
              <w:t>万元</w:t>
            </w:r>
          </w:p>
        </w:tc>
        <w:tc>
          <w:tcPr>
            <w:tcW w:w="1675" w:type="dxa"/>
            <w:tcBorders>
              <w:top w:val="nil" w:sz="6" w:space="0" w:color="auto"/>
              <w:left w:val="nil" w:sz="6" w:space="0" w:color="auto"/>
              <w:bottom w:val="nil" w:sz="6" w:space="0" w:color="auto"/>
              <w:right w:val="nil" w:sz="6" w:space="0" w:color="auto"/>
            </w:tcBorders>
          </w:tcPr>
          <w:p>
            <w:pPr>
              <w:pStyle w:val="TableParagraph"/>
              <w:spacing w:line="246" w:lineRule="exact"/>
              <w:ind w:left="361" w:right="0" w:hanging="212"/>
              <w:jc w:val="left"/>
              <w:rPr>
                <w:rFonts w:ascii="宋体" w:hAnsi="宋体" w:cs="宋体" w:eastAsia="宋体" w:hint="default"/>
                <w:sz w:val="21"/>
                <w:szCs w:val="21"/>
              </w:rPr>
            </w:pPr>
            <w:r>
              <w:rPr>
                <w:rFonts w:ascii="宋体" w:hAnsi="宋体" w:cs="宋体" w:eastAsia="宋体" w:hint="default"/>
                <w:sz w:val="21"/>
                <w:szCs w:val="21"/>
              </w:rPr>
              <w:t>电器和电子消费</w:t>
            </w:r>
          </w:p>
          <w:p>
            <w:pPr>
              <w:pStyle w:val="TableParagraph"/>
              <w:spacing w:line="274" w:lineRule="exact"/>
              <w:ind w:left="361" w:right="0"/>
              <w:jc w:val="left"/>
              <w:rPr>
                <w:rFonts w:ascii="宋体" w:hAnsi="宋体" w:cs="宋体" w:eastAsia="宋体" w:hint="default"/>
                <w:sz w:val="21"/>
                <w:szCs w:val="21"/>
              </w:rPr>
            </w:pPr>
            <w:r>
              <w:rPr>
                <w:rFonts w:ascii="宋体" w:hAnsi="宋体" w:cs="宋体" w:eastAsia="宋体" w:hint="default"/>
                <w:sz w:val="21"/>
                <w:szCs w:val="21"/>
              </w:rPr>
              <w:t>品的连锁销售</w:t>
            </w:r>
          </w:p>
        </w:tc>
        <w:tc>
          <w:tcPr>
            <w:tcW w:w="1468" w:type="dxa"/>
            <w:tcBorders>
              <w:top w:val="nil" w:sz="6" w:space="0" w:color="auto"/>
              <w:left w:val="nil" w:sz="6" w:space="0" w:color="auto"/>
              <w:bottom w:val="nil" w:sz="6" w:space="0" w:color="auto"/>
              <w:right w:val="nil" w:sz="6" w:space="0" w:color="auto"/>
            </w:tcBorders>
          </w:tcPr>
          <w:p>
            <w:pPr>
              <w:pStyle w:val="TableParagraph"/>
              <w:spacing w:line="247" w:lineRule="exact"/>
              <w:ind w:right="100"/>
              <w:jc w:val="center"/>
              <w:rPr>
                <w:rFonts w:ascii="宋体" w:hAnsi="宋体" w:cs="宋体" w:eastAsia="宋体" w:hint="default"/>
                <w:sz w:val="21"/>
                <w:szCs w:val="21"/>
              </w:rPr>
            </w:pPr>
            <w:r>
              <w:rPr>
                <w:rFonts w:ascii="宋体" w:hAnsi="宋体" w:cs="宋体" w:eastAsia="宋体" w:hint="default"/>
                <w:sz w:val="21"/>
                <w:szCs w:val="21"/>
              </w:rPr>
              <w:t>有限责任公司</w:t>
            </w:r>
          </w:p>
        </w:tc>
        <w:tc>
          <w:tcPr>
            <w:tcW w:w="1369" w:type="dxa"/>
            <w:tcBorders>
              <w:top w:val="nil" w:sz="6" w:space="0" w:color="auto"/>
              <w:left w:val="nil" w:sz="6" w:space="0" w:color="auto"/>
              <w:bottom w:val="nil" w:sz="6" w:space="0" w:color="auto"/>
              <w:right w:val="nil" w:sz="6" w:space="0" w:color="auto"/>
            </w:tcBorders>
          </w:tcPr>
          <w:p>
            <w:pPr>
              <w:pStyle w:val="TableParagraph"/>
              <w:spacing w:line="247" w:lineRule="exact"/>
              <w:ind w:right="277"/>
              <w:jc w:val="right"/>
              <w:rPr>
                <w:rFonts w:ascii="宋体" w:hAnsi="宋体" w:cs="宋体" w:eastAsia="宋体" w:hint="default"/>
                <w:sz w:val="21"/>
                <w:szCs w:val="21"/>
              </w:rPr>
            </w:pPr>
            <w:r>
              <w:rPr>
                <w:rFonts w:ascii="宋体" w:hAnsi="宋体" w:cs="宋体" w:eastAsia="宋体" w:hint="default"/>
                <w:sz w:val="21"/>
                <w:szCs w:val="21"/>
              </w:rPr>
              <w:t>陈金凤</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1"/>
                <w:szCs w:val="21"/>
              </w:rPr>
            </w:pPr>
            <w:r>
              <w:rPr>
                <w:rFonts w:ascii="Arial"/>
                <w:spacing w:val="-1"/>
                <w:sz w:val="21"/>
              </w:rPr>
              <w:t>76178508-4</w:t>
            </w:r>
          </w:p>
        </w:tc>
      </w:tr>
    </w:tbl>
    <w:p>
      <w:pPr>
        <w:spacing w:after="0" w:line="240" w:lineRule="auto"/>
        <w:jc w:val="right"/>
        <w:rPr>
          <w:rFonts w:ascii="Arial" w:hAnsi="Arial" w:cs="Arial" w:eastAsia="Arial" w:hint="default"/>
          <w:sz w:val="21"/>
          <w:szCs w:val="21"/>
        </w:rPr>
        <w:sectPr>
          <w:pgSz w:w="16850" w:h="11910" w:orient="landscape"/>
          <w:pgMar w:header="1474" w:footer="954" w:top="2960" w:bottom="1140" w:left="158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60007pt;width:686.5pt;height:.1pt;mso-position-horizontal-relative:page;mso-position-vertical-relative:page;z-index:-1359760" coordorigin="1700,3029" coordsize="13730,2">
            <v:shape style="position:absolute;left:1700;top:3029;width:13730;height:2" coordorigin="1700,3029" coordsize="13730,0" path="m1700,3029l15430,3029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529"/>
        <w:gridCol w:w="1667"/>
        <w:gridCol w:w="1674"/>
        <w:gridCol w:w="1620"/>
        <w:gridCol w:w="691"/>
        <w:gridCol w:w="922"/>
        <w:gridCol w:w="763"/>
        <w:gridCol w:w="1735"/>
        <w:gridCol w:w="1574"/>
      </w:tblGrid>
      <w:tr>
        <w:trPr>
          <w:trHeight w:val="699"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8"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3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7"/>
              <w:ind w:left="207"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20"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588"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(1)</w:t>
            </w:r>
          </w:p>
        </w:tc>
        <w:tc>
          <w:tcPr>
            <w:tcW w:w="3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Arial" w:hAnsi="Arial" w:cs="Arial" w:eastAsia="Arial" w:hint="default"/>
                <w:sz w:val="24"/>
                <w:szCs w:val="24"/>
              </w:rPr>
            </w:pP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20"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588"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(a)</w:t>
            </w:r>
          </w:p>
        </w:tc>
        <w:tc>
          <w:tcPr>
            <w:tcW w:w="49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207"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1223"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89" w:right="249" w:hanging="209"/>
              <w:jc w:val="left"/>
              <w:rPr>
                <w:rFonts w:ascii="宋体" w:hAnsi="宋体" w:cs="宋体" w:eastAsia="宋体" w:hint="default"/>
                <w:sz w:val="21"/>
                <w:szCs w:val="21"/>
              </w:rPr>
            </w:pPr>
            <w:r>
              <w:rPr>
                <w:rFonts w:ascii="宋体" w:hAnsi="宋体" w:cs="宋体" w:eastAsia="宋体" w:hint="default"/>
                <w:spacing w:val="-1"/>
                <w:sz w:val="21"/>
                <w:szCs w:val="21"/>
              </w:rPr>
              <w:t>年末实际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出资额</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1" w:right="104"/>
              <w:jc w:val="left"/>
              <w:rPr>
                <w:rFonts w:ascii="宋体" w:hAnsi="宋体" w:cs="宋体" w:eastAsia="宋体" w:hint="default"/>
                <w:sz w:val="21"/>
                <w:szCs w:val="21"/>
              </w:rPr>
            </w:pPr>
            <w:r>
              <w:rPr>
                <w:rFonts w:ascii="宋体" w:hAnsi="宋体" w:cs="宋体" w:eastAsia="宋体" w:hint="default"/>
                <w:spacing w:val="-1"/>
                <w:sz w:val="21"/>
                <w:szCs w:val="21"/>
              </w:rPr>
              <w:t>实质上构成对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子公司净投资</w:t>
            </w:r>
          </w:p>
          <w:p>
            <w:pPr>
              <w:pStyle w:val="TableParagraph"/>
              <w:spacing w:line="272" w:lineRule="exact" w:before="26"/>
              <w:ind w:left="251" w:right="104" w:firstLine="104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1"/>
                <w:sz w:val="21"/>
                <w:szCs w:val="21"/>
              </w:rPr>
              <w:t>其他项目余额</w:t>
            </w:r>
          </w:p>
        </w:tc>
        <w:tc>
          <w:tcPr>
            <w:tcW w:w="691" w:type="dxa"/>
            <w:tcBorders>
              <w:top w:val="nil" w:sz="6" w:space="0" w:color="auto"/>
              <w:left w:val="nil" w:sz="6" w:space="0" w:color="auto"/>
              <w:bottom w:val="nil" w:sz="6" w:space="0" w:color="auto"/>
              <w:right w:val="nil" w:sz="6" w:space="0" w:color="auto"/>
            </w:tcBorders>
          </w:tcPr>
          <w:p>
            <w:pPr>
              <w:pStyle w:val="TableParagraph"/>
              <w:spacing w:line="252" w:lineRule="auto" w:before="102"/>
              <w:ind w:left="140" w:right="123" w:firstLine="2"/>
              <w:jc w:val="both"/>
              <w:rPr>
                <w:rFonts w:ascii="Arial" w:hAnsi="Arial" w:cs="Arial" w:eastAsia="Arial"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Arial" w:hAnsi="Arial" w:cs="Arial" w:eastAsia="Arial" w:hint="default"/>
                <w:sz w:val="21"/>
                <w:szCs w:val="21"/>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121"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33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8"/>
              <w:ind w:left="426" w:right="0"/>
              <w:jc w:val="left"/>
              <w:rPr>
                <w:rFonts w:ascii="Arial" w:hAnsi="Arial" w:cs="Arial" w:eastAsia="Arial" w:hint="default"/>
                <w:sz w:val="21"/>
                <w:szCs w:val="21"/>
              </w:rPr>
            </w:pPr>
            <w:r>
              <w:rPr>
                <w:rFonts w:ascii="Arial"/>
                <w:sz w:val="21"/>
              </w:rPr>
              <w:t>(%)</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66" w:right="17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8"/>
              <w:jc w:val="right"/>
              <w:rPr>
                <w:rFonts w:ascii="宋体" w:hAnsi="宋体" w:cs="宋体" w:eastAsia="宋体" w:hint="default"/>
                <w:sz w:val="21"/>
                <w:szCs w:val="21"/>
              </w:rPr>
            </w:pPr>
            <w:r>
              <w:rPr>
                <w:rFonts w:ascii="宋体" w:hAnsi="宋体" w:cs="宋体" w:eastAsia="宋体" w:hint="default"/>
                <w:spacing w:val="-1"/>
                <w:sz w:val="21"/>
                <w:szCs w:val="21"/>
              </w:rPr>
              <w:t>少数股东权益</w:t>
            </w:r>
          </w:p>
        </w:tc>
        <w:tc>
          <w:tcPr>
            <w:tcW w:w="1574"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320" w:right="198"/>
              <w:jc w:val="both"/>
              <w:rPr>
                <w:rFonts w:ascii="宋体" w:hAnsi="宋体" w:cs="宋体" w:eastAsia="宋体" w:hint="default"/>
                <w:sz w:val="21"/>
                <w:szCs w:val="21"/>
              </w:rPr>
            </w:pPr>
            <w:r>
              <w:rPr>
                <w:rFonts w:ascii="宋体" w:hAnsi="宋体" w:cs="宋体" w:eastAsia="宋体" w:hint="default"/>
                <w:spacing w:val="-1"/>
                <w:sz w:val="21"/>
                <w:szCs w:val="21"/>
              </w:rPr>
              <w:t>少数股东权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益中用于冲</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减少数股东</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损益的金额</w:t>
            </w:r>
          </w:p>
        </w:tc>
      </w:tr>
      <w:tr>
        <w:trPr>
          <w:trHeight w:val="475"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11" w:lineRule="exact"/>
              <w:ind w:right="169"/>
              <w:jc w:val="center"/>
              <w:rPr>
                <w:rFonts w:ascii="宋体" w:hAnsi="宋体" w:cs="宋体" w:eastAsia="宋体" w:hint="default"/>
                <w:sz w:val="18"/>
                <w:szCs w:val="18"/>
              </w:rPr>
            </w:pPr>
            <w:r>
              <w:rPr>
                <w:rFonts w:ascii="宋体" w:hAnsi="宋体" w:cs="宋体" w:eastAsia="宋体" w:hint="default"/>
                <w:sz w:val="18"/>
                <w:szCs w:val="18"/>
              </w:rPr>
              <w:t>北京苏宁电器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11" w:lineRule="exact"/>
              <w:ind w:left="211" w:right="0" w:firstLine="652"/>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211" w:right="0"/>
              <w:jc w:val="left"/>
              <w:rPr>
                <w:rFonts w:ascii="宋体" w:hAnsi="宋体" w:cs="宋体" w:eastAsia="宋体" w:hint="default"/>
                <w:sz w:val="18"/>
                <w:szCs w:val="18"/>
              </w:rPr>
            </w:pPr>
            <w:r>
              <w:rPr>
                <w:rFonts w:ascii="Arial" w:hAnsi="Arial" w:cs="Arial" w:eastAsia="Arial" w:hint="default"/>
                <w:sz w:val="18"/>
                <w:szCs w:val="18"/>
              </w:rPr>
              <w:t>67,113.24</w:t>
            </w:r>
            <w:r>
              <w:rPr>
                <w:rFonts w:ascii="Arial" w:hAnsi="Arial" w:cs="Arial" w:eastAsia="Arial" w:hint="default"/>
                <w:spacing w:val="-20"/>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11"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上海苏宁电器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60,752.38</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广东苏宁电器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30,400.00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left="207" w:right="0"/>
              <w:jc w:val="left"/>
              <w:rPr>
                <w:rFonts w:ascii="宋体" w:hAnsi="宋体" w:cs="宋体" w:eastAsia="宋体" w:hint="default"/>
                <w:sz w:val="18"/>
                <w:szCs w:val="18"/>
              </w:rPr>
            </w:pPr>
            <w:r>
              <w:rPr>
                <w:rFonts w:ascii="宋体" w:hAnsi="宋体" w:cs="宋体" w:eastAsia="宋体" w:hint="default"/>
                <w:sz w:val="18"/>
                <w:szCs w:val="18"/>
              </w:rPr>
              <w:t>深圳市苏宁电器</w:t>
            </w: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20,380.79</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left="207" w:right="0"/>
              <w:jc w:val="left"/>
              <w:rPr>
                <w:rFonts w:ascii="宋体" w:hAnsi="宋体" w:cs="宋体" w:eastAsia="宋体" w:hint="default"/>
                <w:sz w:val="18"/>
                <w:szCs w:val="18"/>
              </w:rPr>
            </w:pPr>
            <w:r>
              <w:rPr>
                <w:rFonts w:ascii="宋体" w:hAnsi="宋体" w:cs="宋体" w:eastAsia="宋体" w:hint="default"/>
                <w:sz w:val="18"/>
                <w:szCs w:val="18"/>
              </w:rPr>
              <w:t>天津天宁苏宁</w:t>
            </w: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297" w:right="0" w:firstLine="566"/>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297" w:right="0"/>
              <w:jc w:val="left"/>
              <w:rPr>
                <w:rFonts w:ascii="宋体" w:hAnsi="宋体" w:cs="宋体" w:eastAsia="宋体" w:hint="default"/>
                <w:sz w:val="18"/>
                <w:szCs w:val="18"/>
              </w:rPr>
            </w:pPr>
            <w:r>
              <w:rPr>
                <w:rFonts w:ascii="Arial" w:hAnsi="Arial" w:cs="Arial" w:eastAsia="Arial" w:hint="default"/>
                <w:sz w:val="18"/>
                <w:szCs w:val="18"/>
              </w:rPr>
              <w:t>9,290.08</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9"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4" w:lineRule="exact"/>
              <w:ind w:left="207" w:right="0"/>
              <w:jc w:val="left"/>
              <w:rPr>
                <w:rFonts w:ascii="宋体" w:hAnsi="宋体" w:cs="宋体" w:eastAsia="宋体" w:hint="default"/>
                <w:sz w:val="18"/>
                <w:szCs w:val="18"/>
              </w:rPr>
            </w:pPr>
            <w:r>
              <w:rPr>
                <w:rFonts w:ascii="宋体" w:hAnsi="宋体" w:cs="宋体" w:eastAsia="宋体" w:hint="default"/>
                <w:sz w:val="18"/>
                <w:szCs w:val="18"/>
              </w:rPr>
              <w:t>重庆渝宁苏宁</w:t>
            </w: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4"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38,144.97</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4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四川苏宁电器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24,742.44</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763" w:type="dxa"/>
            <w:tcBorders>
              <w:top w:val="nil" w:sz="6" w:space="0" w:color="auto"/>
              <w:left w:val="nil" w:sz="6" w:space="0" w:color="auto"/>
              <w:bottom w:val="nil" w:sz="6" w:space="0" w:color="auto"/>
              <w:right w:val="nil" w:sz="6" w:space="0" w:color="auto"/>
            </w:tcBorders>
          </w:tcPr>
          <w:p>
            <w:pPr>
              <w:pStyle w:val="TableParagraph"/>
              <w:spacing w:line="204" w:lineRule="exact"/>
              <w:ind w:right="150"/>
              <w:jc w:val="right"/>
              <w:rPr>
                <w:rFonts w:ascii="宋体" w:hAnsi="宋体" w:cs="宋体" w:eastAsia="宋体" w:hint="default"/>
                <w:sz w:val="18"/>
                <w:szCs w:val="18"/>
              </w:rPr>
            </w:pPr>
            <w:r>
              <w:rPr>
                <w:rFonts w:ascii="宋体" w:hAnsi="宋体" w:cs="宋体" w:eastAsia="宋体" w:hint="default"/>
                <w:sz w:val="18"/>
                <w:szCs w:val="18"/>
              </w:rPr>
              <w:t>是</w:t>
            </w:r>
          </w:p>
        </w:tc>
        <w:tc>
          <w:tcPr>
            <w:tcW w:w="1735" w:type="dxa"/>
            <w:tcBorders>
              <w:top w:val="nil" w:sz="6" w:space="0" w:color="auto"/>
              <w:left w:val="nil" w:sz="6" w:space="0" w:color="auto"/>
              <w:bottom w:val="nil" w:sz="6" w:space="0" w:color="auto"/>
              <w:right w:val="nil" w:sz="6" w:space="0" w:color="auto"/>
            </w:tcBorders>
          </w:tcPr>
          <w:p>
            <w:pPr>
              <w:pStyle w:val="TableParagraph"/>
              <w:spacing w:line="204" w:lineRule="exact"/>
              <w:ind w:right="356"/>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bl>
    <w:p>
      <w:pPr>
        <w:spacing w:after="0" w:line="204" w:lineRule="exact"/>
        <w:jc w:val="right"/>
        <w:rPr>
          <w:rFonts w:ascii="Arial" w:hAnsi="Arial" w:cs="Arial" w:eastAsia="Arial" w:hint="default"/>
          <w:sz w:val="18"/>
          <w:szCs w:val="18"/>
        </w:rPr>
        <w:sectPr>
          <w:pgSz w:w="16850" w:h="11910" w:orient="landscape"/>
          <w:pgMar w:header="1474" w:footer="954" w:top="2960" w:bottom="1140" w:left="158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60007pt;width:686.5pt;height:.1pt;mso-position-horizontal-relative:page;mso-position-vertical-relative:page;z-index:-1359736" coordorigin="1700,3029" coordsize="13730,2">
            <v:shape style="position:absolute;left:1700;top:3029;width:13730;height:2" coordorigin="1700,3029" coordsize="13730,0" path="m1700,3029l15430,3029e" filled="false" stroked="true" strokeweight=".72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529"/>
        <w:gridCol w:w="1667"/>
        <w:gridCol w:w="1674"/>
        <w:gridCol w:w="1620"/>
        <w:gridCol w:w="691"/>
        <w:gridCol w:w="922"/>
        <w:gridCol w:w="808"/>
        <w:gridCol w:w="1572"/>
        <w:gridCol w:w="1575"/>
      </w:tblGrid>
      <w:tr>
        <w:trPr>
          <w:trHeight w:val="699"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8"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3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7"/>
              <w:ind w:left="207"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20"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588"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(1)</w:t>
            </w:r>
          </w:p>
        </w:tc>
        <w:tc>
          <w:tcPr>
            <w:tcW w:w="3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Arial" w:hAnsi="Arial" w:cs="Arial" w:eastAsia="Arial" w:hint="default"/>
                <w:sz w:val="24"/>
                <w:szCs w:val="24"/>
              </w:rPr>
            </w:pP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20"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588" w:hRule="exact"/>
        </w:trPr>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(a)</w:t>
            </w:r>
          </w:p>
        </w:tc>
        <w:tc>
          <w:tcPr>
            <w:tcW w:w="49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207" w:right="0"/>
              <w:jc w:val="left"/>
              <w:rPr>
                <w:rFonts w:ascii="Arial" w:hAnsi="Arial" w:cs="Arial" w:eastAsia="Arial" w:hint="default"/>
                <w:sz w:val="24"/>
                <w:szCs w:val="24"/>
              </w:rPr>
            </w:pPr>
            <w:r>
              <w:rPr>
                <w:rFonts w:ascii="宋体" w:hAnsi="宋体" w:cs="宋体" w:eastAsia="宋体" w:hint="default"/>
                <w:sz w:val="24"/>
                <w:szCs w:val="24"/>
              </w:rPr>
              <w:t>通过设立或投资等方式取得的主要子公司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69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80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r>
      <w:tr>
        <w:trPr>
          <w:trHeight w:val="1223"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89" w:right="249" w:hanging="209"/>
              <w:jc w:val="left"/>
              <w:rPr>
                <w:rFonts w:ascii="宋体" w:hAnsi="宋体" w:cs="宋体" w:eastAsia="宋体" w:hint="default"/>
                <w:sz w:val="21"/>
                <w:szCs w:val="21"/>
              </w:rPr>
            </w:pPr>
            <w:r>
              <w:rPr>
                <w:rFonts w:ascii="宋体" w:hAnsi="宋体" w:cs="宋体" w:eastAsia="宋体" w:hint="default"/>
                <w:spacing w:val="-1"/>
                <w:sz w:val="21"/>
                <w:szCs w:val="21"/>
              </w:rPr>
              <w:t>年末实际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出资额</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1" w:right="104"/>
              <w:jc w:val="left"/>
              <w:rPr>
                <w:rFonts w:ascii="宋体" w:hAnsi="宋体" w:cs="宋体" w:eastAsia="宋体" w:hint="default"/>
                <w:sz w:val="21"/>
                <w:szCs w:val="21"/>
              </w:rPr>
            </w:pPr>
            <w:r>
              <w:rPr>
                <w:rFonts w:ascii="宋体" w:hAnsi="宋体" w:cs="宋体" w:eastAsia="宋体" w:hint="default"/>
                <w:spacing w:val="-1"/>
                <w:sz w:val="21"/>
                <w:szCs w:val="21"/>
              </w:rPr>
              <w:t>实质上构成对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子公司净投资</w:t>
            </w:r>
          </w:p>
          <w:p>
            <w:pPr>
              <w:pStyle w:val="TableParagraph"/>
              <w:spacing w:line="272" w:lineRule="exact" w:before="26"/>
              <w:ind w:left="251" w:right="104" w:firstLine="1048"/>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1"/>
                <w:sz w:val="21"/>
                <w:szCs w:val="21"/>
              </w:rPr>
              <w:t>其他项目余额</w:t>
            </w:r>
          </w:p>
        </w:tc>
        <w:tc>
          <w:tcPr>
            <w:tcW w:w="691" w:type="dxa"/>
            <w:tcBorders>
              <w:top w:val="nil" w:sz="6" w:space="0" w:color="auto"/>
              <w:left w:val="nil" w:sz="6" w:space="0" w:color="auto"/>
              <w:bottom w:val="nil" w:sz="6" w:space="0" w:color="auto"/>
              <w:right w:val="nil" w:sz="6" w:space="0" w:color="auto"/>
            </w:tcBorders>
          </w:tcPr>
          <w:p>
            <w:pPr>
              <w:pStyle w:val="TableParagraph"/>
              <w:spacing w:line="252" w:lineRule="auto" w:before="102"/>
              <w:ind w:left="140" w:right="123" w:firstLine="2"/>
              <w:jc w:val="both"/>
              <w:rPr>
                <w:rFonts w:ascii="Arial" w:hAnsi="Arial" w:cs="Arial" w:eastAsia="Arial"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Arial" w:hAnsi="Arial" w:cs="Arial" w:eastAsia="Arial" w:hint="default"/>
                <w:sz w:val="21"/>
                <w:szCs w:val="21"/>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121" w:right="0"/>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4" w:lineRule="exact"/>
              <w:ind w:left="33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8"/>
              <w:ind w:left="426" w:right="0"/>
              <w:jc w:val="left"/>
              <w:rPr>
                <w:rFonts w:ascii="Arial" w:hAnsi="Arial" w:cs="Arial" w:eastAsia="Arial" w:hint="default"/>
                <w:sz w:val="21"/>
                <w:szCs w:val="21"/>
              </w:rPr>
            </w:pPr>
            <w:r>
              <w:rPr>
                <w:rFonts w:ascii="Arial"/>
                <w:sz w:val="21"/>
              </w:rPr>
              <w:t>(%)</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66" w:right="21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572"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196" w:right="0"/>
              <w:jc w:val="left"/>
              <w:rPr>
                <w:rFonts w:ascii="宋体" w:hAnsi="宋体" w:cs="宋体" w:eastAsia="宋体" w:hint="default"/>
                <w:sz w:val="21"/>
                <w:szCs w:val="21"/>
              </w:rPr>
            </w:pPr>
            <w:r>
              <w:rPr>
                <w:rFonts w:ascii="宋体" w:hAnsi="宋体" w:cs="宋体" w:eastAsia="宋体" w:hint="default"/>
                <w:sz w:val="21"/>
                <w:szCs w:val="21"/>
              </w:rPr>
              <w:t>少数股东权</w:t>
            </w:r>
          </w:p>
          <w:p>
            <w:pPr>
              <w:pStyle w:val="TableParagraph"/>
              <w:spacing w:line="274" w:lineRule="exact"/>
              <w:ind w:left="1036"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575" w:type="dxa"/>
            <w:tcBorders>
              <w:top w:val="nil" w:sz="6" w:space="0" w:color="auto"/>
              <w:left w:val="nil" w:sz="6" w:space="0" w:color="auto"/>
              <w:bottom w:val="nil" w:sz="6" w:space="0" w:color="auto"/>
              <w:right w:val="nil" w:sz="6" w:space="0" w:color="auto"/>
            </w:tcBorders>
          </w:tcPr>
          <w:p>
            <w:pPr>
              <w:pStyle w:val="TableParagraph"/>
              <w:spacing w:line="237" w:lineRule="auto" w:before="104"/>
              <w:ind w:left="321" w:right="198"/>
              <w:jc w:val="both"/>
              <w:rPr>
                <w:rFonts w:ascii="宋体" w:hAnsi="宋体" w:cs="宋体" w:eastAsia="宋体" w:hint="default"/>
                <w:sz w:val="21"/>
                <w:szCs w:val="21"/>
              </w:rPr>
            </w:pPr>
            <w:r>
              <w:rPr>
                <w:rFonts w:ascii="宋体" w:hAnsi="宋体" w:cs="宋体" w:eastAsia="宋体" w:hint="default"/>
                <w:spacing w:val="-1"/>
                <w:sz w:val="21"/>
                <w:szCs w:val="21"/>
              </w:rPr>
              <w:t>少数股东权</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益中用于冲</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减少数股东</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损益的金额</w:t>
            </w:r>
          </w:p>
        </w:tc>
      </w:tr>
      <w:tr>
        <w:trPr>
          <w:trHeight w:val="475"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11" w:lineRule="exact"/>
              <w:ind w:left="207" w:right="0"/>
              <w:jc w:val="left"/>
              <w:rPr>
                <w:rFonts w:ascii="宋体" w:hAnsi="宋体" w:cs="宋体" w:eastAsia="宋体" w:hint="default"/>
                <w:sz w:val="18"/>
                <w:szCs w:val="18"/>
              </w:rPr>
            </w:pPr>
            <w:r>
              <w:rPr>
                <w:rFonts w:ascii="宋体" w:hAnsi="宋体" w:cs="宋体" w:eastAsia="宋体" w:hint="default"/>
                <w:sz w:val="18"/>
                <w:szCs w:val="18"/>
              </w:rPr>
              <w:t>陕西苏宁电器</w:t>
            </w: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11"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14,495.81</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11"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浙江苏宁电器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34,870.86</w:t>
            </w:r>
            <w:r>
              <w:rPr>
                <w:rFonts w:ascii="Arial" w:hAnsi="Arial" w:cs="Arial" w:eastAsia="Arial" w:hint="default"/>
                <w:spacing w:val="-8"/>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山东苏宁电器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297" w:right="0" w:firstLine="566"/>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297" w:right="0"/>
              <w:jc w:val="left"/>
              <w:rPr>
                <w:rFonts w:ascii="宋体" w:hAnsi="宋体" w:cs="宋体" w:eastAsia="宋体" w:hint="default"/>
                <w:sz w:val="18"/>
                <w:szCs w:val="18"/>
              </w:rPr>
            </w:pPr>
            <w:r>
              <w:rPr>
                <w:rFonts w:ascii="Arial" w:hAnsi="Arial" w:cs="Arial" w:eastAsia="Arial" w:hint="default"/>
                <w:sz w:val="18"/>
                <w:szCs w:val="18"/>
              </w:rPr>
              <w:t>1,782.00</w:t>
            </w:r>
            <w:r>
              <w:rPr>
                <w:rFonts w:ascii="Arial" w:hAnsi="Arial" w:cs="Arial" w:eastAsia="Arial" w:hint="default"/>
                <w:spacing w:val="-6"/>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武汉苏宁电器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35,879.00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沈阳苏宁电器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31,859.97</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69"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4" w:lineRule="exact"/>
              <w:ind w:left="207" w:right="0"/>
              <w:jc w:val="left"/>
              <w:rPr>
                <w:rFonts w:ascii="宋体" w:hAnsi="宋体" w:cs="宋体" w:eastAsia="宋体" w:hint="default"/>
                <w:sz w:val="18"/>
                <w:szCs w:val="18"/>
              </w:rPr>
            </w:pPr>
            <w:r>
              <w:rPr>
                <w:rFonts w:ascii="宋体" w:hAnsi="宋体" w:cs="宋体" w:eastAsia="宋体" w:hint="default"/>
                <w:sz w:val="18"/>
                <w:szCs w:val="18"/>
              </w:rPr>
              <w:t>上海长宁苏宁</w:t>
            </w: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电器有限公司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4"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55,818.60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448" w:hRule="exact"/>
        </w:trPr>
        <w:tc>
          <w:tcPr>
            <w:tcW w:w="52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03" w:lineRule="exact"/>
              <w:ind w:right="169"/>
              <w:jc w:val="center"/>
              <w:rPr>
                <w:rFonts w:ascii="宋体" w:hAnsi="宋体" w:cs="宋体" w:eastAsia="宋体" w:hint="default"/>
                <w:sz w:val="18"/>
                <w:szCs w:val="18"/>
              </w:rPr>
            </w:pPr>
            <w:r>
              <w:rPr>
                <w:rFonts w:ascii="宋体" w:hAnsi="宋体" w:cs="宋体" w:eastAsia="宋体" w:hint="default"/>
                <w:sz w:val="18"/>
                <w:szCs w:val="18"/>
              </w:rPr>
              <w:t>福建苏宁电器</w:t>
            </w:r>
          </w:p>
          <w:p>
            <w:pPr>
              <w:pStyle w:val="TableParagraph"/>
              <w:spacing w:line="240" w:lineRule="auto"/>
              <w:ind w:right="169"/>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firstLine="664"/>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9" w:right="0"/>
              <w:jc w:val="left"/>
              <w:rPr>
                <w:rFonts w:ascii="宋体" w:hAnsi="宋体" w:cs="宋体" w:eastAsia="宋体" w:hint="default"/>
                <w:sz w:val="18"/>
                <w:szCs w:val="18"/>
              </w:rPr>
            </w:pPr>
            <w:r>
              <w:rPr>
                <w:rFonts w:ascii="Arial" w:hAnsi="Arial" w:cs="Arial" w:eastAsia="Arial" w:hint="default"/>
                <w:sz w:val="18"/>
                <w:szCs w:val="18"/>
              </w:rPr>
              <w:t>22,012.60</w:t>
            </w:r>
            <w:r>
              <w:rPr>
                <w:rFonts w:ascii="Arial" w:hAnsi="Arial" w:cs="Arial" w:eastAsia="Arial" w:hint="default"/>
                <w:spacing w:val="-9"/>
                <w:sz w:val="18"/>
                <w:szCs w:val="18"/>
              </w:rPr>
              <w:t> </w:t>
            </w:r>
            <w:r>
              <w:rPr>
                <w:rFonts w:ascii="宋体" w:hAnsi="宋体" w:cs="宋体" w:eastAsia="宋体" w:hint="default"/>
                <w:sz w:val="18"/>
                <w:szCs w:val="18"/>
              </w:rPr>
              <w:t>万元</w:t>
            </w:r>
          </w:p>
        </w:tc>
        <w:tc>
          <w:tcPr>
            <w:tcW w:w="1620" w:type="dxa"/>
            <w:tcBorders>
              <w:top w:val="nil" w:sz="6" w:space="0" w:color="auto"/>
              <w:left w:val="nil" w:sz="6" w:space="0" w:color="auto"/>
              <w:bottom w:val="nil" w:sz="6" w:space="0" w:color="auto"/>
              <w:right w:val="nil" w:sz="6" w:space="0" w:color="auto"/>
            </w:tcBorders>
          </w:tcPr>
          <w:p>
            <w:pPr>
              <w:pStyle w:val="TableParagraph"/>
              <w:spacing w:line="204" w:lineRule="exact"/>
              <w:ind w:right="145"/>
              <w:jc w:val="right"/>
              <w:rPr>
                <w:rFonts w:ascii="Arial" w:hAnsi="Arial" w:cs="Arial" w:eastAsia="Arial" w:hint="default"/>
                <w:sz w:val="18"/>
                <w:szCs w:val="18"/>
              </w:rPr>
            </w:pPr>
            <w:r>
              <w:rPr>
                <w:rFonts w:ascii="Arial"/>
                <w:w w:val="99"/>
                <w:sz w:val="18"/>
              </w:rPr>
              <w:t>-</w:t>
            </w:r>
            <w:r>
              <w:rPr>
                <w:rFonts w:ascii="Arial"/>
                <w:sz w:val="18"/>
              </w:rPr>
            </w:r>
          </w:p>
        </w:tc>
        <w:tc>
          <w:tcPr>
            <w:tcW w:w="691"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Arial" w:hAnsi="Arial" w:cs="Arial" w:eastAsia="Arial" w:hint="default"/>
                <w:sz w:val="18"/>
                <w:szCs w:val="18"/>
              </w:rPr>
            </w:pPr>
            <w:r>
              <w:rPr>
                <w:rFonts w:ascii="Arial"/>
                <w:sz w:val="18"/>
              </w:rPr>
              <w:t>100%</w:t>
            </w:r>
          </w:p>
        </w:tc>
        <w:tc>
          <w:tcPr>
            <w:tcW w:w="922" w:type="dxa"/>
            <w:tcBorders>
              <w:top w:val="nil" w:sz="6" w:space="0" w:color="auto"/>
              <w:left w:val="nil" w:sz="6" w:space="0" w:color="auto"/>
              <w:bottom w:val="nil" w:sz="6" w:space="0" w:color="auto"/>
              <w:right w:val="nil" w:sz="6" w:space="0" w:color="auto"/>
            </w:tcBorders>
          </w:tcPr>
          <w:p>
            <w:pPr>
              <w:pStyle w:val="TableParagraph"/>
              <w:spacing w:line="204" w:lineRule="exact"/>
              <w:ind w:left="224" w:right="0"/>
              <w:jc w:val="left"/>
              <w:rPr>
                <w:rFonts w:ascii="Arial" w:hAnsi="Arial" w:cs="Arial" w:eastAsia="Arial" w:hint="default"/>
                <w:sz w:val="18"/>
                <w:szCs w:val="18"/>
              </w:rPr>
            </w:pPr>
            <w:r>
              <w:rPr>
                <w:rFonts w:ascii="Arial"/>
                <w:sz w:val="18"/>
              </w:rPr>
              <w:t>100%</w:t>
            </w:r>
          </w:p>
        </w:tc>
        <w:tc>
          <w:tcPr>
            <w:tcW w:w="808" w:type="dxa"/>
            <w:tcBorders>
              <w:top w:val="nil" w:sz="6" w:space="0" w:color="auto"/>
              <w:left w:val="nil" w:sz="6" w:space="0" w:color="auto"/>
              <w:bottom w:val="nil" w:sz="6" w:space="0" w:color="auto"/>
              <w:right w:val="nil" w:sz="6" w:space="0" w:color="auto"/>
            </w:tcBorders>
          </w:tcPr>
          <w:p>
            <w:pPr>
              <w:pStyle w:val="TableParagraph"/>
              <w:spacing w:line="204" w:lineRule="exact"/>
              <w:ind w:right="194"/>
              <w:jc w:val="right"/>
              <w:rPr>
                <w:rFonts w:ascii="宋体" w:hAnsi="宋体" w:cs="宋体" w:eastAsia="宋体" w:hint="default"/>
                <w:sz w:val="18"/>
                <w:szCs w:val="18"/>
              </w:rPr>
            </w:pPr>
            <w:r>
              <w:rPr>
                <w:rFonts w:ascii="宋体" w:hAnsi="宋体" w:cs="宋体" w:eastAsia="宋体" w:hint="default"/>
                <w:sz w:val="18"/>
                <w:szCs w:val="18"/>
              </w:rPr>
              <w:t>是</w:t>
            </w:r>
          </w:p>
        </w:tc>
        <w:tc>
          <w:tcPr>
            <w:tcW w:w="1572" w:type="dxa"/>
            <w:tcBorders>
              <w:top w:val="nil" w:sz="6" w:space="0" w:color="auto"/>
              <w:left w:val="nil" w:sz="6" w:space="0" w:color="auto"/>
              <w:bottom w:val="nil" w:sz="6" w:space="0" w:color="auto"/>
              <w:right w:val="nil" w:sz="6" w:space="0" w:color="auto"/>
            </w:tcBorders>
          </w:tcPr>
          <w:p>
            <w:pPr>
              <w:pStyle w:val="TableParagraph"/>
              <w:spacing w:line="204" w:lineRule="exact"/>
              <w:ind w:right="358"/>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04" w:lineRule="exact"/>
              <w:ind w:right="271"/>
              <w:jc w:val="right"/>
              <w:rPr>
                <w:rFonts w:ascii="Arial" w:hAnsi="Arial" w:cs="Arial" w:eastAsia="Arial" w:hint="default"/>
                <w:sz w:val="18"/>
                <w:szCs w:val="18"/>
              </w:rPr>
            </w:pPr>
            <w:r>
              <w:rPr>
                <w:rFonts w:ascii="Arial"/>
                <w:w w:val="99"/>
                <w:sz w:val="18"/>
              </w:rPr>
              <w:t>-</w:t>
            </w:r>
            <w:r>
              <w:rPr>
                <w:rFonts w:ascii="Arial"/>
                <w:sz w:val="18"/>
              </w:rPr>
            </w:r>
          </w:p>
        </w:tc>
      </w:tr>
    </w:tbl>
    <w:p>
      <w:pPr>
        <w:spacing w:after="0" w:line="204" w:lineRule="exact"/>
        <w:jc w:val="right"/>
        <w:rPr>
          <w:rFonts w:ascii="Arial" w:hAnsi="Arial" w:cs="Arial" w:eastAsia="Arial" w:hint="default"/>
          <w:sz w:val="18"/>
          <w:szCs w:val="18"/>
        </w:rPr>
        <w:sectPr>
          <w:pgSz w:w="16850" w:h="11910" w:orient="landscape"/>
          <w:pgMar w:header="1474" w:footer="954" w:top="2960" w:bottom="1140" w:left="158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516"/>
        <w:gridCol w:w="1600"/>
        <w:gridCol w:w="1842"/>
        <w:gridCol w:w="724"/>
        <w:gridCol w:w="1565"/>
        <w:gridCol w:w="1172"/>
        <w:gridCol w:w="534"/>
        <w:gridCol w:w="883"/>
        <w:gridCol w:w="1000"/>
        <w:gridCol w:w="1478"/>
        <w:gridCol w:w="1140"/>
        <w:gridCol w:w="1277"/>
      </w:tblGrid>
      <w:tr>
        <w:trPr>
          <w:trHeight w:val="459" w:hRule="exact"/>
        </w:trPr>
        <w:tc>
          <w:tcPr>
            <w:tcW w:w="516" w:type="dxa"/>
            <w:tcBorders>
              <w:top w:val="single" w:sz="6" w:space="0" w:color="000000"/>
              <w:left w:val="nil" w:sz="6" w:space="0" w:color="auto"/>
              <w:bottom w:val="nil" w:sz="6" w:space="0" w:color="auto"/>
              <w:right w:val="nil" w:sz="6" w:space="0" w:color="auto"/>
            </w:tcBorders>
          </w:tcPr>
          <w:p>
            <w:pPr>
              <w:pStyle w:val="TableParagraph"/>
              <w:spacing w:line="274" w:lineRule="exact"/>
              <w:ind w:left="28"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3442" w:type="dxa"/>
            <w:gridSpan w:val="2"/>
            <w:tcBorders>
              <w:top w:val="single" w:sz="6" w:space="0" w:color="000000"/>
              <w:left w:val="nil" w:sz="6" w:space="0" w:color="auto"/>
              <w:bottom w:val="nil" w:sz="6" w:space="0" w:color="auto"/>
              <w:right w:val="nil" w:sz="6" w:space="0" w:color="auto"/>
            </w:tcBorders>
          </w:tcPr>
          <w:p>
            <w:pPr>
              <w:pStyle w:val="TableParagraph"/>
              <w:spacing w:line="291" w:lineRule="exact"/>
              <w:ind w:left="193"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724" w:type="dxa"/>
            <w:tcBorders>
              <w:top w:val="single" w:sz="6" w:space="0" w:color="000000"/>
              <w:left w:val="nil" w:sz="6" w:space="0" w:color="auto"/>
              <w:bottom w:val="nil" w:sz="6" w:space="0" w:color="auto"/>
              <w:right w:val="nil" w:sz="6" w:space="0" w:color="auto"/>
            </w:tcBorders>
          </w:tcPr>
          <w:p>
            <w:pPr/>
          </w:p>
        </w:tc>
        <w:tc>
          <w:tcPr>
            <w:tcW w:w="1565" w:type="dxa"/>
            <w:tcBorders>
              <w:top w:val="single" w:sz="6" w:space="0" w:color="000000"/>
              <w:left w:val="nil" w:sz="6" w:space="0" w:color="auto"/>
              <w:bottom w:val="nil" w:sz="6" w:space="0" w:color="auto"/>
              <w:right w:val="nil" w:sz="6" w:space="0" w:color="auto"/>
            </w:tcBorders>
          </w:tcPr>
          <w:p>
            <w:pPr/>
          </w:p>
        </w:tc>
        <w:tc>
          <w:tcPr>
            <w:tcW w:w="1172" w:type="dxa"/>
            <w:tcBorders>
              <w:top w:val="single" w:sz="6" w:space="0" w:color="000000"/>
              <w:left w:val="nil" w:sz="6" w:space="0" w:color="auto"/>
              <w:bottom w:val="nil" w:sz="6" w:space="0" w:color="auto"/>
              <w:right w:val="nil" w:sz="6" w:space="0" w:color="auto"/>
            </w:tcBorders>
          </w:tcPr>
          <w:p>
            <w:pPr/>
          </w:p>
        </w:tc>
        <w:tc>
          <w:tcPr>
            <w:tcW w:w="534" w:type="dxa"/>
            <w:tcBorders>
              <w:top w:val="single" w:sz="6" w:space="0" w:color="000000"/>
              <w:left w:val="nil" w:sz="6" w:space="0" w:color="auto"/>
              <w:bottom w:val="nil" w:sz="6" w:space="0" w:color="auto"/>
              <w:right w:val="nil" w:sz="6" w:space="0" w:color="auto"/>
            </w:tcBorders>
          </w:tcPr>
          <w:p>
            <w:pPr/>
          </w:p>
        </w:tc>
        <w:tc>
          <w:tcPr>
            <w:tcW w:w="883" w:type="dxa"/>
            <w:tcBorders>
              <w:top w:val="single" w:sz="6" w:space="0" w:color="000000"/>
              <w:left w:val="nil" w:sz="6" w:space="0" w:color="auto"/>
              <w:bottom w:val="nil" w:sz="6" w:space="0" w:color="auto"/>
              <w:right w:val="nil" w:sz="6" w:space="0" w:color="auto"/>
            </w:tcBorders>
          </w:tcPr>
          <w:p>
            <w:pPr/>
          </w:p>
        </w:tc>
        <w:tc>
          <w:tcPr>
            <w:tcW w:w="1000" w:type="dxa"/>
            <w:tcBorders>
              <w:top w:val="single" w:sz="6" w:space="0" w:color="000000"/>
              <w:left w:val="nil" w:sz="6" w:space="0" w:color="auto"/>
              <w:bottom w:val="nil" w:sz="6" w:space="0" w:color="auto"/>
              <w:right w:val="nil" w:sz="6" w:space="0" w:color="auto"/>
            </w:tcBorders>
          </w:tcPr>
          <w:p>
            <w:pPr/>
          </w:p>
        </w:tc>
        <w:tc>
          <w:tcPr>
            <w:tcW w:w="1478" w:type="dxa"/>
            <w:tcBorders>
              <w:top w:val="single" w:sz="6" w:space="0" w:color="000000"/>
              <w:left w:val="nil" w:sz="6" w:space="0" w:color="auto"/>
              <w:bottom w:val="nil" w:sz="6" w:space="0" w:color="auto"/>
              <w:right w:val="nil" w:sz="6" w:space="0" w:color="auto"/>
            </w:tcBorders>
          </w:tcPr>
          <w:p>
            <w:pPr/>
          </w:p>
        </w:tc>
        <w:tc>
          <w:tcPr>
            <w:tcW w:w="1140" w:type="dxa"/>
            <w:tcBorders>
              <w:top w:val="single" w:sz="6" w:space="0" w:color="000000"/>
              <w:left w:val="nil" w:sz="6" w:space="0" w:color="auto"/>
              <w:bottom w:val="nil" w:sz="6" w:space="0" w:color="auto"/>
              <w:right w:val="nil" w:sz="6" w:space="0" w:color="auto"/>
            </w:tcBorders>
          </w:tcPr>
          <w:p>
            <w:pPr/>
          </w:p>
        </w:tc>
        <w:tc>
          <w:tcPr>
            <w:tcW w:w="1277" w:type="dxa"/>
            <w:tcBorders>
              <w:top w:val="single" w:sz="6" w:space="0" w:color="000000"/>
              <w:left w:val="nil" w:sz="6" w:space="0" w:color="auto"/>
              <w:bottom w:val="nil" w:sz="6" w:space="0" w:color="auto"/>
              <w:right w:val="nil" w:sz="6" w:space="0" w:color="auto"/>
            </w:tcBorders>
          </w:tcPr>
          <w:p>
            <w:pPr/>
          </w:p>
        </w:tc>
      </w:tr>
      <w:tr>
        <w:trPr>
          <w:trHeight w:val="588" w:hRule="exact"/>
        </w:trPr>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(1)</w:t>
            </w:r>
          </w:p>
        </w:tc>
        <w:tc>
          <w:tcPr>
            <w:tcW w:w="34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93" w:right="0"/>
              <w:jc w:val="left"/>
              <w:rPr>
                <w:rFonts w:ascii="Arial" w:hAnsi="Arial" w:cs="Arial" w:eastAsia="Arial" w:hint="default"/>
                <w:sz w:val="24"/>
                <w:szCs w:val="24"/>
              </w:rPr>
            </w:pPr>
            <w:r>
              <w:rPr>
                <w:rFonts w:ascii="宋体" w:hAnsi="宋体" w:cs="宋体" w:eastAsia="宋体" w:hint="default"/>
                <w:b/>
                <w:bCs/>
                <w:sz w:val="24"/>
                <w:szCs w:val="24"/>
              </w:rPr>
              <w:t>子公司情况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72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587" w:hRule="exact"/>
        </w:trPr>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8" w:right="0"/>
              <w:jc w:val="left"/>
              <w:rPr>
                <w:rFonts w:ascii="Arial" w:hAnsi="Arial" w:cs="Arial" w:eastAsia="Arial" w:hint="default"/>
                <w:sz w:val="24"/>
                <w:szCs w:val="24"/>
              </w:rPr>
            </w:pPr>
            <w:r>
              <w:rPr>
                <w:rFonts w:ascii="Arial"/>
                <w:sz w:val="24"/>
              </w:rPr>
              <w:t>(b)</w:t>
            </w:r>
          </w:p>
        </w:tc>
        <w:tc>
          <w:tcPr>
            <w:tcW w:w="573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6"/>
              <w:ind w:left="193" w:right="0"/>
              <w:jc w:val="left"/>
              <w:rPr>
                <w:rFonts w:ascii="宋体" w:hAnsi="宋体" w:cs="宋体" w:eastAsia="宋体" w:hint="default"/>
                <w:sz w:val="24"/>
                <w:szCs w:val="24"/>
              </w:rPr>
            </w:pPr>
            <w:r>
              <w:rPr>
                <w:rFonts w:ascii="宋体" w:hAnsi="宋体" w:cs="宋体" w:eastAsia="宋体" w:hint="default"/>
                <w:sz w:val="24"/>
                <w:szCs w:val="24"/>
              </w:rPr>
              <w:t>通过非同一控制下的企业合并取得的主要子公司</w:t>
            </w:r>
          </w:p>
        </w:tc>
        <w:tc>
          <w:tcPr>
            <w:tcW w:w="1172"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r>
      <w:tr>
        <w:trPr>
          <w:trHeight w:val="821" w:hRule="exact"/>
        </w:trPr>
        <w:tc>
          <w:tcPr>
            <w:tcW w:w="5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73" w:lineRule="exact" w:before="113"/>
              <w:ind w:left="578" w:right="0"/>
              <w:jc w:val="left"/>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
              <w:jc w:val="right"/>
              <w:rPr>
                <w:rFonts w:ascii="宋体" w:hAnsi="宋体" w:cs="宋体" w:eastAsia="宋体" w:hint="default"/>
                <w:sz w:val="21"/>
                <w:szCs w:val="21"/>
              </w:rPr>
            </w:pPr>
            <w:r>
              <w:rPr>
                <w:rFonts w:ascii="宋体" w:hAnsi="宋体" w:cs="宋体" w:eastAsia="宋体" w:hint="default"/>
                <w:sz w:val="21"/>
                <w:szCs w:val="21"/>
              </w:rPr>
              <w:t>注册地</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6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70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580"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60"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5"/>
              <w:jc w:val="right"/>
              <w:rPr>
                <w:rFonts w:ascii="宋体" w:hAnsi="宋体" w:cs="宋体" w:eastAsia="宋体" w:hint="default"/>
                <w:sz w:val="21"/>
                <w:szCs w:val="21"/>
              </w:rPr>
            </w:pPr>
            <w:r>
              <w:rPr>
                <w:rFonts w:ascii="宋体" w:hAnsi="宋体" w:cs="宋体" w:eastAsia="宋体" w:hint="default"/>
                <w:spacing w:val="-1"/>
                <w:sz w:val="21"/>
                <w:szCs w:val="21"/>
              </w:rPr>
              <w:t>法人代表</w:t>
            </w:r>
          </w:p>
        </w:tc>
        <w:tc>
          <w:tcPr>
            <w:tcW w:w="1277" w:type="dxa"/>
            <w:tcBorders>
              <w:top w:val="nil" w:sz="6" w:space="0" w:color="auto"/>
              <w:left w:val="nil" w:sz="6" w:space="0" w:color="auto"/>
              <w:bottom w:val="nil" w:sz="6" w:space="0" w:color="auto"/>
              <w:right w:val="nil" w:sz="6" w:space="0" w:color="auto"/>
            </w:tcBorders>
          </w:tcPr>
          <w:p>
            <w:pPr>
              <w:pStyle w:val="TableParagraph"/>
              <w:spacing w:line="273" w:lineRule="exact" w:before="113"/>
              <w:ind w:left="237" w:right="0"/>
              <w:jc w:val="left"/>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3" w:lineRule="exact"/>
              <w:ind w:left="657" w:right="0"/>
              <w:jc w:val="left"/>
              <w:rPr>
                <w:rFonts w:ascii="宋体" w:hAnsi="宋体" w:cs="宋体" w:eastAsia="宋体" w:hint="default"/>
                <w:sz w:val="21"/>
                <w:szCs w:val="21"/>
              </w:rPr>
            </w:pPr>
            <w:r>
              <w:rPr>
                <w:rFonts w:ascii="宋体" w:hAnsi="宋体" w:cs="宋体" w:eastAsia="宋体" w:hint="default"/>
                <w:sz w:val="21"/>
                <w:szCs w:val="21"/>
              </w:rPr>
              <w:t>代码</w:t>
            </w:r>
          </w:p>
        </w:tc>
      </w:tr>
      <w:tr>
        <w:trPr>
          <w:trHeight w:val="1100" w:hRule="exact"/>
        </w:trPr>
        <w:tc>
          <w:tcPr>
            <w:tcW w:w="5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82" w:lineRule="exact" w:before="98"/>
              <w:ind w:left="193" w:right="0"/>
              <w:jc w:val="left"/>
              <w:rPr>
                <w:rFonts w:ascii="Arial" w:hAnsi="Arial" w:cs="Arial" w:eastAsia="Arial"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Arial" w:hAnsi="Arial" w:cs="Arial" w:eastAsia="Arial" w:hint="default"/>
                <w:sz w:val="21"/>
                <w:szCs w:val="21"/>
              </w:rPr>
              <w:t>LAOX</w:t>
            </w:r>
          </w:p>
          <w:p>
            <w:pPr>
              <w:pStyle w:val="TableParagraph"/>
              <w:spacing w:line="267" w:lineRule="exact"/>
              <w:ind w:left="193"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70" w:right="627" w:firstLine="42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pacing w:val="-1"/>
                <w:sz w:val="21"/>
                <w:szCs w:val="21"/>
              </w:rPr>
              <w:t>有限公司</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9"/>
              <w:jc w:val="right"/>
              <w:rPr>
                <w:rFonts w:ascii="宋体" w:hAnsi="宋体" w:cs="宋体" w:eastAsia="宋体" w:hint="default"/>
                <w:sz w:val="21"/>
                <w:szCs w:val="21"/>
              </w:rPr>
            </w:pPr>
            <w:r>
              <w:rPr>
                <w:rFonts w:ascii="宋体" w:hAnsi="宋体" w:cs="宋体" w:eastAsia="宋体" w:hint="default"/>
                <w:sz w:val="21"/>
                <w:szCs w:val="21"/>
              </w:rPr>
              <w:t>日本</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41" w:right="59" w:hanging="212"/>
              <w:jc w:val="left"/>
              <w:rPr>
                <w:rFonts w:ascii="宋体" w:hAnsi="宋体" w:cs="宋体" w:eastAsia="宋体" w:hint="default"/>
                <w:sz w:val="21"/>
                <w:szCs w:val="21"/>
              </w:rPr>
            </w:pPr>
            <w:r>
              <w:rPr>
                <w:rFonts w:ascii="宋体" w:hAnsi="宋体" w:cs="宋体" w:eastAsia="宋体" w:hint="default"/>
                <w:spacing w:val="-1"/>
                <w:sz w:val="21"/>
                <w:szCs w:val="21"/>
              </w:rPr>
              <w:t>电器和电子消费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品的连锁销售</w:t>
            </w:r>
          </w:p>
        </w:tc>
        <w:tc>
          <w:tcPr>
            <w:tcW w:w="1706" w:type="dxa"/>
            <w:gridSpan w:val="2"/>
            <w:tcBorders>
              <w:top w:val="nil" w:sz="6" w:space="0" w:color="auto"/>
              <w:left w:val="nil" w:sz="6" w:space="0" w:color="auto"/>
              <w:bottom w:val="nil" w:sz="6" w:space="0" w:color="auto"/>
              <w:right w:val="nil" w:sz="6" w:space="0" w:color="auto"/>
            </w:tcBorders>
          </w:tcPr>
          <w:p>
            <w:pPr>
              <w:pStyle w:val="TableParagraph"/>
              <w:spacing w:line="274" w:lineRule="exact" w:before="98"/>
              <w:ind w:left="1122"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89" w:lineRule="exact"/>
              <w:ind w:left="755" w:right="0"/>
              <w:jc w:val="left"/>
              <w:rPr>
                <w:rFonts w:ascii="宋体" w:hAnsi="宋体" w:cs="宋体" w:eastAsia="宋体" w:hint="default"/>
                <w:sz w:val="21"/>
                <w:szCs w:val="21"/>
              </w:rPr>
            </w:pPr>
            <w:r>
              <w:rPr>
                <w:rFonts w:ascii="Arial" w:hAnsi="Arial" w:cs="Arial" w:eastAsia="Arial" w:hint="default"/>
                <w:sz w:val="21"/>
                <w:szCs w:val="21"/>
              </w:rPr>
              <w:t>124.5</w:t>
            </w:r>
            <w:r>
              <w:rPr>
                <w:rFonts w:ascii="Arial" w:hAnsi="Arial" w:cs="Arial" w:eastAsia="Arial" w:hint="default"/>
                <w:spacing w:val="-5"/>
                <w:sz w:val="21"/>
                <w:szCs w:val="21"/>
              </w:rPr>
              <w:t> </w:t>
            </w:r>
            <w:r>
              <w:rPr>
                <w:rFonts w:ascii="宋体" w:hAnsi="宋体" w:cs="宋体" w:eastAsia="宋体" w:hint="default"/>
                <w:sz w:val="21"/>
                <w:szCs w:val="21"/>
              </w:rPr>
              <w:t>亿</w:t>
            </w:r>
          </w:p>
        </w:tc>
        <w:tc>
          <w:tcPr>
            <w:tcW w:w="18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60" w:right="457"/>
              <w:jc w:val="left"/>
              <w:rPr>
                <w:rFonts w:ascii="宋体" w:hAnsi="宋体" w:cs="宋体" w:eastAsia="宋体" w:hint="default"/>
                <w:sz w:val="21"/>
                <w:szCs w:val="21"/>
              </w:rPr>
            </w:pPr>
            <w:r>
              <w:rPr>
                <w:rFonts w:ascii="宋体" w:hAnsi="宋体" w:cs="宋体" w:eastAsia="宋体" w:hint="default"/>
                <w:spacing w:val="-1"/>
                <w:sz w:val="21"/>
                <w:szCs w:val="21"/>
              </w:rPr>
              <w:t>电器和电子消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费品的连锁销</w:t>
            </w:r>
          </w:p>
          <w:p>
            <w:pPr>
              <w:pStyle w:val="TableParagraph"/>
              <w:spacing w:line="274" w:lineRule="exact"/>
              <w:ind w:left="1209"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9"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5"/>
              <w:jc w:val="right"/>
              <w:rPr>
                <w:rFonts w:ascii="宋体" w:hAnsi="宋体" w:cs="宋体" w:eastAsia="宋体" w:hint="default"/>
                <w:sz w:val="21"/>
                <w:szCs w:val="21"/>
              </w:rPr>
            </w:pPr>
            <w:r>
              <w:rPr>
                <w:rFonts w:ascii="宋体" w:hAnsi="宋体" w:cs="宋体" w:eastAsia="宋体" w:hint="default"/>
                <w:sz w:val="21"/>
                <w:szCs w:val="21"/>
              </w:rPr>
              <w:t>罗怡文</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95"/>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971" w:hRule="exact"/>
        </w:trPr>
        <w:tc>
          <w:tcPr>
            <w:tcW w:w="5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135" w:right="70" w:hanging="209"/>
              <w:jc w:val="left"/>
              <w:rPr>
                <w:rFonts w:ascii="宋体" w:hAnsi="宋体" w:cs="宋体" w:eastAsia="宋体" w:hint="default"/>
                <w:sz w:val="21"/>
                <w:szCs w:val="21"/>
              </w:rPr>
            </w:pPr>
            <w:r>
              <w:rPr>
                <w:rFonts w:ascii="宋体" w:hAnsi="宋体" w:cs="宋体" w:eastAsia="宋体" w:hint="default"/>
                <w:spacing w:val="-1"/>
                <w:sz w:val="21"/>
                <w:szCs w:val="21"/>
              </w:rPr>
              <w:t>年末实际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出资额</w:t>
            </w:r>
          </w:p>
        </w:tc>
        <w:tc>
          <w:tcPr>
            <w:tcW w:w="2288"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17"/>
              <w:ind w:left="331" w:right="481"/>
              <w:jc w:val="right"/>
              <w:rPr>
                <w:rFonts w:ascii="宋体" w:hAnsi="宋体" w:cs="宋体" w:eastAsia="宋体" w:hint="default"/>
                <w:sz w:val="21"/>
                <w:szCs w:val="21"/>
              </w:rPr>
            </w:pPr>
            <w:r>
              <w:rPr>
                <w:rFonts w:ascii="宋体" w:hAnsi="宋体" w:cs="宋体" w:eastAsia="宋体" w:hint="default"/>
                <w:spacing w:val="-1"/>
                <w:sz w:val="21"/>
                <w:szCs w:val="21"/>
              </w:rPr>
              <w:t>实质上构成对子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公司净投资的其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他项目余额</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61" w:right="253" w:firstLine="432"/>
              <w:jc w:val="left"/>
              <w:rPr>
                <w:rFonts w:ascii="Arial" w:hAnsi="Arial" w:cs="Arial" w:eastAsia="Arial"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1"/>
                <w:sz w:val="21"/>
                <w:szCs w:val="21"/>
              </w:rPr>
              <w:t> </w:t>
            </w:r>
            <w:r>
              <w:rPr>
                <w:rFonts w:ascii="Arial" w:hAnsi="Arial" w:cs="Arial" w:eastAsia="Arial" w:hint="default"/>
                <w:sz w:val="21"/>
                <w:szCs w:val="21"/>
              </w:rPr>
              <w:t>(%)</w:t>
            </w:r>
          </w:p>
        </w:tc>
        <w:tc>
          <w:tcPr>
            <w:tcW w:w="1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right="115"/>
              <w:jc w:val="right"/>
              <w:rPr>
                <w:rFonts w:ascii="宋体" w:hAnsi="宋体" w:cs="宋体" w:eastAsia="宋体" w:hint="default"/>
                <w:sz w:val="21"/>
                <w:szCs w:val="21"/>
              </w:rPr>
            </w:pPr>
            <w:r>
              <w:rPr>
                <w:rFonts w:ascii="宋体" w:hAnsi="宋体" w:cs="宋体" w:eastAsia="宋体" w:hint="default"/>
                <w:spacing w:val="-1"/>
                <w:sz w:val="21"/>
                <w:szCs w:val="21"/>
              </w:rPr>
              <w:t>表决权比例</w:t>
            </w:r>
          </w:p>
          <w:p>
            <w:pPr>
              <w:pStyle w:val="TableParagraph"/>
              <w:spacing w:line="240" w:lineRule="auto" w:before="28"/>
              <w:ind w:right="115"/>
              <w:jc w:val="right"/>
              <w:rPr>
                <w:rFonts w:ascii="Arial" w:hAnsi="Arial" w:cs="Arial" w:eastAsia="Arial" w:hint="default"/>
                <w:sz w:val="21"/>
                <w:szCs w:val="21"/>
              </w:rPr>
            </w:pPr>
            <w:r>
              <w:rPr>
                <w:rFonts w:ascii="Arial"/>
                <w:spacing w:val="-1"/>
                <w:sz w:val="21"/>
              </w:rPr>
              <w:t>(%)</w:t>
            </w:r>
            <w:r>
              <w:rPr>
                <w:rFonts w:ascii="Arial"/>
                <w:sz w:val="21"/>
              </w:rPr>
            </w:r>
          </w:p>
        </w:tc>
        <w:tc>
          <w:tcPr>
            <w:tcW w:w="1000" w:type="dxa"/>
            <w:tcBorders>
              <w:top w:val="nil" w:sz="6" w:space="0" w:color="auto"/>
              <w:left w:val="nil" w:sz="6" w:space="0" w:color="auto"/>
              <w:bottom w:val="nil" w:sz="6" w:space="0" w:color="auto"/>
              <w:right w:val="nil" w:sz="6" w:space="0" w:color="auto"/>
            </w:tcBorders>
          </w:tcPr>
          <w:p>
            <w:pPr>
              <w:pStyle w:val="TableParagraph"/>
              <w:spacing w:line="274" w:lineRule="exact" w:before="115"/>
              <w:ind w:left="117" w:right="0"/>
              <w:jc w:val="left"/>
              <w:rPr>
                <w:rFonts w:ascii="宋体" w:hAnsi="宋体" w:cs="宋体" w:eastAsia="宋体" w:hint="default"/>
                <w:sz w:val="21"/>
                <w:szCs w:val="21"/>
              </w:rPr>
            </w:pPr>
            <w:r>
              <w:rPr>
                <w:rFonts w:ascii="宋体" w:hAnsi="宋体" w:cs="宋体" w:eastAsia="宋体" w:hint="default"/>
                <w:sz w:val="21"/>
                <w:szCs w:val="21"/>
              </w:rPr>
              <w:t>是否合并</w:t>
            </w:r>
          </w:p>
          <w:p>
            <w:pPr>
              <w:pStyle w:val="TableParagraph"/>
              <w:spacing w:line="274" w:lineRule="exact"/>
              <w:ind w:left="537" w:right="0"/>
              <w:jc w:val="left"/>
              <w:rPr>
                <w:rFonts w:ascii="宋体" w:hAnsi="宋体" w:cs="宋体" w:eastAsia="宋体" w:hint="default"/>
                <w:sz w:val="21"/>
                <w:szCs w:val="21"/>
              </w:rPr>
            </w:pPr>
            <w:r>
              <w:rPr>
                <w:rFonts w:ascii="宋体" w:hAnsi="宋体" w:cs="宋体" w:eastAsia="宋体" w:hint="default"/>
                <w:sz w:val="21"/>
                <w:szCs w:val="21"/>
              </w:rPr>
              <w:t>报表</w:t>
            </w:r>
          </w:p>
        </w:tc>
        <w:tc>
          <w:tcPr>
            <w:tcW w:w="1478" w:type="dxa"/>
            <w:tcBorders>
              <w:top w:val="nil" w:sz="6" w:space="0" w:color="auto"/>
              <w:left w:val="nil" w:sz="6" w:space="0" w:color="auto"/>
              <w:bottom w:val="nil" w:sz="6" w:space="0" w:color="auto"/>
              <w:right w:val="nil" w:sz="6" w:space="0" w:color="auto"/>
            </w:tcBorders>
          </w:tcPr>
          <w:p>
            <w:pPr>
              <w:pStyle w:val="TableParagraph"/>
              <w:spacing w:line="274" w:lineRule="exact" w:before="115"/>
              <w:ind w:right="57"/>
              <w:jc w:val="right"/>
              <w:rPr>
                <w:rFonts w:ascii="宋体" w:hAnsi="宋体" w:cs="宋体" w:eastAsia="宋体" w:hint="default"/>
                <w:sz w:val="21"/>
                <w:szCs w:val="21"/>
              </w:rPr>
            </w:pPr>
            <w:r>
              <w:rPr>
                <w:rFonts w:ascii="宋体" w:hAnsi="宋体" w:cs="宋体" w:eastAsia="宋体" w:hint="default"/>
                <w:spacing w:val="-1"/>
                <w:sz w:val="21"/>
                <w:szCs w:val="21"/>
              </w:rPr>
              <w:t>少数股东权</w:t>
            </w:r>
          </w:p>
          <w:p>
            <w:pPr>
              <w:pStyle w:val="TableParagraph"/>
              <w:spacing w:line="274" w:lineRule="exact"/>
              <w:ind w:right="60"/>
              <w:jc w:val="right"/>
              <w:rPr>
                <w:rFonts w:ascii="宋体" w:hAnsi="宋体" w:cs="宋体" w:eastAsia="宋体" w:hint="default"/>
                <w:sz w:val="21"/>
                <w:szCs w:val="21"/>
              </w:rPr>
            </w:pPr>
            <w:r>
              <w:rPr>
                <w:rFonts w:ascii="宋体" w:hAnsi="宋体" w:cs="宋体" w:eastAsia="宋体" w:hint="default"/>
                <w:w w:val="100"/>
                <w:sz w:val="21"/>
                <w:szCs w:val="21"/>
              </w:rPr>
              <w:t>益</w:t>
            </w:r>
          </w:p>
        </w:tc>
        <w:tc>
          <w:tcPr>
            <w:tcW w:w="2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563" w:right="168"/>
              <w:jc w:val="left"/>
              <w:rPr>
                <w:rFonts w:ascii="宋体" w:hAnsi="宋体" w:cs="宋体" w:eastAsia="宋体" w:hint="default"/>
                <w:sz w:val="21"/>
                <w:szCs w:val="21"/>
              </w:rPr>
            </w:pPr>
            <w:r>
              <w:rPr>
                <w:rFonts w:ascii="宋体" w:hAnsi="宋体" w:cs="宋体" w:eastAsia="宋体" w:hint="default"/>
                <w:spacing w:val="-2"/>
                <w:sz w:val="21"/>
                <w:szCs w:val="21"/>
              </w:rPr>
              <w:t>少数股东权益中用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于冲减少数股东损</w:t>
            </w:r>
          </w:p>
          <w:p>
            <w:pPr>
              <w:pStyle w:val="TableParagraph"/>
              <w:spacing w:line="271" w:lineRule="exact"/>
              <w:ind w:left="1403" w:right="0"/>
              <w:jc w:val="left"/>
              <w:rPr>
                <w:rFonts w:ascii="宋体" w:hAnsi="宋体" w:cs="宋体" w:eastAsia="宋体" w:hint="default"/>
                <w:sz w:val="21"/>
                <w:szCs w:val="21"/>
              </w:rPr>
            </w:pPr>
            <w:r>
              <w:rPr>
                <w:rFonts w:ascii="宋体" w:hAnsi="宋体" w:cs="宋体" w:eastAsia="宋体" w:hint="default"/>
                <w:sz w:val="21"/>
                <w:szCs w:val="21"/>
              </w:rPr>
              <w:t>益的金额</w:t>
            </w:r>
          </w:p>
        </w:tc>
      </w:tr>
      <w:tr>
        <w:trPr>
          <w:trHeight w:val="543" w:hRule="exact"/>
        </w:trPr>
        <w:tc>
          <w:tcPr>
            <w:tcW w:w="51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54" w:lineRule="exact"/>
              <w:ind w:left="193" w:right="0"/>
              <w:jc w:val="left"/>
              <w:rPr>
                <w:rFonts w:ascii="Arial" w:hAnsi="Arial" w:cs="Arial" w:eastAsia="Arial"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Arial" w:hAnsi="Arial" w:cs="Arial" w:eastAsia="Arial" w:hint="default"/>
                <w:sz w:val="21"/>
                <w:szCs w:val="21"/>
              </w:rPr>
              <w:t>LAOX</w:t>
            </w:r>
          </w:p>
          <w:p>
            <w:pPr>
              <w:pStyle w:val="TableParagraph"/>
              <w:spacing w:line="267" w:lineRule="exact"/>
              <w:ind w:left="193"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842" w:type="dxa"/>
            <w:tcBorders>
              <w:top w:val="nil" w:sz="6" w:space="0" w:color="auto"/>
              <w:left w:val="nil" w:sz="6" w:space="0" w:color="auto"/>
              <w:bottom w:val="nil" w:sz="6" w:space="0" w:color="auto"/>
              <w:right w:val="nil" w:sz="6" w:space="0" w:color="auto"/>
            </w:tcBorders>
          </w:tcPr>
          <w:p>
            <w:pPr>
              <w:pStyle w:val="TableParagraph"/>
              <w:spacing w:line="246" w:lineRule="exact"/>
              <w:ind w:right="59"/>
              <w:jc w:val="righ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89" w:lineRule="exact"/>
              <w:ind w:right="60"/>
              <w:jc w:val="right"/>
              <w:rPr>
                <w:rFonts w:ascii="宋体" w:hAnsi="宋体" w:cs="宋体" w:eastAsia="宋体" w:hint="default"/>
                <w:sz w:val="21"/>
                <w:szCs w:val="21"/>
              </w:rPr>
            </w:pPr>
            <w:r>
              <w:rPr>
                <w:rFonts w:ascii="Arial" w:hAnsi="Arial" w:cs="Arial" w:eastAsia="Arial" w:hint="default"/>
                <w:sz w:val="21"/>
                <w:szCs w:val="21"/>
              </w:rPr>
              <w:t>95.4</w:t>
            </w:r>
            <w:r>
              <w:rPr>
                <w:rFonts w:ascii="Arial" w:hAnsi="Arial" w:cs="Arial" w:eastAsia="Arial" w:hint="default"/>
                <w:spacing w:val="-2"/>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72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32" w:right="0"/>
              <w:jc w:val="center"/>
              <w:rPr>
                <w:rFonts w:ascii="Arial" w:hAnsi="Arial" w:cs="Arial" w:eastAsia="Arial" w:hint="default"/>
                <w:sz w:val="21"/>
                <w:szCs w:val="21"/>
              </w:rPr>
            </w:pPr>
            <w:r>
              <w:rPr>
                <w:rFonts w:ascii="Arial"/>
                <w:w w:val="100"/>
                <w:sz w:val="21"/>
              </w:rPr>
              <w:t>-</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503" w:right="0"/>
              <w:jc w:val="left"/>
              <w:rPr>
                <w:rFonts w:ascii="Arial" w:hAnsi="Arial" w:cs="Arial" w:eastAsia="Arial" w:hint="default"/>
                <w:sz w:val="21"/>
                <w:szCs w:val="21"/>
              </w:rPr>
            </w:pPr>
            <w:r>
              <w:rPr>
                <w:rFonts w:ascii="Arial"/>
                <w:sz w:val="21"/>
              </w:rPr>
              <w:t>51%</w:t>
            </w:r>
          </w:p>
        </w:tc>
        <w:tc>
          <w:tcPr>
            <w:tcW w:w="534"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338" w:right="0"/>
              <w:jc w:val="left"/>
              <w:rPr>
                <w:rFonts w:ascii="Arial" w:hAnsi="Arial" w:cs="Arial" w:eastAsia="Arial" w:hint="default"/>
                <w:sz w:val="21"/>
                <w:szCs w:val="21"/>
              </w:rPr>
            </w:pPr>
            <w:r>
              <w:rPr>
                <w:rFonts w:ascii="Arial"/>
                <w:sz w:val="21"/>
              </w:rPr>
              <w:t>51%</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52" w:right="0"/>
              <w:jc w:val="left"/>
              <w:rPr>
                <w:rFonts w:ascii="Arial" w:hAnsi="Arial" w:cs="Arial" w:eastAsia="Arial" w:hint="default"/>
                <w:sz w:val="21"/>
                <w:szCs w:val="21"/>
              </w:rPr>
            </w:pPr>
            <w:r>
              <w:rPr>
                <w:rFonts w:ascii="Arial"/>
                <w:sz w:val="21"/>
              </w:rPr>
              <w:t>632,669</w:t>
            </w:r>
          </w:p>
        </w:tc>
        <w:tc>
          <w:tcPr>
            <w:tcW w:w="1140"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9"/>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pgSz w:w="16850" w:h="11910" w:orient="landscape"/>
          <w:pgMar w:header="1474" w:footer="954" w:top="2960" w:bottom="1140" w:left="158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2977"/>
        <w:gridCol w:w="1643"/>
        <w:gridCol w:w="1990"/>
        <w:gridCol w:w="226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4620"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05"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990" w:type="dxa"/>
            <w:tcBorders>
              <w:top w:val="single" w:sz="6" w:space="0" w:color="000000"/>
              <w:left w:val="nil" w:sz="6" w:space="0" w:color="auto"/>
              <w:bottom w:val="nil" w:sz="6" w:space="0" w:color="auto"/>
              <w:right w:val="nil" w:sz="6" w:space="0" w:color="auto"/>
            </w:tcBorders>
          </w:tcPr>
          <w:p>
            <w:pPr/>
          </w:p>
        </w:tc>
        <w:tc>
          <w:tcPr>
            <w:tcW w:w="2262"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4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05" w:right="0"/>
              <w:jc w:val="left"/>
              <w:rPr>
                <w:rFonts w:ascii="宋体" w:hAnsi="宋体" w:cs="宋体" w:eastAsia="宋体" w:hint="default"/>
                <w:sz w:val="24"/>
                <w:szCs w:val="24"/>
              </w:rPr>
            </w:pPr>
            <w:r>
              <w:rPr>
                <w:rFonts w:ascii="宋体" w:hAnsi="宋体" w:cs="宋体" w:eastAsia="宋体" w:hint="default"/>
                <w:b/>
                <w:bCs/>
                <w:sz w:val="24"/>
                <w:szCs w:val="24"/>
              </w:rPr>
              <w:t>本年度新纳入合并范围的主要主体</w:t>
            </w:r>
            <w:r>
              <w:rPr>
                <w:rFonts w:ascii="宋体" w:hAnsi="宋体" w:cs="宋体" w:eastAsia="宋体" w:hint="default"/>
                <w:sz w:val="24"/>
                <w:szCs w:val="24"/>
              </w:rPr>
            </w:r>
          </w:p>
        </w:tc>
        <w:tc>
          <w:tcPr>
            <w:tcW w:w="199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
        </w:tc>
        <w:tc>
          <w:tcPr>
            <w:tcW w:w="36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48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日净资产</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
              <w:jc w:val="right"/>
              <w:rPr>
                <w:rFonts w:ascii="Arial" w:hAnsi="Arial" w:cs="Arial" w:eastAsia="Arial" w:hint="default"/>
                <w:sz w:val="24"/>
                <w:szCs w:val="24"/>
              </w:rPr>
            </w:pPr>
            <w:r>
              <w:rPr>
                <w:rFonts w:ascii="宋体" w:hAnsi="宋体" w:cs="宋体" w:eastAsia="宋体" w:hint="default"/>
                <w:spacing w:val="-1"/>
                <w:sz w:val="24"/>
                <w:szCs w:val="24"/>
              </w:rPr>
              <w:t>本期净利润</w:t>
            </w:r>
            <w:r>
              <w:rPr>
                <w:rFonts w:ascii="Arial" w:hAnsi="Arial" w:cs="Arial" w:eastAsia="Arial" w:hint="default"/>
                <w:spacing w:val="-1"/>
                <w:sz w:val="24"/>
                <w:szCs w:val="24"/>
              </w:rPr>
              <w:t>/(</w:t>
            </w:r>
            <w:r>
              <w:rPr>
                <w:rFonts w:ascii="宋体" w:hAnsi="宋体" w:cs="宋体" w:eastAsia="宋体" w:hint="default"/>
                <w:spacing w:val="-1"/>
                <w:sz w:val="24"/>
                <w:szCs w:val="24"/>
              </w:rPr>
              <w:t>亏损</w:t>
            </w:r>
            <w:r>
              <w:rPr>
                <w:rFonts w:ascii="Arial" w:hAnsi="Arial" w:cs="Arial" w:eastAsia="Arial" w:hint="default"/>
                <w:spacing w:val="-1"/>
                <w:sz w:val="24"/>
                <w:szCs w:val="24"/>
              </w:rPr>
              <w:t>)</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Arial" w:hAnsi="Arial" w:cs="Arial" w:eastAsia="Arial" w:hint="default"/>
                <w:sz w:val="24"/>
                <w:szCs w:val="24"/>
              </w:rPr>
            </w:pPr>
            <w:r>
              <w:rPr>
                <w:rFonts w:ascii="宋体" w:hAnsi="宋体" w:cs="宋体" w:eastAsia="宋体" w:hint="default"/>
                <w:sz w:val="24"/>
                <w:szCs w:val="24"/>
              </w:rPr>
              <w:t>日本</w:t>
            </w:r>
            <w:r>
              <w:rPr>
                <w:rFonts w:ascii="宋体" w:hAnsi="宋体" w:cs="宋体" w:eastAsia="宋体" w:hint="default"/>
                <w:spacing w:val="-62"/>
                <w:sz w:val="24"/>
                <w:szCs w:val="24"/>
              </w:rPr>
              <w:t> </w:t>
            </w:r>
            <w:r>
              <w:rPr>
                <w:rFonts w:ascii="Arial" w:hAnsi="Arial" w:cs="Arial" w:eastAsia="Arial" w:hint="default"/>
                <w:sz w:val="24"/>
                <w:szCs w:val="24"/>
              </w:rPr>
              <w:t>LAOX</w:t>
            </w:r>
            <w:r>
              <w:rPr>
                <w:rFonts w:ascii="Arial" w:hAnsi="Arial" w:cs="Arial" w:eastAsia="Arial" w:hint="default"/>
                <w:spacing w:val="-9"/>
                <w:sz w:val="24"/>
                <w:szCs w:val="24"/>
              </w:rPr>
              <w:t> </w:t>
            </w:r>
            <w:r>
              <w:rPr>
                <w:rFonts w:ascii="宋体" w:hAnsi="宋体" w:cs="宋体" w:eastAsia="宋体" w:hint="default"/>
                <w:sz w:val="24"/>
                <w:szCs w:val="24"/>
              </w:rPr>
              <w:t>株式会社</w:t>
            </w:r>
            <w:r>
              <w:rPr>
                <w:rFonts w:ascii="Arial" w:hAnsi="Arial" w:cs="Arial" w:eastAsia="Arial" w:hint="default"/>
                <w:sz w:val="24"/>
                <w:szCs w:val="24"/>
              </w:rPr>
              <w:t>(i)</w:t>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47"/>
              <w:jc w:val="right"/>
              <w:rPr>
                <w:rFonts w:ascii="Arial" w:hAnsi="Arial" w:cs="Arial" w:eastAsia="Arial" w:hint="default"/>
                <w:sz w:val="24"/>
                <w:szCs w:val="24"/>
              </w:rPr>
            </w:pPr>
            <w:r>
              <w:rPr>
                <w:rFonts w:ascii="Arial"/>
                <w:spacing w:val="-1"/>
                <w:sz w:val="24"/>
              </w:rPr>
              <w:t>1,315,991</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0"/>
              <w:jc w:val="right"/>
              <w:rPr>
                <w:rFonts w:ascii="Arial" w:hAnsi="Arial" w:cs="Arial" w:eastAsia="Arial" w:hint="default"/>
                <w:sz w:val="24"/>
                <w:szCs w:val="24"/>
              </w:rPr>
            </w:pPr>
            <w:r>
              <w:rPr>
                <w:rFonts w:ascii="Arial"/>
                <w:spacing w:val="-1"/>
                <w:sz w:val="24"/>
              </w:rPr>
              <w:t>(34,063)</w:t>
            </w:r>
          </w:p>
        </w:tc>
      </w:tr>
      <w:tr>
        <w:trPr>
          <w:trHeight w:val="624"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59"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南京易付宝网络科技</w:t>
            </w:r>
          </w:p>
          <w:p>
            <w:pPr>
              <w:pStyle w:val="TableParagraph"/>
              <w:spacing w:line="313" w:lineRule="exact"/>
              <w:ind w:left="379"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347"/>
              <w:jc w:val="right"/>
              <w:rPr>
                <w:rFonts w:ascii="Arial" w:hAnsi="Arial" w:cs="Arial" w:eastAsia="Arial" w:hint="default"/>
                <w:sz w:val="24"/>
                <w:szCs w:val="24"/>
              </w:rPr>
            </w:pPr>
            <w:r>
              <w:rPr>
                <w:rFonts w:ascii="Arial"/>
                <w:spacing w:val="-1"/>
                <w:sz w:val="24"/>
              </w:rPr>
              <w:t>101,033</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76"/>
              <w:jc w:val="right"/>
              <w:rPr>
                <w:rFonts w:ascii="Arial" w:hAnsi="Arial" w:cs="Arial" w:eastAsia="Arial" w:hint="default"/>
                <w:sz w:val="24"/>
                <w:szCs w:val="24"/>
              </w:rPr>
            </w:pPr>
            <w:r>
              <w:rPr>
                <w:rFonts w:ascii="Arial"/>
                <w:spacing w:val="-1"/>
                <w:sz w:val="24"/>
              </w:rPr>
              <w:t>1,033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成都苏宁电器有限公司</w:t>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7"/>
              <w:jc w:val="right"/>
              <w:rPr>
                <w:rFonts w:ascii="Arial" w:hAnsi="Arial" w:cs="Arial" w:eastAsia="Arial" w:hint="default"/>
                <w:sz w:val="24"/>
                <w:szCs w:val="24"/>
              </w:rPr>
            </w:pPr>
            <w:r>
              <w:rPr>
                <w:rFonts w:ascii="Arial"/>
                <w:spacing w:val="-1"/>
                <w:sz w:val="24"/>
              </w:rPr>
              <w:t>100,587</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4"/>
              <w:jc w:val="right"/>
              <w:rPr>
                <w:rFonts w:ascii="Arial" w:hAnsi="Arial" w:cs="Arial" w:eastAsia="Arial" w:hint="default"/>
                <w:sz w:val="24"/>
                <w:szCs w:val="24"/>
              </w:rPr>
            </w:pPr>
            <w:r>
              <w:rPr>
                <w:rFonts w:ascii="Arial"/>
                <w:w w:val="95"/>
                <w:sz w:val="24"/>
              </w:rPr>
              <w:t>587</w:t>
            </w:r>
            <w:r>
              <w:rPr>
                <w:rFonts w:ascii="Arial"/>
                <w:sz w:val="24"/>
              </w:rPr>
            </w:r>
          </w:p>
        </w:tc>
      </w:tr>
      <w:tr>
        <w:trPr>
          <w:trHeight w:val="624"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59"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南京雨花苏宁电器</w:t>
            </w:r>
          </w:p>
          <w:p>
            <w:pPr>
              <w:pStyle w:val="TableParagraph"/>
              <w:spacing w:line="313" w:lineRule="exact"/>
              <w:ind w:left="379"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346"/>
              <w:jc w:val="right"/>
              <w:rPr>
                <w:rFonts w:ascii="Arial" w:hAnsi="Arial" w:cs="Arial" w:eastAsia="Arial" w:hint="default"/>
                <w:sz w:val="24"/>
                <w:szCs w:val="24"/>
              </w:rPr>
            </w:pPr>
            <w:r>
              <w:rPr>
                <w:rFonts w:ascii="Arial"/>
                <w:w w:val="95"/>
                <w:sz w:val="24"/>
              </w:rPr>
              <w:t>29,623</w:t>
            </w:r>
            <w:r>
              <w:rPr>
                <w:rFonts w:ascii="Arial"/>
                <w:sz w:val="24"/>
              </w:rPr>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75"/>
              <w:jc w:val="right"/>
              <w:rPr>
                <w:rFonts w:ascii="Arial" w:hAnsi="Arial" w:cs="Arial" w:eastAsia="Arial" w:hint="default"/>
                <w:sz w:val="24"/>
                <w:szCs w:val="24"/>
              </w:rPr>
            </w:pPr>
            <w:r>
              <w:rPr>
                <w:rFonts w:ascii="Arial"/>
                <w:w w:val="95"/>
                <w:sz w:val="24"/>
              </w:rPr>
              <w:t>19,623</w:t>
            </w:r>
            <w:r>
              <w:rPr>
                <w:rFonts w:ascii="Arial"/>
                <w:sz w:val="24"/>
              </w:rPr>
            </w:r>
          </w:p>
        </w:tc>
      </w:tr>
      <w:tr>
        <w:trPr>
          <w:trHeight w:val="762"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59" w:lineRule="exact"/>
              <w:ind w:left="122" w:right="0"/>
              <w:jc w:val="left"/>
              <w:rPr>
                <w:rFonts w:ascii="宋体" w:hAnsi="宋体" w:cs="宋体" w:eastAsia="宋体" w:hint="default"/>
                <w:sz w:val="24"/>
                <w:szCs w:val="24"/>
              </w:rPr>
            </w:pPr>
            <w:r>
              <w:rPr>
                <w:rFonts w:ascii="宋体" w:hAnsi="宋体" w:cs="宋体" w:eastAsia="宋体" w:hint="default"/>
                <w:sz w:val="24"/>
                <w:szCs w:val="24"/>
              </w:rPr>
              <w:t>葫芦岛苏宁电器</w:t>
            </w:r>
          </w:p>
          <w:p>
            <w:pPr>
              <w:pStyle w:val="TableParagraph"/>
              <w:spacing w:line="313" w:lineRule="exact"/>
              <w:ind w:left="379"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346"/>
              <w:jc w:val="right"/>
              <w:rPr>
                <w:rFonts w:ascii="Arial" w:hAnsi="Arial" w:cs="Arial" w:eastAsia="Arial" w:hint="default"/>
                <w:sz w:val="24"/>
                <w:szCs w:val="24"/>
              </w:rPr>
            </w:pPr>
            <w:r>
              <w:rPr>
                <w:rFonts w:ascii="Arial"/>
                <w:spacing w:val="-1"/>
                <w:sz w:val="24"/>
              </w:rPr>
              <w:t>6,607</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76"/>
              <w:jc w:val="right"/>
              <w:rPr>
                <w:rFonts w:ascii="Arial" w:hAnsi="Arial" w:cs="Arial" w:eastAsia="Arial" w:hint="default"/>
                <w:sz w:val="24"/>
                <w:szCs w:val="24"/>
              </w:rPr>
            </w:pPr>
            <w:r>
              <w:rPr>
                <w:rFonts w:ascii="Arial"/>
                <w:spacing w:val="-1"/>
                <w:sz w:val="24"/>
              </w:rPr>
              <w:t>1,607</w:t>
            </w:r>
          </w:p>
        </w:tc>
      </w:tr>
      <w:tr>
        <w:trPr>
          <w:trHeight w:val="1200" w:hRule="exact"/>
        </w:trPr>
        <w:tc>
          <w:tcPr>
            <w:tcW w:w="9644"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15"/>
              <w:ind w:left="894" w:right="2"/>
              <w:jc w:val="both"/>
              <w:rPr>
                <w:rFonts w:ascii="宋体" w:hAnsi="宋体" w:cs="宋体" w:eastAsia="宋体" w:hint="default"/>
                <w:sz w:val="24"/>
                <w:szCs w:val="24"/>
              </w:rPr>
            </w:pPr>
            <w:r>
              <w:rPr>
                <w:rFonts w:ascii="Arial" w:hAnsi="Arial" w:cs="Arial" w:eastAsia="Arial" w:hint="default"/>
                <w:sz w:val="24"/>
                <w:szCs w:val="24"/>
              </w:rPr>
              <w:t>(i) </w:t>
            </w:r>
            <w:r>
              <w:rPr>
                <w:rFonts w:ascii="宋体" w:hAnsi="宋体" w:cs="宋体" w:eastAsia="宋体" w:hint="default"/>
                <w:sz w:val="24"/>
                <w:szCs w:val="24"/>
              </w:rPr>
              <w:t>本集团本年度的新增子公司大部分为通过设立方式取得的子公司。日本 </w:t>
            </w:r>
            <w:r>
              <w:rPr>
                <w:rFonts w:ascii="Arial" w:hAnsi="Arial" w:cs="Arial" w:eastAsia="Arial" w:hint="default"/>
                <w:sz w:val="24"/>
                <w:szCs w:val="24"/>
              </w:rPr>
              <w:t>LAOX</w:t>
            </w:r>
            <w:r>
              <w:rPr>
                <w:rFonts w:ascii="Arial" w:hAnsi="Arial" w:cs="Arial" w:eastAsia="Arial" w:hint="default"/>
                <w:spacing w:val="-46"/>
                <w:sz w:val="24"/>
                <w:szCs w:val="24"/>
              </w:rPr>
              <w:t> </w:t>
            </w:r>
            <w:r>
              <w:rPr>
                <w:rFonts w:ascii="宋体" w:hAnsi="宋体" w:cs="宋体" w:eastAsia="宋体" w:hint="default"/>
                <w:sz w:val="24"/>
                <w:szCs w:val="24"/>
              </w:rPr>
              <w:t>株 </w:t>
            </w:r>
            <w:r>
              <w:rPr>
                <w:rFonts w:ascii="宋体" w:hAnsi="宋体" w:cs="宋体" w:eastAsia="宋体" w:hint="default"/>
                <w:spacing w:val="2"/>
                <w:sz w:val="24"/>
                <w:szCs w:val="24"/>
              </w:rPr>
              <w:t>式会社为本年度非同一控制下企业合并取得的子公司，其本期净利润为自该公司购</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买日至</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日止期间的净利润</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w:t>
            </w:r>
            <w:r>
              <w:rPr>
                <w:rFonts w:ascii="宋体" w:hAnsi="宋体" w:cs="宋体" w:eastAsia="宋体" w:hint="default"/>
                <w:sz w:val="24"/>
                <w:szCs w:val="24"/>
              </w:rPr>
              <w:t>。</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2" w:right="0"/>
              <w:jc w:val="left"/>
              <w:rPr>
                <w:rFonts w:ascii="宋体" w:hAnsi="宋体" w:cs="宋体" w:eastAsia="宋体" w:hint="default"/>
                <w:sz w:val="24"/>
                <w:szCs w:val="24"/>
              </w:rPr>
            </w:pPr>
            <w:r>
              <w:rPr>
                <w:rFonts w:ascii="宋体" w:hAnsi="宋体" w:cs="宋体" w:eastAsia="宋体" w:hint="default"/>
                <w:b/>
                <w:bCs/>
                <w:sz w:val="24"/>
                <w:szCs w:val="24"/>
              </w:rPr>
              <w:t>非同一控制下企业合并</w:t>
            </w:r>
            <w:r>
              <w:rPr>
                <w:rFonts w:ascii="宋体" w:hAnsi="宋体" w:cs="宋体" w:eastAsia="宋体" w:hint="default"/>
                <w:sz w:val="24"/>
                <w:szCs w:val="24"/>
              </w:rPr>
            </w:r>
          </w:p>
        </w:tc>
        <w:tc>
          <w:tcPr>
            <w:tcW w:w="1643"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
        </w:tc>
      </w:tr>
      <w:tr>
        <w:trPr>
          <w:trHeight w:val="595"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3"/>
              <w:jc w:val="right"/>
              <w:rPr>
                <w:rFonts w:ascii="宋体" w:hAnsi="宋体" w:cs="宋体" w:eastAsia="宋体" w:hint="default"/>
                <w:sz w:val="24"/>
                <w:szCs w:val="24"/>
              </w:rPr>
            </w:pPr>
            <w:r>
              <w:rPr>
                <w:rFonts w:ascii="宋体" w:hAnsi="宋体" w:cs="宋体" w:eastAsia="宋体" w:hint="default"/>
                <w:sz w:val="24"/>
                <w:szCs w:val="24"/>
              </w:rPr>
              <w:t>商誉金额</w:t>
            </w:r>
          </w:p>
        </w:tc>
        <w:tc>
          <w:tcPr>
            <w:tcW w:w="1990"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7"/>
              <w:jc w:val="right"/>
              <w:rPr>
                <w:rFonts w:ascii="宋体" w:hAnsi="宋体" w:cs="宋体" w:eastAsia="宋体" w:hint="default"/>
                <w:sz w:val="24"/>
                <w:szCs w:val="24"/>
              </w:rPr>
            </w:pPr>
            <w:r>
              <w:rPr>
                <w:rFonts w:ascii="宋体" w:hAnsi="宋体" w:cs="宋体" w:eastAsia="宋体" w:hint="default"/>
                <w:sz w:val="24"/>
                <w:szCs w:val="24"/>
              </w:rPr>
              <w:t>商誉的计算方法</w:t>
            </w:r>
          </w:p>
        </w:tc>
      </w:tr>
      <w:tr>
        <w:trPr>
          <w:trHeight w:val="1674" w:hRule="exact"/>
        </w:trPr>
        <w:tc>
          <w:tcPr>
            <w:tcW w:w="772"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312" w:lineRule="exact" w:before="142"/>
              <w:ind w:left="393" w:right="750" w:hanging="264"/>
              <w:jc w:val="left"/>
              <w:rPr>
                <w:rFonts w:ascii="Arial" w:hAnsi="Arial" w:cs="Arial" w:eastAsia="Arial" w:hint="default"/>
                <w:sz w:val="24"/>
                <w:szCs w:val="24"/>
              </w:rPr>
            </w:pPr>
            <w:r>
              <w:rPr>
                <w:rFonts w:ascii="宋体" w:hAnsi="宋体" w:cs="宋体" w:eastAsia="宋体" w:hint="default"/>
                <w:sz w:val="24"/>
                <w:szCs w:val="24"/>
              </w:rPr>
              <w:t>日本 </w:t>
            </w:r>
            <w:r>
              <w:rPr>
                <w:rFonts w:ascii="Arial" w:hAnsi="Arial" w:cs="Arial" w:eastAsia="Arial" w:hint="default"/>
                <w:sz w:val="24"/>
                <w:szCs w:val="24"/>
              </w:rPr>
              <w:t>LAOX</w:t>
            </w:r>
            <w:r>
              <w:rPr>
                <w:rFonts w:ascii="Arial" w:hAnsi="Arial" w:cs="Arial" w:eastAsia="Arial" w:hint="default"/>
                <w:spacing w:val="58"/>
                <w:sz w:val="24"/>
                <w:szCs w:val="24"/>
              </w:rPr>
              <w:t> </w:t>
            </w:r>
            <w:r>
              <w:rPr>
                <w:rFonts w:ascii="宋体" w:hAnsi="宋体" w:cs="宋体" w:eastAsia="宋体" w:hint="default"/>
                <w:spacing w:val="2"/>
                <w:sz w:val="24"/>
                <w:szCs w:val="24"/>
              </w:rPr>
              <w:t>株式会 </w:t>
            </w:r>
            <w:r>
              <w:rPr>
                <w:rFonts w:ascii="宋体" w:hAnsi="宋体" w:cs="宋体" w:eastAsia="宋体" w:hint="default"/>
                <w:sz w:val="24"/>
                <w:szCs w:val="24"/>
              </w:rPr>
              <w:t>社</w:t>
            </w:r>
            <w:r>
              <w:rPr>
                <w:rFonts w:ascii="Arial" w:hAnsi="Arial" w:cs="Arial" w:eastAsia="Arial" w:hint="default"/>
                <w:sz w:val="24"/>
                <w:szCs w:val="24"/>
              </w:rPr>
              <w:t>(a)</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2"/>
              <w:jc w:val="right"/>
              <w:rPr>
                <w:rFonts w:ascii="Arial" w:hAnsi="Arial" w:cs="Arial" w:eastAsia="Arial" w:hint="default"/>
                <w:sz w:val="24"/>
                <w:szCs w:val="24"/>
              </w:rPr>
            </w:pPr>
            <w:r>
              <w:rPr>
                <w:rFonts w:ascii="Arial"/>
                <w:spacing w:val="-1"/>
                <w:sz w:val="24"/>
              </w:rPr>
              <w:t>226,007</w:t>
            </w:r>
          </w:p>
        </w:tc>
        <w:tc>
          <w:tcPr>
            <w:tcW w:w="4252"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42"/>
              <w:ind w:left="334" w:right="38"/>
              <w:jc w:val="both"/>
              <w:rPr>
                <w:rFonts w:ascii="宋体" w:hAnsi="宋体" w:cs="宋体" w:eastAsia="宋体" w:hint="default"/>
                <w:sz w:val="24"/>
                <w:szCs w:val="24"/>
              </w:rPr>
            </w:pPr>
            <w:r>
              <w:rPr>
                <w:rFonts w:ascii="宋体" w:hAnsi="宋体" w:cs="宋体" w:eastAsia="宋体" w:hint="default"/>
                <w:sz w:val="24"/>
                <w:szCs w:val="24"/>
              </w:rPr>
              <w:t>合并成本以及购买日之前原持有的被</w:t>
            </w:r>
            <w:r>
              <w:rPr>
                <w:rFonts w:ascii="宋体" w:hAnsi="宋体" w:cs="宋体" w:eastAsia="宋体" w:hint="default"/>
                <w:spacing w:val="-89"/>
                <w:sz w:val="24"/>
                <w:szCs w:val="24"/>
              </w:rPr>
              <w:t> </w:t>
            </w:r>
            <w:r>
              <w:rPr>
                <w:rFonts w:ascii="宋体" w:hAnsi="宋体" w:cs="宋体" w:eastAsia="宋体" w:hint="default"/>
                <w:sz w:val="24"/>
                <w:szCs w:val="24"/>
              </w:rPr>
              <w:t>投资单位股权的公允价值之和，减去</w:t>
            </w:r>
            <w:r>
              <w:rPr>
                <w:rFonts w:ascii="宋体" w:hAnsi="宋体" w:cs="宋体" w:eastAsia="宋体" w:hint="default"/>
                <w:spacing w:val="-89"/>
                <w:sz w:val="24"/>
                <w:szCs w:val="24"/>
              </w:rPr>
              <w:t> </w:t>
            </w:r>
            <w:r>
              <w:rPr>
                <w:rFonts w:ascii="宋体" w:hAnsi="宋体" w:cs="宋体" w:eastAsia="宋体" w:hint="default"/>
                <w:sz w:val="24"/>
                <w:szCs w:val="24"/>
              </w:rPr>
              <w:t>应享有的被购买方于购买日可辨认净</w:t>
            </w:r>
            <w:r>
              <w:rPr>
                <w:rFonts w:ascii="宋体" w:hAnsi="宋体" w:cs="宋体" w:eastAsia="宋体" w:hint="default"/>
                <w:spacing w:val="-89"/>
                <w:sz w:val="24"/>
                <w:szCs w:val="24"/>
              </w:rPr>
              <w:t> </w:t>
            </w:r>
            <w:r>
              <w:rPr>
                <w:rFonts w:ascii="宋体" w:hAnsi="宋体" w:cs="宋体" w:eastAsia="宋体" w:hint="default"/>
                <w:sz w:val="24"/>
                <w:szCs w:val="24"/>
              </w:rPr>
              <w:t>资产公允价值份额之间的差额确认为</w:t>
            </w:r>
            <w:r>
              <w:rPr>
                <w:rFonts w:ascii="宋体" w:hAnsi="宋体" w:cs="宋体" w:eastAsia="宋体" w:hint="default"/>
                <w:spacing w:val="-89"/>
                <w:sz w:val="24"/>
                <w:szCs w:val="24"/>
              </w:rPr>
              <w:t> </w:t>
            </w:r>
            <w:r>
              <w:rPr>
                <w:rFonts w:ascii="宋体" w:hAnsi="宋体" w:cs="宋体" w:eastAsia="宋体" w:hint="default"/>
                <w:sz w:val="24"/>
                <w:szCs w:val="24"/>
              </w:rPr>
              <w:t>商誉。</w:t>
            </w:r>
          </w:p>
        </w:tc>
      </w:tr>
    </w:tbl>
    <w:p>
      <w:pPr>
        <w:spacing w:after="0" w:line="312" w:lineRule="exact"/>
        <w:jc w:val="both"/>
        <w:rPr>
          <w:rFonts w:ascii="宋体" w:hAnsi="宋体" w:cs="宋体" w:eastAsia="宋体" w:hint="default"/>
          <w:sz w:val="24"/>
          <w:szCs w:val="24"/>
        </w:rPr>
        <w:sectPr>
          <w:headerReference w:type="default" r:id="rId76"/>
          <w:footerReference w:type="default" r:id="rId77"/>
          <w:pgSz w:w="11910" w:h="16850"/>
          <w:pgMar w:header="1474" w:footer="956" w:top="2960" w:bottom="1140" w:left="820" w:right="0"/>
          <w:pgNumType w:start="141"/>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6531"/>
        <w:gridCol w:w="3093"/>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653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093"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65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非同一控制下企业合并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093"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65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3093" w:type="dxa"/>
            <w:tcBorders>
              <w:top w:val="nil" w:sz="6" w:space="0" w:color="auto"/>
              <w:left w:val="nil" w:sz="6" w:space="0" w:color="auto"/>
              <w:bottom w:val="nil" w:sz="6" w:space="0" w:color="auto"/>
              <w:right w:val="nil" w:sz="6" w:space="0" w:color="auto"/>
            </w:tcBorders>
          </w:tcPr>
          <w:p>
            <w:pPr/>
          </w:p>
        </w:tc>
      </w:tr>
      <w:tr>
        <w:trPr>
          <w:trHeight w:val="1828" w:hRule="exact"/>
        </w:trPr>
        <w:tc>
          <w:tcPr>
            <w:tcW w:w="10396"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5"/>
              <w:ind w:left="908" w:right="198"/>
              <w:jc w:val="both"/>
              <w:rPr>
                <w:rFonts w:ascii="宋体" w:hAnsi="宋体" w:cs="宋体" w:eastAsia="宋体" w:hint="default"/>
                <w:sz w:val="24"/>
                <w:szCs w:val="24"/>
              </w:rPr>
            </w:pPr>
            <w:r>
              <w:rPr>
                <w:rFonts w:ascii="宋体" w:hAnsi="宋体" w:cs="宋体" w:eastAsia="宋体" w:hint="default"/>
                <w:sz w:val="24"/>
                <w:szCs w:val="24"/>
              </w:rPr>
              <w:t>本集团原持有日本</w:t>
            </w:r>
            <w:r>
              <w:rPr>
                <w:rFonts w:ascii="宋体" w:hAnsi="宋体" w:cs="宋体" w:eastAsia="宋体" w:hint="default"/>
                <w:spacing w:val="-47"/>
                <w:sz w:val="24"/>
                <w:szCs w:val="24"/>
              </w:rPr>
              <w:t> </w:t>
            </w:r>
            <w:r>
              <w:rPr>
                <w:rFonts w:ascii="Arial" w:hAnsi="Arial" w:cs="Arial" w:eastAsia="Arial" w:hint="default"/>
                <w:sz w:val="24"/>
                <w:szCs w:val="24"/>
              </w:rPr>
              <w:t>LAOX</w:t>
            </w:r>
            <w:r>
              <w:rPr>
                <w:rFonts w:ascii="Arial" w:hAnsi="Arial" w:cs="Arial" w:eastAsia="Arial" w:hint="default"/>
                <w:spacing w:val="6"/>
                <w:sz w:val="24"/>
                <w:szCs w:val="24"/>
              </w:rPr>
              <w:t> </w:t>
            </w:r>
            <w:r>
              <w:rPr>
                <w:rFonts w:ascii="宋体" w:hAnsi="宋体" w:cs="宋体" w:eastAsia="宋体" w:hint="default"/>
                <w:sz w:val="24"/>
                <w:szCs w:val="24"/>
              </w:rPr>
              <w:t>株式会社</w:t>
            </w:r>
            <w:r>
              <w:rPr>
                <w:rFonts w:ascii="宋体" w:hAnsi="宋体" w:cs="宋体" w:eastAsia="宋体" w:hint="default"/>
                <w:spacing w:val="-47"/>
                <w:sz w:val="24"/>
                <w:szCs w:val="24"/>
              </w:rPr>
              <w:t> </w:t>
            </w:r>
            <w:r>
              <w:rPr>
                <w:rFonts w:ascii="Arial" w:hAnsi="Arial" w:cs="Arial" w:eastAsia="Arial" w:hint="default"/>
                <w:sz w:val="24"/>
                <w:szCs w:val="24"/>
              </w:rPr>
              <w:t>34.28%</w:t>
            </w:r>
            <w:r>
              <w:rPr>
                <w:rFonts w:ascii="宋体" w:hAnsi="宋体" w:cs="宋体" w:eastAsia="宋体" w:hint="default"/>
                <w:sz w:val="24"/>
                <w:szCs w:val="24"/>
              </w:rPr>
              <w:t>的股权，于</w:t>
            </w:r>
            <w:r>
              <w:rPr>
                <w:rFonts w:ascii="宋体" w:hAnsi="宋体" w:cs="宋体" w:eastAsia="宋体" w:hint="default"/>
                <w:spacing w:val="-47"/>
                <w:sz w:val="24"/>
                <w:szCs w:val="24"/>
              </w:rPr>
              <w:t> </w:t>
            </w:r>
            <w:r>
              <w:rPr>
                <w:rFonts w:ascii="Arial" w:hAnsi="Arial" w:cs="Arial" w:eastAsia="Arial" w:hint="default"/>
                <w:spacing w:val="-4"/>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8</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日，日本</w:t>
            </w:r>
            <w:r>
              <w:rPr>
                <w:rFonts w:ascii="宋体" w:hAnsi="宋体" w:cs="宋体" w:eastAsia="宋体" w:hint="default"/>
                <w:spacing w:val="-47"/>
                <w:sz w:val="24"/>
                <w:szCs w:val="24"/>
              </w:rPr>
              <w:t> </w:t>
            </w:r>
            <w:r>
              <w:rPr>
                <w:rFonts w:ascii="Arial" w:hAnsi="Arial" w:cs="Arial" w:eastAsia="Arial" w:hint="default"/>
                <w:sz w:val="24"/>
                <w:szCs w:val="24"/>
              </w:rPr>
              <w:t>LAOX</w:t>
            </w:r>
            <w:r>
              <w:rPr>
                <w:rFonts w:ascii="Arial" w:hAnsi="Arial" w:cs="Arial" w:eastAsia="Arial" w:hint="default"/>
                <w:w w:val="100"/>
                <w:sz w:val="24"/>
                <w:szCs w:val="24"/>
              </w:rPr>
              <w:t> </w:t>
            </w:r>
            <w:r>
              <w:rPr>
                <w:rFonts w:ascii="宋体" w:hAnsi="宋体" w:cs="宋体" w:eastAsia="宋体" w:hint="default"/>
                <w:sz w:val="24"/>
                <w:szCs w:val="24"/>
              </w:rPr>
              <w:t>株式会社向本公司之子公司开曼苏宁电器有限公司定向增发共计</w:t>
            </w:r>
            <w:r>
              <w:rPr>
                <w:rFonts w:ascii="宋体" w:hAnsi="宋体" w:cs="宋体" w:eastAsia="宋体" w:hint="default"/>
                <w:spacing w:val="-62"/>
                <w:sz w:val="24"/>
                <w:szCs w:val="24"/>
              </w:rPr>
              <w:t> </w:t>
            </w:r>
            <w:r>
              <w:rPr>
                <w:rFonts w:ascii="Arial" w:hAnsi="Arial" w:cs="Arial" w:eastAsia="Arial" w:hint="default"/>
                <w:sz w:val="24"/>
                <w:szCs w:val="24"/>
              </w:rPr>
              <w:t>179,235,000</w:t>
            </w:r>
            <w:r>
              <w:rPr>
                <w:rFonts w:ascii="Arial" w:hAnsi="Arial" w:cs="Arial" w:eastAsia="Arial" w:hint="default"/>
                <w:spacing w:val="-6"/>
                <w:sz w:val="24"/>
                <w:szCs w:val="24"/>
              </w:rPr>
              <w:t> </w:t>
            </w:r>
            <w:r>
              <w:rPr>
                <w:rFonts w:ascii="宋体" w:hAnsi="宋体" w:cs="宋体" w:eastAsia="宋体" w:hint="default"/>
                <w:spacing w:val="-19"/>
                <w:sz w:val="24"/>
                <w:szCs w:val="24"/>
              </w:rPr>
              <w:t>股股份，本</w:t>
            </w:r>
            <w:r>
              <w:rPr>
                <w:rFonts w:ascii="宋体" w:hAnsi="宋体" w:cs="宋体" w:eastAsia="宋体" w:hint="default"/>
                <w:sz w:val="24"/>
                <w:szCs w:val="24"/>
              </w:rPr>
              <w:t> 次追加投资后，本集团对日本 </w:t>
            </w:r>
            <w:r>
              <w:rPr>
                <w:rFonts w:ascii="Arial" w:hAnsi="Arial" w:cs="Arial" w:eastAsia="Arial" w:hint="default"/>
                <w:sz w:val="24"/>
                <w:szCs w:val="24"/>
              </w:rPr>
              <w:t>LAOX </w:t>
            </w:r>
            <w:r>
              <w:rPr>
                <w:rFonts w:ascii="宋体" w:hAnsi="宋体" w:cs="宋体" w:eastAsia="宋体" w:hint="default"/>
                <w:sz w:val="24"/>
                <w:szCs w:val="24"/>
              </w:rPr>
              <w:t>株式会社持股比例达到</w:t>
            </w:r>
            <w:r>
              <w:rPr>
                <w:rFonts w:ascii="宋体" w:hAnsi="宋体" w:cs="宋体" w:eastAsia="宋体" w:hint="default"/>
                <w:spacing w:val="-68"/>
                <w:sz w:val="24"/>
                <w:szCs w:val="24"/>
              </w:rPr>
              <w:t> </w:t>
            </w:r>
            <w:r>
              <w:rPr>
                <w:rFonts w:ascii="Arial" w:hAnsi="Arial" w:cs="Arial" w:eastAsia="Arial" w:hint="default"/>
                <w:sz w:val="24"/>
                <w:szCs w:val="24"/>
              </w:rPr>
              <w:t>51%</w:t>
            </w:r>
            <w:r>
              <w:rPr>
                <w:rFonts w:ascii="宋体" w:hAnsi="宋体" w:cs="宋体" w:eastAsia="宋体" w:hint="default"/>
                <w:sz w:val="24"/>
                <w:szCs w:val="24"/>
              </w:rPr>
              <w:t>。自此，本集团取得对 其的控制。本次交易的购买日为</w:t>
            </w:r>
            <w:r>
              <w:rPr>
                <w:rFonts w:ascii="宋体" w:hAnsi="宋体" w:cs="宋体" w:eastAsia="宋体" w:hint="default"/>
                <w:spacing w:val="-56"/>
                <w:sz w:val="24"/>
                <w:szCs w:val="24"/>
              </w:rPr>
              <w:t>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8</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29</w:t>
            </w:r>
            <w:r>
              <w:rPr>
                <w:rFonts w:ascii="Arial" w:hAnsi="Arial" w:cs="Arial" w:eastAsia="Arial" w:hint="default"/>
                <w:spacing w:val="-2"/>
                <w:sz w:val="24"/>
                <w:szCs w:val="24"/>
              </w:rPr>
              <w:t> </w:t>
            </w:r>
            <w:r>
              <w:rPr>
                <w:rFonts w:ascii="宋体" w:hAnsi="宋体" w:cs="宋体" w:eastAsia="宋体" w:hint="default"/>
                <w:sz w:val="24"/>
                <w:szCs w:val="24"/>
              </w:rPr>
              <w:t>日，系本公司实际取得日本</w:t>
            </w:r>
            <w:r>
              <w:rPr>
                <w:rFonts w:ascii="宋体" w:hAnsi="宋体" w:cs="宋体" w:eastAsia="宋体" w:hint="default"/>
                <w:spacing w:val="-56"/>
                <w:sz w:val="24"/>
                <w:szCs w:val="24"/>
              </w:rPr>
              <w:t> </w:t>
            </w:r>
            <w:r>
              <w:rPr>
                <w:rFonts w:ascii="Arial" w:hAnsi="Arial" w:cs="Arial" w:eastAsia="Arial" w:hint="default"/>
                <w:sz w:val="24"/>
                <w:szCs w:val="24"/>
              </w:rPr>
              <w:t>LAOX</w:t>
            </w:r>
            <w:r>
              <w:rPr>
                <w:rFonts w:ascii="Arial" w:hAnsi="Arial" w:cs="Arial" w:eastAsia="Arial" w:hint="default"/>
                <w:spacing w:val="-4"/>
                <w:sz w:val="24"/>
                <w:szCs w:val="24"/>
              </w:rPr>
              <w:t> </w:t>
            </w:r>
            <w:r>
              <w:rPr>
                <w:rFonts w:ascii="宋体" w:hAnsi="宋体" w:cs="宋体" w:eastAsia="宋体" w:hint="default"/>
                <w:sz w:val="24"/>
                <w:szCs w:val="24"/>
              </w:rPr>
              <w:t>株式 会社控制权的日期。</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(i)</w:t>
            </w:r>
          </w:p>
        </w:tc>
        <w:tc>
          <w:tcPr>
            <w:tcW w:w="653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商誉的确认情况如下：</w:t>
            </w:r>
          </w:p>
        </w:tc>
        <w:tc>
          <w:tcPr>
            <w:tcW w:w="3093" w:type="dxa"/>
            <w:tcBorders>
              <w:top w:val="nil" w:sz="6" w:space="0" w:color="auto"/>
              <w:left w:val="nil" w:sz="6" w:space="0" w:color="auto"/>
              <w:bottom w:val="nil" w:sz="6" w:space="0" w:color="auto"/>
              <w:right w:val="nil" w:sz="6" w:space="0" w:color="auto"/>
            </w:tcBorders>
          </w:tcPr>
          <w:p>
            <w:pP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Arial" w:hAnsi="Arial" w:cs="Arial" w:eastAsia="Arial" w:hint="default"/>
                <w:sz w:val="24"/>
                <w:szCs w:val="24"/>
              </w:rPr>
            </w:pPr>
            <w:r>
              <w:rPr>
                <w:rFonts w:ascii="宋体" w:hAnsi="宋体" w:cs="宋体" w:eastAsia="宋体" w:hint="default"/>
                <w:sz w:val="24"/>
                <w:szCs w:val="24"/>
              </w:rPr>
              <w:t>合并成本</w:t>
            </w:r>
            <w:r>
              <w:rPr>
                <w:rFonts w:ascii="宋体" w:hAnsi="宋体" w:cs="宋体" w:eastAsia="宋体" w:hint="default"/>
                <w:spacing w:val="-1"/>
                <w:sz w:val="24"/>
                <w:szCs w:val="24"/>
              </w:rPr>
              <w:t> </w:t>
            </w:r>
            <w:r>
              <w:rPr>
                <w:rFonts w:ascii="Arial" w:hAnsi="Arial" w:cs="Arial" w:eastAsia="Arial" w:hint="default"/>
                <w:sz w:val="24"/>
                <w:szCs w:val="24"/>
              </w:rPr>
              <w:t>-</w:t>
            </w:r>
          </w:p>
        </w:tc>
        <w:tc>
          <w:tcPr>
            <w:tcW w:w="3093" w:type="dxa"/>
            <w:tcBorders>
              <w:top w:val="nil" w:sz="6" w:space="0" w:color="auto"/>
              <w:left w:val="nil" w:sz="6" w:space="0" w:color="auto"/>
              <w:bottom w:val="nil" w:sz="6" w:space="0" w:color="auto"/>
              <w:right w:val="nil" w:sz="6" w:space="0" w:color="auto"/>
            </w:tcBorders>
          </w:tcPr>
          <w:p>
            <w:pP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70" w:lineRule="exact"/>
              <w:ind w:left="136" w:right="0"/>
              <w:jc w:val="left"/>
              <w:rPr>
                <w:rFonts w:ascii="宋体" w:hAnsi="宋体" w:cs="宋体" w:eastAsia="宋体" w:hint="default"/>
                <w:sz w:val="24"/>
                <w:szCs w:val="24"/>
              </w:rPr>
            </w:pPr>
            <w:r>
              <w:rPr>
                <w:rFonts w:ascii="宋体" w:hAnsi="宋体" w:cs="宋体" w:eastAsia="宋体" w:hint="default"/>
                <w:sz w:val="24"/>
                <w:szCs w:val="24"/>
              </w:rPr>
              <w:t>支付的现金</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58"/>
              <w:jc w:val="right"/>
              <w:rPr>
                <w:rFonts w:ascii="Arial" w:hAnsi="Arial" w:cs="Arial" w:eastAsia="Arial" w:hint="default"/>
                <w:sz w:val="24"/>
                <w:szCs w:val="24"/>
              </w:rPr>
            </w:pPr>
            <w:r>
              <w:rPr>
                <w:rFonts w:ascii="Arial"/>
                <w:spacing w:val="-1"/>
                <w:sz w:val="24"/>
              </w:rPr>
              <w:t>522,052</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78" w:lineRule="exact"/>
              <w:ind w:left="136" w:right="0"/>
              <w:jc w:val="left"/>
              <w:rPr>
                <w:rFonts w:ascii="宋体" w:hAnsi="宋体" w:cs="宋体" w:eastAsia="宋体" w:hint="default"/>
                <w:sz w:val="24"/>
                <w:szCs w:val="24"/>
              </w:rPr>
            </w:pPr>
            <w:r>
              <w:rPr>
                <w:rFonts w:ascii="宋体" w:hAnsi="宋体" w:cs="宋体" w:eastAsia="宋体" w:hint="default"/>
                <w:sz w:val="24"/>
                <w:szCs w:val="24"/>
              </w:rPr>
              <w:t>原持有的</w:t>
            </w:r>
            <w:r>
              <w:rPr>
                <w:rFonts w:ascii="宋体" w:hAnsi="宋体" w:cs="宋体" w:eastAsia="宋体" w:hint="default"/>
                <w:spacing w:val="-66"/>
                <w:sz w:val="24"/>
                <w:szCs w:val="24"/>
              </w:rPr>
              <w:t> </w:t>
            </w:r>
            <w:r>
              <w:rPr>
                <w:rFonts w:ascii="Arial" w:hAnsi="Arial" w:cs="Arial" w:eastAsia="Arial" w:hint="default"/>
                <w:sz w:val="24"/>
                <w:szCs w:val="24"/>
              </w:rPr>
              <w:t>34.28%</w:t>
            </w:r>
            <w:r>
              <w:rPr>
                <w:rFonts w:ascii="宋体" w:hAnsi="宋体" w:cs="宋体" w:eastAsia="宋体" w:hint="default"/>
                <w:sz w:val="24"/>
                <w:szCs w:val="24"/>
              </w:rPr>
              <w:t>的股权于购买日的公允价值</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w:hAnsi="Arial" w:cs="Arial" w:eastAsia="Arial" w:hint="default"/>
                <w:sz w:val="24"/>
                <w:szCs w:val="24"/>
              </w:rPr>
            </w:pPr>
            <w:r>
              <w:rPr>
                <w:rFonts w:ascii="Arial"/>
                <w:spacing w:val="-1"/>
                <w:sz w:val="24"/>
              </w:rPr>
              <w:t>392,095</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w:hAnsi="Arial" w:cs="Arial" w:eastAsia="Arial" w:hint="default"/>
                <w:sz w:val="24"/>
                <w:szCs w:val="24"/>
              </w:rPr>
            </w:pPr>
            <w:r>
              <w:rPr>
                <w:rFonts w:ascii="Arial"/>
                <w:spacing w:val="-1"/>
                <w:sz w:val="24"/>
              </w:rPr>
              <w:t>914,147</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30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40" w:lineRule="auto" w:before="21"/>
              <w:ind w:right="38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(688,140)</w:t>
            </w:r>
            <w:r>
              <w:rPr>
                <w:rFonts w:ascii="Arial"/>
                <w:spacing w:val="-1"/>
                <w:sz w:val="24"/>
              </w:rPr>
            </w:r>
          </w:p>
        </w:tc>
      </w:tr>
      <w:tr>
        <w:trPr>
          <w:trHeight w:val="606"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093" w:type="dxa"/>
            <w:tcBorders>
              <w:top w:val="nil" w:sz="6" w:space="0" w:color="auto"/>
              <w:left w:val="nil" w:sz="6" w:space="0" w:color="auto"/>
              <w:bottom w:val="nil" w:sz="6" w:space="0" w:color="auto"/>
              <w:right w:val="nil" w:sz="6" w:space="0" w:color="auto"/>
            </w:tcBorders>
          </w:tcPr>
          <w:p>
            <w:pPr>
              <w:pStyle w:val="TableParagraph"/>
              <w:tabs>
                <w:tab w:pos="1745" w:val="left" w:leader="none"/>
                <w:tab w:pos="2719" w:val="left" w:leader="none"/>
              </w:tabs>
              <w:spacing w:line="240" w:lineRule="auto" w:before="25"/>
              <w:ind w:right="35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226,007</w:t>
              <w:tab/>
            </w:r>
            <w:r>
              <w:rPr>
                <w:rFonts w:ascii="Arial"/>
                <w:spacing w:val="-1"/>
                <w:sz w:val="24"/>
              </w:rPr>
            </w:r>
          </w:p>
        </w:tc>
      </w:tr>
      <w:tr>
        <w:trPr>
          <w:trHeight w:val="73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(ii)</w:t>
            </w:r>
          </w:p>
        </w:tc>
        <w:tc>
          <w:tcPr>
            <w:tcW w:w="96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4"/>
                <w:szCs w:val="24"/>
              </w:rPr>
            </w:pPr>
            <w:r>
              <w:rPr>
                <w:rFonts w:ascii="宋体" w:hAnsi="宋体" w:cs="宋体" w:eastAsia="宋体" w:hint="default"/>
                <w:sz w:val="24"/>
                <w:szCs w:val="24"/>
              </w:rPr>
              <w:t>对购买日之前原持有的</w:t>
            </w:r>
            <w:r>
              <w:rPr>
                <w:rFonts w:ascii="宋体" w:hAnsi="宋体" w:cs="宋体" w:eastAsia="宋体" w:hint="default"/>
                <w:spacing w:val="-65"/>
                <w:sz w:val="24"/>
                <w:szCs w:val="24"/>
              </w:rPr>
              <w:t> </w:t>
            </w:r>
            <w:r>
              <w:rPr>
                <w:rFonts w:ascii="Arial" w:hAnsi="Arial" w:cs="Arial" w:eastAsia="Arial" w:hint="default"/>
                <w:sz w:val="24"/>
                <w:szCs w:val="24"/>
              </w:rPr>
              <w:t>34.28%</w:t>
            </w:r>
            <w:r>
              <w:rPr>
                <w:rFonts w:ascii="宋体" w:hAnsi="宋体" w:cs="宋体" w:eastAsia="宋体" w:hint="default"/>
                <w:sz w:val="24"/>
                <w:szCs w:val="24"/>
              </w:rPr>
              <w:t>的股权按照公允价值重新计量产生的利得或损失</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原持有的</w:t>
            </w:r>
            <w:r>
              <w:rPr>
                <w:rFonts w:ascii="宋体" w:hAnsi="宋体" w:cs="宋体" w:eastAsia="宋体" w:hint="default"/>
                <w:spacing w:val="-66"/>
                <w:sz w:val="24"/>
                <w:szCs w:val="24"/>
              </w:rPr>
              <w:t> </w:t>
            </w:r>
            <w:r>
              <w:rPr>
                <w:rFonts w:ascii="Arial" w:hAnsi="Arial" w:cs="Arial" w:eastAsia="Arial" w:hint="default"/>
                <w:sz w:val="24"/>
                <w:szCs w:val="24"/>
              </w:rPr>
              <w:t>34.28%</w:t>
            </w:r>
            <w:r>
              <w:rPr>
                <w:rFonts w:ascii="宋体" w:hAnsi="宋体" w:cs="宋体" w:eastAsia="宋体" w:hint="default"/>
                <w:sz w:val="24"/>
                <w:szCs w:val="24"/>
              </w:rPr>
              <w:t>的股权的公允价值</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459"/>
              <w:jc w:val="right"/>
              <w:rPr>
                <w:rFonts w:ascii="Arial" w:hAnsi="Arial" w:cs="Arial" w:eastAsia="Arial" w:hint="default"/>
                <w:sz w:val="24"/>
                <w:szCs w:val="24"/>
              </w:rPr>
            </w:pPr>
            <w:r>
              <w:rPr>
                <w:rFonts w:ascii="Arial"/>
                <w:spacing w:val="-1"/>
                <w:sz w:val="24"/>
              </w:rPr>
              <w:t>392,095</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78" w:lineRule="exact"/>
              <w:ind w:left="136" w:right="0"/>
              <w:jc w:val="left"/>
              <w:rPr>
                <w:rFonts w:ascii="宋体" w:hAnsi="宋体" w:cs="宋体" w:eastAsia="宋体" w:hint="default"/>
                <w:sz w:val="24"/>
                <w:szCs w:val="24"/>
              </w:rPr>
            </w:pPr>
            <w:r>
              <w:rPr>
                <w:rFonts w:ascii="宋体" w:hAnsi="宋体" w:cs="宋体" w:eastAsia="宋体" w:hint="default"/>
                <w:sz w:val="24"/>
                <w:szCs w:val="24"/>
              </w:rPr>
              <w:t>减：原持有的</w:t>
            </w:r>
            <w:r>
              <w:rPr>
                <w:rFonts w:ascii="宋体" w:hAnsi="宋体" w:cs="宋体" w:eastAsia="宋体" w:hint="default"/>
                <w:spacing w:val="-64"/>
                <w:sz w:val="24"/>
                <w:szCs w:val="24"/>
              </w:rPr>
              <w:t> </w:t>
            </w:r>
            <w:r>
              <w:rPr>
                <w:rFonts w:ascii="Arial" w:hAnsi="Arial" w:cs="Arial" w:eastAsia="Arial" w:hint="default"/>
                <w:sz w:val="24"/>
                <w:szCs w:val="24"/>
              </w:rPr>
              <w:t>34.28%</w:t>
            </w:r>
            <w:r>
              <w:rPr>
                <w:rFonts w:ascii="宋体" w:hAnsi="宋体" w:cs="宋体" w:eastAsia="宋体" w:hint="default"/>
                <w:sz w:val="24"/>
                <w:szCs w:val="24"/>
              </w:rPr>
              <w:t>的股权的账面价值</w:t>
            </w:r>
          </w:p>
        </w:tc>
        <w:tc>
          <w:tcPr>
            <w:tcW w:w="3093" w:type="dxa"/>
            <w:tcBorders>
              <w:top w:val="nil" w:sz="6" w:space="0" w:color="auto"/>
              <w:left w:val="nil" w:sz="6" w:space="0" w:color="auto"/>
              <w:bottom w:val="nil" w:sz="6" w:space="0" w:color="auto"/>
              <w:right w:val="nil" w:sz="6" w:space="0" w:color="auto"/>
            </w:tcBorders>
          </w:tcPr>
          <w:p>
            <w:pPr>
              <w:pStyle w:val="TableParagraph"/>
              <w:tabs>
                <w:tab w:pos="1661" w:val="left" w:leader="none"/>
              </w:tabs>
              <w:spacing w:line="240" w:lineRule="auto" w:before="21"/>
              <w:ind w:right="38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(212,872)</w:t>
            </w:r>
            <w:r>
              <w:rPr>
                <w:rFonts w:ascii="Arial"/>
                <w:spacing w:val="-1"/>
                <w:sz w:val="24"/>
              </w:rPr>
            </w:r>
          </w:p>
        </w:tc>
      </w:tr>
      <w:tr>
        <w:trPr>
          <w:trHeight w:val="296" w:hRule="exact"/>
        </w:trPr>
        <w:tc>
          <w:tcPr>
            <w:tcW w:w="772" w:type="dxa"/>
            <w:tcBorders>
              <w:top w:val="nil" w:sz="6" w:space="0" w:color="auto"/>
              <w:left w:val="nil" w:sz="6" w:space="0" w:color="auto"/>
              <w:bottom w:val="nil" w:sz="6" w:space="0" w:color="auto"/>
              <w:right w:val="nil" w:sz="6" w:space="0" w:color="auto"/>
            </w:tcBorders>
          </w:tcPr>
          <w:p>
            <w:pPr/>
          </w:p>
        </w:tc>
        <w:tc>
          <w:tcPr>
            <w:tcW w:w="6531" w:type="dxa"/>
            <w:tcBorders>
              <w:top w:val="nil" w:sz="6" w:space="0" w:color="auto"/>
              <w:left w:val="nil" w:sz="6" w:space="0" w:color="auto"/>
              <w:bottom w:val="nil" w:sz="6" w:space="0" w:color="auto"/>
              <w:right w:val="nil" w:sz="6" w:space="0" w:color="auto"/>
            </w:tcBorders>
          </w:tcPr>
          <w:p>
            <w:pPr>
              <w:pStyle w:val="TableParagraph"/>
              <w:spacing w:line="282" w:lineRule="exact"/>
              <w:ind w:left="136" w:right="0"/>
              <w:jc w:val="left"/>
              <w:rPr>
                <w:rFonts w:ascii="Arial" w:hAnsi="Arial" w:cs="Arial" w:eastAsia="Arial" w:hint="default"/>
                <w:sz w:val="24"/>
                <w:szCs w:val="24"/>
              </w:rPr>
            </w:pPr>
            <w:r>
              <w:rPr>
                <w:rFonts w:ascii="宋体" w:hAnsi="宋体" w:cs="宋体" w:eastAsia="宋体" w:hint="default"/>
                <w:sz w:val="24"/>
                <w:szCs w:val="24"/>
              </w:rPr>
              <w:t>重新计量产生的利得</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(41))</w:t>
            </w:r>
          </w:p>
        </w:tc>
        <w:tc>
          <w:tcPr>
            <w:tcW w:w="3093" w:type="dxa"/>
            <w:tcBorders>
              <w:top w:val="nil" w:sz="6" w:space="0" w:color="auto"/>
              <w:left w:val="nil" w:sz="6" w:space="0" w:color="auto"/>
              <w:bottom w:val="nil" w:sz="6" w:space="0" w:color="auto"/>
              <w:right w:val="nil" w:sz="6" w:space="0" w:color="auto"/>
            </w:tcBorders>
          </w:tcPr>
          <w:p>
            <w:pPr>
              <w:pStyle w:val="TableParagraph"/>
              <w:tabs>
                <w:tab w:pos="1745" w:val="left" w:leader="none"/>
                <w:tab w:pos="2719" w:val="left" w:leader="none"/>
              </w:tabs>
              <w:spacing w:line="240" w:lineRule="auto" w:before="25"/>
              <w:ind w:right="35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179,223</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3737"/>
        <w:gridCol w:w="1704"/>
        <w:gridCol w:w="283"/>
        <w:gridCol w:w="1700"/>
        <w:gridCol w:w="283"/>
        <w:gridCol w:w="156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3737"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704"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700"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562"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非同一控制下企业合并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70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日本</w:t>
            </w:r>
            <w:r>
              <w:rPr>
                <w:rFonts w:ascii="宋体" w:hAnsi="宋体" w:cs="宋体" w:eastAsia="宋体" w:hint="default"/>
                <w:spacing w:val="-62"/>
                <w:sz w:val="24"/>
                <w:szCs w:val="24"/>
              </w:rPr>
              <w:t> </w:t>
            </w:r>
            <w:r>
              <w:rPr>
                <w:rFonts w:ascii="Arial" w:hAnsi="Arial" w:cs="Arial" w:eastAsia="Arial" w:hint="default"/>
                <w:sz w:val="24"/>
                <w:szCs w:val="24"/>
              </w:rPr>
              <w:t>LAOX</w:t>
            </w:r>
            <w:r>
              <w:rPr>
                <w:rFonts w:ascii="Arial" w:hAnsi="Arial" w:cs="Arial" w:eastAsia="Arial" w:hint="default"/>
                <w:spacing w:val="-9"/>
                <w:sz w:val="24"/>
                <w:szCs w:val="24"/>
              </w:rPr>
              <w:t> </w:t>
            </w:r>
            <w:r>
              <w:rPr>
                <w:rFonts w:ascii="宋体" w:hAnsi="宋体" w:cs="宋体" w:eastAsia="宋体" w:hint="default"/>
                <w:sz w:val="24"/>
                <w:szCs w:val="24"/>
              </w:rPr>
              <w:t>株式会社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70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(iii)</w:t>
            </w:r>
          </w:p>
        </w:tc>
        <w:tc>
          <w:tcPr>
            <w:tcW w:w="927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7"/>
              <w:ind w:left="127"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株式会社于购买日的资产、负债及与收购相关的现金流量情况列示如下：</w:t>
            </w:r>
          </w:p>
        </w:tc>
      </w:tr>
      <w:tr>
        <w:trPr>
          <w:trHeight w:val="76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313" w:lineRule="exact" w:before="94"/>
              <w:ind w:left="773" w:right="0"/>
              <w:jc w:val="center"/>
              <w:rPr>
                <w:rFonts w:ascii="宋体" w:hAnsi="宋体" w:cs="宋体" w:eastAsia="宋体" w:hint="default"/>
                <w:sz w:val="24"/>
                <w:szCs w:val="24"/>
              </w:rPr>
            </w:pPr>
            <w:r>
              <w:rPr>
                <w:rFonts w:ascii="宋体" w:hAnsi="宋体" w:cs="宋体" w:eastAsia="宋体" w:hint="default"/>
                <w:sz w:val="24"/>
                <w:szCs w:val="24"/>
              </w:rPr>
              <w:t>购买日</w:t>
            </w:r>
          </w:p>
          <w:p>
            <w:pPr>
              <w:pStyle w:val="TableParagraph"/>
              <w:spacing w:line="330" w:lineRule="exact"/>
              <w:ind w:left="610"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313" w:lineRule="exact" w:before="94"/>
              <w:ind w:left="522" w:right="0"/>
              <w:jc w:val="center"/>
              <w:rPr>
                <w:rFonts w:ascii="宋体" w:hAnsi="宋体" w:cs="宋体" w:eastAsia="宋体" w:hint="default"/>
                <w:sz w:val="24"/>
                <w:szCs w:val="24"/>
              </w:rPr>
            </w:pPr>
            <w:r>
              <w:rPr>
                <w:rFonts w:ascii="宋体" w:hAnsi="宋体" w:cs="宋体" w:eastAsia="宋体" w:hint="default"/>
                <w:sz w:val="24"/>
                <w:szCs w:val="24"/>
              </w:rPr>
              <w:t>购买日</w:t>
            </w:r>
          </w:p>
          <w:p>
            <w:pPr>
              <w:pStyle w:val="TableParagraph"/>
              <w:spacing w:line="330" w:lineRule="exact"/>
              <w:ind w:left="360" w:right="0"/>
              <w:jc w:val="center"/>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人民币</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62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261"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4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70" w:lineRule="exact"/>
              <w:ind w:right="104"/>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70" w:lineRule="exact"/>
              <w:ind w:left="511"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450"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3"/>
              <w:jc w:val="right"/>
              <w:rPr>
                <w:rFonts w:ascii="Arial" w:hAnsi="Arial" w:cs="Arial" w:eastAsia="Arial" w:hint="default"/>
                <w:sz w:val="24"/>
                <w:szCs w:val="24"/>
              </w:rPr>
            </w:pPr>
            <w:r>
              <w:rPr>
                <w:rFonts w:ascii="Arial"/>
                <w:spacing w:val="-1"/>
                <w:sz w:val="24"/>
              </w:rPr>
              <w:t>758,104</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7"/>
              <w:jc w:val="right"/>
              <w:rPr>
                <w:rFonts w:ascii="Arial" w:hAnsi="Arial" w:cs="Arial" w:eastAsia="Arial" w:hint="default"/>
                <w:sz w:val="24"/>
                <w:szCs w:val="24"/>
              </w:rPr>
            </w:pPr>
            <w:r>
              <w:rPr>
                <w:rFonts w:ascii="Arial"/>
                <w:spacing w:val="-1"/>
                <w:sz w:val="24"/>
              </w:rPr>
              <w:t>758,104</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Arial" w:hAnsi="Arial" w:cs="Arial" w:eastAsia="Arial" w:hint="default"/>
                <w:sz w:val="24"/>
                <w:szCs w:val="24"/>
              </w:rPr>
            </w:pPr>
            <w:r>
              <w:rPr>
                <w:rFonts w:ascii="Arial"/>
                <w:spacing w:val="-1"/>
                <w:sz w:val="24"/>
              </w:rPr>
              <w:t>42,141</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40,762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40,762</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58,048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134,614</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133,814</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164,938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22,042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22,042</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63,003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4"/>
                <w:szCs w:val="24"/>
              </w:rPr>
            </w:pPr>
            <w:r>
              <w:rPr>
                <w:rFonts w:ascii="Arial"/>
                <w:w w:val="95"/>
                <w:sz w:val="24"/>
              </w:rPr>
              <w:t>991</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4"/>
              <w:jc w:val="right"/>
              <w:rPr>
                <w:rFonts w:ascii="Arial" w:hAnsi="Arial" w:cs="Arial" w:eastAsia="Arial" w:hint="default"/>
                <w:sz w:val="24"/>
                <w:szCs w:val="24"/>
              </w:rPr>
            </w:pPr>
            <w:r>
              <w:rPr>
                <w:rFonts w:ascii="Arial"/>
                <w:w w:val="95"/>
                <w:sz w:val="24"/>
              </w:rPr>
              <w:t>991</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1,369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295,867</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295,867</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316,879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4"/>
                <w:szCs w:val="24"/>
              </w:rPr>
            </w:pPr>
            <w:r>
              <w:rPr>
                <w:rFonts w:ascii="Arial"/>
                <w:spacing w:val="-1"/>
                <w:sz w:val="24"/>
              </w:rPr>
              <w:t>101,599</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85,212</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95,473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4"/>
                <w:szCs w:val="24"/>
              </w:rPr>
            </w:pPr>
            <w:r>
              <w:rPr>
                <w:rFonts w:ascii="Arial"/>
                <w:spacing w:val="-1"/>
                <w:sz w:val="24"/>
              </w:rPr>
              <w:t>407,179</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spacing w:val="-1"/>
                <w:sz w:val="24"/>
              </w:rPr>
              <w:t>6,429</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w w:val="95"/>
                <w:sz w:val="24"/>
              </w:rPr>
              <w:t>5,756</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Arial" w:hAnsi="Arial" w:cs="Arial" w:eastAsia="Arial" w:hint="default"/>
                <w:sz w:val="24"/>
                <w:szCs w:val="24"/>
              </w:rPr>
            </w:pPr>
            <w:r>
              <w:rPr>
                <w:rFonts w:ascii="Arial"/>
                <w:w w:val="95"/>
                <w:sz w:val="24"/>
              </w:rPr>
              <w:t>450</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4"/>
              <w:jc w:val="right"/>
              <w:rPr>
                <w:rFonts w:ascii="Arial" w:hAnsi="Arial" w:cs="Arial" w:eastAsia="Arial" w:hint="default"/>
                <w:sz w:val="24"/>
                <w:szCs w:val="24"/>
              </w:rPr>
            </w:pPr>
            <w:r>
              <w:rPr>
                <w:rFonts w:ascii="Arial"/>
                <w:w w:val="95"/>
                <w:sz w:val="24"/>
              </w:rPr>
              <w:t>450</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13,466</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减：应付款项</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
              <w:jc w:val="right"/>
              <w:rPr>
                <w:rFonts w:ascii="Arial" w:hAnsi="Arial" w:cs="Arial" w:eastAsia="Arial" w:hint="default"/>
                <w:sz w:val="24"/>
                <w:szCs w:val="24"/>
              </w:rPr>
            </w:pPr>
            <w:r>
              <w:rPr>
                <w:rFonts w:ascii="Arial"/>
                <w:spacing w:val="-1"/>
                <w:sz w:val="24"/>
              </w:rPr>
              <w:t>(127,432)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0"/>
              <w:jc w:val="right"/>
              <w:rPr>
                <w:rFonts w:ascii="Arial" w:hAnsi="Arial" w:cs="Arial" w:eastAsia="Arial" w:hint="default"/>
                <w:sz w:val="24"/>
                <w:szCs w:val="24"/>
              </w:rPr>
            </w:pPr>
            <w:r>
              <w:rPr>
                <w:rFonts w:ascii="Arial"/>
                <w:spacing w:val="-1"/>
                <w:sz w:val="24"/>
              </w:rPr>
              <w:t>(127,432)</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
              <w:jc w:val="right"/>
              <w:rPr>
                <w:rFonts w:ascii="Arial" w:hAnsi="Arial" w:cs="Arial" w:eastAsia="Arial" w:hint="default"/>
                <w:sz w:val="24"/>
                <w:szCs w:val="24"/>
              </w:rPr>
            </w:pPr>
            <w:r>
              <w:rPr>
                <w:rFonts w:ascii="Arial"/>
                <w:spacing w:val="-1"/>
                <w:sz w:val="24"/>
              </w:rPr>
              <w:t>(107,860)</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607"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
              <w:jc w:val="right"/>
              <w:rPr>
                <w:rFonts w:ascii="Arial" w:hAnsi="Arial" w:cs="Arial" w:eastAsia="Arial" w:hint="default"/>
                <w:sz w:val="24"/>
                <w:szCs w:val="24"/>
              </w:rPr>
            </w:pPr>
            <w:r>
              <w:rPr>
                <w:rFonts w:ascii="Arial"/>
                <w:spacing w:val="-1"/>
                <w:sz w:val="24"/>
              </w:rPr>
              <w:t>(63,051)</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0"/>
              <w:jc w:val="right"/>
              <w:rPr>
                <w:rFonts w:ascii="Arial" w:hAnsi="Arial" w:cs="Arial" w:eastAsia="Arial" w:hint="default"/>
                <w:sz w:val="24"/>
                <w:szCs w:val="24"/>
              </w:rPr>
            </w:pPr>
            <w:r>
              <w:rPr>
                <w:rFonts w:ascii="Arial"/>
                <w:spacing w:val="-1"/>
                <w:sz w:val="24"/>
              </w:rPr>
              <w:t>(63,051)</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
              <w:jc w:val="right"/>
              <w:rPr>
                <w:rFonts w:ascii="Arial" w:hAnsi="Arial" w:cs="Arial" w:eastAsia="Arial" w:hint="default"/>
                <w:sz w:val="24"/>
                <w:szCs w:val="24"/>
              </w:rPr>
            </w:pPr>
            <w:r>
              <w:rPr>
                <w:rFonts w:ascii="Arial"/>
                <w:spacing w:val="-1"/>
                <w:sz w:val="24"/>
              </w:rPr>
              <w:t>(32,183)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607"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
              <w:jc w:val="right"/>
              <w:rPr>
                <w:rFonts w:ascii="Arial" w:hAnsi="Arial" w:cs="Arial" w:eastAsia="Arial" w:hint="default"/>
                <w:sz w:val="24"/>
                <w:szCs w:val="24"/>
              </w:rPr>
            </w:pPr>
            <w:r>
              <w:rPr>
                <w:rFonts w:ascii="Arial"/>
                <w:spacing w:val="-1"/>
                <w:sz w:val="24"/>
              </w:rPr>
              <w:t>(65,387)</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607"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2"/>
              <w:jc w:val="right"/>
              <w:rPr>
                <w:rFonts w:ascii="Arial" w:hAnsi="Arial" w:cs="Arial" w:eastAsia="Arial" w:hint="default"/>
                <w:sz w:val="24"/>
                <w:szCs w:val="24"/>
              </w:rPr>
            </w:pPr>
            <w:r>
              <w:rPr>
                <w:rFonts w:ascii="Arial"/>
                <w:spacing w:val="-1"/>
                <w:sz w:val="24"/>
              </w:rPr>
              <w:t>(146,452)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Arial" w:hAnsi="Arial" w:cs="Arial" w:eastAsia="Arial" w:hint="default"/>
                <w:sz w:val="24"/>
                <w:szCs w:val="24"/>
              </w:rPr>
            </w:pPr>
            <w:r>
              <w:rPr>
                <w:rFonts w:ascii="Arial"/>
                <w:sz w:val="24"/>
              </w:rPr>
              <w:t>(1,340)</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3"/>
              <w:jc w:val="right"/>
              <w:rPr>
                <w:rFonts w:ascii="Arial" w:hAnsi="Arial" w:cs="Arial" w:eastAsia="Arial" w:hint="default"/>
                <w:sz w:val="24"/>
                <w:szCs w:val="24"/>
              </w:rPr>
            </w:pPr>
            <w:r>
              <w:rPr>
                <w:rFonts w:ascii="Arial"/>
                <w:sz w:val="24"/>
              </w:rPr>
              <w:t>(1,623)</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607"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0"/>
              <w:jc w:val="right"/>
              <w:rPr>
                <w:rFonts w:ascii="Arial" w:hAnsi="Arial" w:cs="Arial" w:eastAsia="Arial" w:hint="default"/>
                <w:sz w:val="24"/>
                <w:szCs w:val="24"/>
              </w:rPr>
            </w:pPr>
            <w:r>
              <w:rPr>
                <w:rFonts w:ascii="Arial"/>
                <w:sz w:val="24"/>
              </w:rPr>
              <w:t>(9,992)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38"/>
              <w:jc w:val="right"/>
              <w:rPr>
                <w:rFonts w:ascii="Arial" w:hAnsi="Arial" w:cs="Arial" w:eastAsia="Arial" w:hint="default"/>
                <w:sz w:val="24"/>
                <w:szCs w:val="24"/>
              </w:rPr>
            </w:pPr>
            <w:r>
              <w:rPr>
                <w:rFonts w:ascii="Arial"/>
                <w:sz w:val="24"/>
              </w:rPr>
              <w:t>(9,992)</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2"/>
              <w:jc w:val="right"/>
              <w:rPr>
                <w:rFonts w:ascii="Arial" w:hAnsi="Arial" w:cs="Arial" w:eastAsia="Arial" w:hint="default"/>
                <w:sz w:val="24"/>
                <w:szCs w:val="24"/>
              </w:rPr>
            </w:pPr>
            <w:r>
              <w:rPr>
                <w:rFonts w:ascii="Arial"/>
                <w:spacing w:val="-1"/>
                <w:sz w:val="24"/>
              </w:rPr>
              <w:t>(124,000)</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74" w:lineRule="exact"/>
              <w:ind w:right="102"/>
              <w:jc w:val="right"/>
              <w:rPr>
                <w:rFonts w:ascii="Arial" w:hAnsi="Arial" w:cs="Arial" w:eastAsia="Arial" w:hint="default"/>
                <w:sz w:val="24"/>
                <w:szCs w:val="24"/>
              </w:rPr>
            </w:pPr>
            <w:r>
              <w:rPr>
                <w:rFonts w:ascii="Arial"/>
                <w:spacing w:val="-1"/>
                <w:sz w:val="24"/>
              </w:rPr>
              <w:t>1,349,294</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74" w:lineRule="exact"/>
              <w:ind w:left="403" w:right="0"/>
              <w:jc w:val="left"/>
              <w:rPr>
                <w:rFonts w:ascii="Arial" w:hAnsi="Arial" w:cs="Arial" w:eastAsia="Arial" w:hint="default"/>
                <w:sz w:val="24"/>
                <w:szCs w:val="24"/>
              </w:rPr>
            </w:pPr>
            <w:r>
              <w:rPr>
                <w:rFonts w:ascii="Arial"/>
                <w:sz w:val="24"/>
              </w:rPr>
              <w:t>1,141,856</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495,407</w:t>
            </w:r>
          </w:p>
        </w:tc>
      </w:tr>
      <w:tr>
        <w:trPr>
          <w:trHeight w:val="325"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减：少数股东权益</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0"/>
              <w:jc w:val="right"/>
              <w:rPr>
                <w:rFonts w:ascii="Arial" w:hAnsi="Arial" w:cs="Arial" w:eastAsia="Arial" w:hint="default"/>
                <w:sz w:val="24"/>
                <w:szCs w:val="24"/>
              </w:rPr>
            </w:pPr>
            <w:r>
              <w:rPr>
                <w:rFonts w:ascii="Arial"/>
                <w:spacing w:val="-1"/>
                <w:sz w:val="24"/>
              </w:rPr>
              <w:t>(661,154)</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38"/>
              <w:jc w:val="right"/>
              <w:rPr>
                <w:rFonts w:ascii="Arial" w:hAnsi="Arial" w:cs="Arial" w:eastAsia="Arial" w:hint="default"/>
                <w:sz w:val="24"/>
                <w:szCs w:val="24"/>
              </w:rPr>
            </w:pPr>
            <w:r>
              <w:rPr>
                <w:rFonts w:ascii="Arial"/>
                <w:w w:val="95"/>
                <w:sz w:val="24"/>
              </w:rPr>
              <w:t>(559,509)</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36"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83" w:lineRule="exact"/>
              <w:ind w:left="127"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103"/>
              <w:jc w:val="right"/>
              <w:rPr>
                <w:rFonts w:ascii="Arial" w:hAnsi="Arial" w:cs="Arial" w:eastAsia="Arial" w:hint="default"/>
                <w:sz w:val="24"/>
                <w:szCs w:val="24"/>
              </w:rPr>
            </w:pPr>
            <w:r>
              <w:rPr>
                <w:rFonts w:ascii="Arial"/>
                <w:spacing w:val="-1"/>
                <w:sz w:val="24"/>
              </w:rPr>
              <w:t>688,140</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227"/>
              <w:jc w:val="right"/>
              <w:rPr>
                <w:rFonts w:ascii="Arial" w:hAnsi="Arial" w:cs="Arial" w:eastAsia="Arial" w:hint="default"/>
                <w:sz w:val="24"/>
                <w:szCs w:val="24"/>
              </w:rPr>
            </w:pPr>
            <w:r>
              <w:rPr>
                <w:rFonts w:ascii="Arial"/>
                <w:spacing w:val="-1"/>
                <w:sz w:val="24"/>
              </w:rPr>
              <w:t>582,347</w:t>
            </w: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105"/>
              <w:jc w:val="right"/>
              <w:rPr>
                <w:rFonts w:ascii="Arial" w:hAnsi="Arial" w:cs="Arial" w:eastAsia="Arial" w:hint="default"/>
                <w:sz w:val="24"/>
                <w:szCs w:val="24"/>
              </w:rPr>
            </w:pPr>
            <w:r>
              <w:rPr>
                <w:rFonts w:ascii="Arial"/>
                <w:spacing w:val="-1"/>
                <w:sz w:val="24"/>
              </w:rPr>
              <w:t>495,407</w:t>
            </w:r>
          </w:p>
        </w:tc>
      </w:tr>
      <w:tr>
        <w:trPr>
          <w:trHeight w:val="600"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宋体" w:hAnsi="宋体" w:cs="宋体" w:eastAsia="宋体" w:hint="default"/>
                <w:sz w:val="24"/>
                <w:szCs w:val="24"/>
              </w:rPr>
            </w:pPr>
            <w:r>
              <w:rPr>
                <w:rFonts w:ascii="宋体" w:hAnsi="宋体" w:cs="宋体" w:eastAsia="宋体" w:hint="default"/>
                <w:sz w:val="24"/>
                <w:szCs w:val="24"/>
              </w:rPr>
              <w:t>以现金支付的对价</w:t>
            </w:r>
          </w:p>
        </w:tc>
        <w:tc>
          <w:tcPr>
            <w:tcW w:w="170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Arial" w:hAnsi="Arial" w:cs="Arial" w:eastAsia="Arial" w:hint="default"/>
                <w:sz w:val="24"/>
                <w:szCs w:val="24"/>
              </w:rPr>
            </w:pPr>
            <w:r>
              <w:rPr>
                <w:rFonts w:ascii="Arial"/>
                <w:spacing w:val="-1"/>
                <w:sz w:val="24"/>
              </w:rPr>
              <w:t>522,052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single" w:sz="12" w:space="0" w:color="000000"/>
              <w:left w:val="nil" w:sz="6" w:space="0" w:color="auto"/>
              <w:bottom w:val="nil" w:sz="6" w:space="0" w:color="auto"/>
              <w:right w:val="nil" w:sz="6" w:space="0" w:color="auto"/>
            </w:tcBorders>
          </w:tcPr>
          <w:p>
            <w:pPr/>
          </w:p>
        </w:tc>
      </w:tr>
      <w:tr>
        <w:trPr>
          <w:trHeight w:val="631"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5" w:lineRule="exact"/>
              <w:ind w:left="127" w:right="0"/>
              <w:jc w:val="left"/>
              <w:rPr>
                <w:rFonts w:ascii="宋体" w:hAnsi="宋体" w:cs="宋体" w:eastAsia="宋体" w:hint="default"/>
                <w:sz w:val="24"/>
                <w:szCs w:val="24"/>
              </w:rPr>
            </w:pPr>
            <w:r>
              <w:rPr>
                <w:rFonts w:ascii="宋体" w:hAnsi="宋体" w:cs="宋体" w:eastAsia="宋体" w:hint="default"/>
                <w:spacing w:val="-7"/>
                <w:sz w:val="24"/>
                <w:szCs w:val="24"/>
              </w:rPr>
              <w:t>减：取得的被收购公司的现金及现</w:t>
            </w:r>
          </w:p>
          <w:p>
            <w:pPr>
              <w:pStyle w:val="TableParagraph"/>
              <w:spacing w:line="313" w:lineRule="exact"/>
              <w:ind w:left="633" w:right="0"/>
              <w:jc w:val="left"/>
              <w:rPr>
                <w:rFonts w:ascii="宋体" w:hAnsi="宋体" w:cs="宋体" w:eastAsia="宋体" w:hint="default"/>
                <w:sz w:val="24"/>
                <w:szCs w:val="24"/>
              </w:rPr>
            </w:pPr>
            <w:r>
              <w:rPr>
                <w:rFonts w:ascii="宋体" w:hAnsi="宋体" w:cs="宋体" w:eastAsia="宋体" w:hint="default"/>
                <w:sz w:val="24"/>
                <w:szCs w:val="24"/>
              </w:rPr>
              <w:t>金等价物</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30"/>
              <w:jc w:val="right"/>
              <w:rPr>
                <w:rFonts w:ascii="Arial" w:hAnsi="Arial" w:cs="Arial" w:eastAsia="Arial" w:hint="default"/>
                <w:sz w:val="24"/>
                <w:szCs w:val="24"/>
              </w:rPr>
            </w:pPr>
            <w:r>
              <w:rPr>
                <w:rFonts w:ascii="Arial"/>
                <w:w w:val="95"/>
                <w:sz w:val="24"/>
              </w:rPr>
              <w:t>(758,104)</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331" w:hRule="exact"/>
        </w:trPr>
        <w:tc>
          <w:tcPr>
            <w:tcW w:w="772" w:type="dxa"/>
            <w:tcBorders>
              <w:top w:val="nil" w:sz="6" w:space="0" w:color="auto"/>
              <w:left w:val="nil" w:sz="6" w:space="0" w:color="auto"/>
              <w:bottom w:val="nil" w:sz="6" w:space="0" w:color="auto"/>
              <w:right w:val="nil" w:sz="6" w:space="0" w:color="auto"/>
            </w:tcBorders>
          </w:tcPr>
          <w:p>
            <w:pPr/>
          </w:p>
        </w:tc>
        <w:tc>
          <w:tcPr>
            <w:tcW w:w="3737" w:type="dxa"/>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32"/>
              <w:jc w:val="right"/>
              <w:rPr>
                <w:rFonts w:ascii="Arial" w:hAnsi="Arial" w:cs="Arial" w:eastAsia="Arial" w:hint="default"/>
                <w:sz w:val="24"/>
                <w:szCs w:val="24"/>
              </w:rPr>
            </w:pPr>
            <w:r>
              <w:rPr>
                <w:rFonts w:ascii="Arial"/>
                <w:spacing w:val="-1"/>
                <w:sz w:val="24"/>
              </w:rPr>
              <w:t>(236,052)</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9361"/>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936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936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非同一控制下企业合并</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36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sz w:val="24"/>
                <w:szCs w:val="24"/>
              </w:rPr>
              <w:t>日本</w:t>
            </w:r>
            <w:r>
              <w:rPr>
                <w:rFonts w:ascii="宋体" w:hAnsi="宋体" w:cs="宋体" w:eastAsia="宋体" w:hint="default"/>
                <w:spacing w:val="-62"/>
                <w:sz w:val="24"/>
                <w:szCs w:val="24"/>
              </w:rPr>
              <w:t> </w:t>
            </w:r>
            <w:r>
              <w:rPr>
                <w:rFonts w:ascii="Arial" w:hAnsi="Arial" w:cs="Arial" w:eastAsia="Arial" w:hint="default"/>
                <w:sz w:val="24"/>
                <w:szCs w:val="24"/>
              </w:rPr>
              <w:t>LAOX</w:t>
            </w:r>
            <w:r>
              <w:rPr>
                <w:rFonts w:ascii="Arial" w:hAnsi="Arial" w:cs="Arial" w:eastAsia="Arial" w:hint="default"/>
                <w:spacing w:val="-9"/>
                <w:sz w:val="24"/>
                <w:szCs w:val="24"/>
              </w:rPr>
              <w:t> </w:t>
            </w:r>
            <w:r>
              <w:rPr>
                <w:rFonts w:ascii="宋体" w:hAnsi="宋体" w:cs="宋体" w:eastAsia="宋体" w:hint="default"/>
                <w:sz w:val="24"/>
                <w:szCs w:val="24"/>
              </w:rPr>
              <w:t>株式会社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894" w:hRule="exact"/>
        </w:trPr>
        <w:tc>
          <w:tcPr>
            <w:tcW w:w="772" w:type="dxa"/>
            <w:tcBorders>
              <w:top w:val="nil" w:sz="6" w:space="0" w:color="auto"/>
              <w:left w:val="nil" w:sz="6" w:space="0" w:color="auto"/>
              <w:bottom w:val="nil" w:sz="6" w:space="0" w:color="auto"/>
              <w:right w:val="nil" w:sz="6" w:space="0" w:color="auto"/>
            </w:tcBorders>
          </w:tcPr>
          <w:p>
            <w:pPr/>
          </w:p>
        </w:tc>
        <w:tc>
          <w:tcPr>
            <w:tcW w:w="9361"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127" w:right="198"/>
              <w:jc w:val="left"/>
              <w:rPr>
                <w:rFonts w:ascii="宋体" w:hAnsi="宋体" w:cs="宋体" w:eastAsia="宋体" w:hint="default"/>
                <w:sz w:val="24"/>
                <w:szCs w:val="24"/>
              </w:rPr>
            </w:pPr>
            <w:r>
              <w:rPr>
                <w:rFonts w:ascii="宋体" w:hAnsi="宋体" w:cs="宋体" w:eastAsia="宋体" w:hint="default"/>
                <w:sz w:val="24"/>
                <w:szCs w:val="24"/>
              </w:rPr>
              <w:t>本集团采用估值技术来确定日本 </w:t>
            </w:r>
            <w:r>
              <w:rPr>
                <w:rFonts w:ascii="Arial" w:hAnsi="Arial" w:cs="Arial" w:eastAsia="Arial" w:hint="default"/>
                <w:sz w:val="24"/>
                <w:szCs w:val="24"/>
              </w:rPr>
              <w:t>LAOX</w:t>
            </w:r>
            <w:r>
              <w:rPr>
                <w:rFonts w:ascii="Arial" w:hAnsi="Arial" w:cs="Arial" w:eastAsia="Arial" w:hint="default"/>
                <w:spacing w:val="44"/>
                <w:sz w:val="24"/>
                <w:szCs w:val="24"/>
              </w:rPr>
              <w:t> </w:t>
            </w:r>
            <w:r>
              <w:rPr>
                <w:rFonts w:ascii="宋体" w:hAnsi="宋体" w:cs="宋体" w:eastAsia="宋体" w:hint="default"/>
                <w:sz w:val="24"/>
                <w:szCs w:val="24"/>
              </w:rPr>
              <w:t>株式会社的资产负债于购买日的公允价值。主 要资产的评估方法及其关键假设列示如下：</w:t>
            </w:r>
          </w:p>
        </w:tc>
      </w:tr>
      <w:tr>
        <w:trPr>
          <w:trHeight w:val="3846" w:hRule="exact"/>
        </w:trPr>
        <w:tc>
          <w:tcPr>
            <w:tcW w:w="772" w:type="dxa"/>
            <w:tcBorders>
              <w:top w:val="nil" w:sz="6" w:space="0" w:color="auto"/>
              <w:left w:val="nil" w:sz="6" w:space="0" w:color="auto"/>
              <w:bottom w:val="nil" w:sz="6" w:space="0" w:color="auto"/>
              <w:right w:val="nil" w:sz="6" w:space="0" w:color="auto"/>
            </w:tcBorders>
          </w:tcPr>
          <w:p>
            <w:pPr/>
          </w:p>
        </w:tc>
        <w:tc>
          <w:tcPr>
            <w:tcW w:w="936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434" w:right="284" w:hanging="267"/>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存货的评估方法为市场价格比较法，固定资产的评估方法及主要无形资产的评估方</w:t>
            </w:r>
            <w:r>
              <w:rPr>
                <w:rFonts w:ascii="宋体" w:hAnsi="宋体" w:cs="宋体" w:eastAsia="宋体" w:hint="default"/>
                <w:w w:val="100"/>
                <w:sz w:val="24"/>
                <w:szCs w:val="24"/>
              </w:rPr>
              <w:t> </w:t>
            </w:r>
            <w:r>
              <w:rPr>
                <w:rFonts w:ascii="宋体" w:hAnsi="宋体" w:cs="宋体" w:eastAsia="宋体" w:hint="default"/>
                <w:sz w:val="24"/>
                <w:szCs w:val="24"/>
              </w:rPr>
              <w:t>法为收益法；</w:t>
            </w:r>
          </w:p>
          <w:p>
            <w:pPr>
              <w:pStyle w:val="TableParagraph"/>
              <w:spacing w:line="292" w:lineRule="exact"/>
              <w:ind w:left="168"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评估无形资产时按各项无形资产性质分别设定剩余使用寿命；</w:t>
            </w:r>
          </w:p>
          <w:p>
            <w:pPr>
              <w:pStyle w:val="TableParagraph"/>
              <w:spacing w:line="312" w:lineRule="exact" w:before="20"/>
              <w:ind w:left="434" w:right="220" w:hanging="267"/>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宋体" w:hAnsi="宋体" w:cs="宋体" w:eastAsia="宋体" w:hint="default"/>
                <w:sz w:val="24"/>
                <w:szCs w:val="24"/>
              </w:rPr>
              <w:t>适合于评估整体企业价值的折现率为</w:t>
            </w:r>
            <w:r>
              <w:rPr>
                <w:rFonts w:ascii="宋体" w:hAnsi="宋体" w:cs="宋体" w:eastAsia="宋体" w:hint="default"/>
                <w:spacing w:val="-61"/>
                <w:sz w:val="24"/>
                <w:szCs w:val="24"/>
              </w:rPr>
              <w:t> </w:t>
            </w:r>
            <w:r>
              <w:rPr>
                <w:rFonts w:ascii="Arial" w:hAnsi="Arial" w:cs="Arial" w:eastAsia="Arial" w:hint="default"/>
                <w:sz w:val="24"/>
                <w:szCs w:val="24"/>
              </w:rPr>
              <w:t>10.4%</w:t>
            </w:r>
            <w:r>
              <w:rPr>
                <w:rFonts w:ascii="宋体" w:hAnsi="宋体" w:cs="宋体" w:eastAsia="宋体" w:hint="default"/>
                <w:sz w:val="24"/>
                <w:szCs w:val="24"/>
              </w:rPr>
              <w:t>，考虑到日本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株式会社日后将进 一步拓展在华经营，评估“</w:t>
            </w:r>
            <w:r>
              <w:rPr>
                <w:rFonts w:ascii="Arial" w:hAnsi="Arial" w:cs="Arial" w:eastAsia="Arial" w:hint="default"/>
                <w:sz w:val="24"/>
                <w:szCs w:val="24"/>
              </w:rPr>
              <w:t>LAOX</w:t>
            </w:r>
            <w:r>
              <w:rPr>
                <w:rFonts w:ascii="宋体" w:hAnsi="宋体" w:cs="宋体" w:eastAsia="宋体" w:hint="default"/>
                <w:sz w:val="24"/>
                <w:szCs w:val="24"/>
              </w:rPr>
              <w:t>”商标时选用</w:t>
            </w:r>
            <w:r>
              <w:rPr>
                <w:rFonts w:ascii="宋体" w:hAnsi="宋体" w:cs="宋体" w:eastAsia="宋体" w:hint="default"/>
                <w:spacing w:val="-66"/>
                <w:sz w:val="24"/>
                <w:szCs w:val="24"/>
              </w:rPr>
              <w:t> </w:t>
            </w:r>
            <w:r>
              <w:rPr>
                <w:rFonts w:ascii="Arial" w:hAnsi="Arial" w:cs="Arial" w:eastAsia="Arial" w:hint="default"/>
                <w:sz w:val="24"/>
                <w:szCs w:val="24"/>
              </w:rPr>
              <w:t>12%</w:t>
            </w:r>
            <w:r>
              <w:rPr>
                <w:rFonts w:ascii="宋体" w:hAnsi="宋体" w:cs="宋体" w:eastAsia="宋体" w:hint="default"/>
                <w:sz w:val="24"/>
                <w:szCs w:val="24"/>
              </w:rPr>
              <w:t>的折现率以反映相关风险；</w:t>
            </w:r>
          </w:p>
          <w:p>
            <w:pPr>
              <w:pStyle w:val="TableParagraph"/>
              <w:spacing w:line="312" w:lineRule="exact"/>
              <w:ind w:left="434" w:right="284" w:hanging="267"/>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评估以评估结果将用于在企业会计准则下对企业合并的会计处理和报告为基本假设</w:t>
            </w:r>
            <w:r>
              <w:rPr>
                <w:rFonts w:ascii="宋体" w:hAnsi="宋体" w:cs="宋体" w:eastAsia="宋体" w:hint="default"/>
                <w:w w:val="100"/>
                <w:sz w:val="24"/>
                <w:szCs w:val="24"/>
              </w:rPr>
              <w:t> </w:t>
            </w:r>
            <w:r>
              <w:rPr>
                <w:rFonts w:ascii="宋体" w:hAnsi="宋体" w:cs="宋体" w:eastAsia="宋体" w:hint="default"/>
                <w:sz w:val="24"/>
                <w:szCs w:val="24"/>
              </w:rPr>
              <w:t>前提；</w:t>
            </w:r>
          </w:p>
          <w:p>
            <w:pPr>
              <w:pStyle w:val="TableParagraph"/>
              <w:spacing w:line="225" w:lineRule="auto"/>
              <w:ind w:left="434" w:right="284" w:hanging="267"/>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评估的各项资产均以评估基准日的实际存量为前提，有关资产的现行市价以评估基</w:t>
            </w:r>
            <w:r>
              <w:rPr>
                <w:rFonts w:ascii="宋体" w:hAnsi="宋体" w:cs="宋体" w:eastAsia="宋体" w:hint="default"/>
                <w:w w:val="100"/>
                <w:sz w:val="24"/>
                <w:szCs w:val="24"/>
              </w:rPr>
              <w:t> </w:t>
            </w:r>
            <w:r>
              <w:rPr>
                <w:rFonts w:ascii="宋体" w:hAnsi="宋体" w:cs="宋体" w:eastAsia="宋体" w:hint="default"/>
                <w:sz w:val="24"/>
                <w:szCs w:val="24"/>
              </w:rPr>
              <w:t>准日的日本国内有效价格为依据；</w:t>
            </w:r>
          </w:p>
          <w:p>
            <w:pPr>
              <w:pStyle w:val="TableParagraph"/>
              <w:spacing w:line="322" w:lineRule="exact"/>
              <w:ind w:left="168"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评估基准日后外部经济环境不会发生不可预见的重大变化；</w:t>
            </w:r>
          </w:p>
          <w:p>
            <w:pPr>
              <w:pStyle w:val="TableParagraph"/>
              <w:spacing w:line="312" w:lineRule="exact" w:before="20"/>
              <w:ind w:left="434" w:right="284" w:hanging="267"/>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5"/>
                <w:sz w:val="24"/>
                <w:szCs w:val="24"/>
              </w:rPr>
              <w:t></w:t>
            </w:r>
            <w:r>
              <w:rPr>
                <w:rFonts w:ascii="Times New Roman" w:hAnsi="Times New Roman" w:cs="Times New Roman" w:eastAsia="Times New Roman" w:hint="default"/>
                <w:spacing w:val="35"/>
                <w:sz w:val="24"/>
                <w:szCs w:val="24"/>
              </w:rPr>
            </w:r>
            <w:r>
              <w:rPr>
                <w:rFonts w:ascii="宋体" w:hAnsi="宋体" w:cs="宋体" w:eastAsia="宋体" w:hint="default"/>
                <w:sz w:val="24"/>
                <w:szCs w:val="24"/>
              </w:rPr>
              <w:t>不会出现不可预见的因素导致其无法持续经营，被评估资产现有用途不变并原地持</w:t>
            </w:r>
            <w:r>
              <w:rPr>
                <w:rFonts w:ascii="宋体" w:hAnsi="宋体" w:cs="宋体" w:eastAsia="宋体" w:hint="default"/>
                <w:w w:val="100"/>
                <w:sz w:val="24"/>
                <w:szCs w:val="24"/>
              </w:rPr>
              <w:t> </w:t>
            </w:r>
            <w:r>
              <w:rPr>
                <w:rFonts w:ascii="宋体" w:hAnsi="宋体" w:cs="宋体" w:eastAsia="宋体" w:hint="default"/>
                <w:sz w:val="24"/>
                <w:szCs w:val="24"/>
              </w:rPr>
              <w:t>续使用。</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20"/>
        <w:gridCol w:w="3440"/>
        <w:gridCol w:w="5949"/>
      </w:tblGrid>
      <w:tr>
        <w:trPr>
          <w:trHeight w:val="73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(iv)</w:t>
            </w:r>
          </w:p>
        </w:tc>
        <w:tc>
          <w:tcPr>
            <w:tcW w:w="9389" w:type="dxa"/>
            <w:gridSpan w:val="2"/>
            <w:tcBorders>
              <w:top w:val="nil" w:sz="6" w:space="0" w:color="auto"/>
              <w:left w:val="nil" w:sz="6" w:space="0" w:color="auto"/>
              <w:bottom w:val="nil" w:sz="6" w:space="0" w:color="auto"/>
              <w:right w:val="nil" w:sz="6" w:space="0" w:color="auto"/>
            </w:tcBorders>
          </w:tcPr>
          <w:p>
            <w:pPr>
              <w:pStyle w:val="TableParagraph"/>
              <w:spacing w:line="253" w:lineRule="exact"/>
              <w:ind w:left="188"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47"/>
                <w:sz w:val="24"/>
                <w:szCs w:val="24"/>
              </w:rPr>
              <w:t> </w:t>
            </w:r>
            <w:r>
              <w:rPr>
                <w:rFonts w:ascii="Arial" w:hAnsi="Arial" w:cs="Arial" w:eastAsia="Arial" w:hint="default"/>
                <w:sz w:val="24"/>
                <w:szCs w:val="24"/>
              </w:rPr>
              <w:t>LAOX</w:t>
            </w:r>
            <w:r>
              <w:rPr>
                <w:rFonts w:ascii="Arial" w:hAnsi="Arial" w:cs="Arial" w:eastAsia="Arial" w:hint="default"/>
                <w:spacing w:val="6"/>
                <w:sz w:val="24"/>
                <w:szCs w:val="24"/>
              </w:rPr>
              <w:t> </w:t>
            </w:r>
            <w:r>
              <w:rPr>
                <w:rFonts w:ascii="宋体" w:hAnsi="宋体" w:cs="宋体" w:eastAsia="宋体" w:hint="default"/>
                <w:sz w:val="24"/>
                <w:szCs w:val="24"/>
              </w:rPr>
              <w:t>株式会社自购买日至</w:t>
            </w:r>
            <w:r>
              <w:rPr>
                <w:rFonts w:ascii="宋体" w:hAnsi="宋体" w:cs="宋体" w:eastAsia="宋体" w:hint="default"/>
                <w:spacing w:val="-47"/>
                <w:sz w:val="24"/>
                <w:szCs w:val="24"/>
              </w:rPr>
              <w:t> </w:t>
            </w:r>
            <w:r>
              <w:rPr>
                <w:rFonts w:ascii="Arial" w:hAnsi="Arial" w:cs="Arial" w:eastAsia="Arial" w:hint="default"/>
                <w:spacing w:val="-6"/>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日止期间的收入、净利润和现金流</w:t>
            </w:r>
          </w:p>
          <w:p>
            <w:pPr>
              <w:pStyle w:val="TableParagraph"/>
              <w:spacing w:line="322" w:lineRule="exact"/>
              <w:ind w:left="188" w:right="0"/>
              <w:jc w:val="left"/>
              <w:rPr>
                <w:rFonts w:ascii="宋体" w:hAnsi="宋体" w:cs="宋体" w:eastAsia="宋体" w:hint="default"/>
                <w:sz w:val="24"/>
                <w:szCs w:val="24"/>
              </w:rPr>
            </w:pPr>
            <w:r>
              <w:rPr>
                <w:rFonts w:ascii="宋体" w:hAnsi="宋体" w:cs="宋体" w:eastAsia="宋体" w:hint="default"/>
                <w:sz w:val="24"/>
                <w:szCs w:val="24"/>
              </w:rPr>
              <w:t>量列示如下</w:t>
            </w:r>
            <w:r>
              <w:rPr>
                <w:rFonts w:ascii="Arial" w:hAnsi="Arial" w:cs="Arial" w:eastAsia="Arial" w:hint="default"/>
                <w:sz w:val="24"/>
                <w:szCs w:val="24"/>
              </w:rPr>
              <w:t>(</w:t>
            </w:r>
            <w:r>
              <w:rPr>
                <w:rFonts w:ascii="宋体" w:hAnsi="宋体" w:cs="宋体" w:eastAsia="宋体" w:hint="default"/>
                <w:sz w:val="24"/>
                <w:szCs w:val="24"/>
              </w:rPr>
              <w:t>单位：人民币千元</w:t>
            </w:r>
            <w:r>
              <w:rPr>
                <w:rFonts w:ascii="Arial" w:hAnsi="Arial" w:cs="Arial" w:eastAsia="Arial" w:hint="default"/>
                <w:sz w:val="24"/>
                <w:szCs w:val="24"/>
              </w:rPr>
              <w:t>)</w:t>
            </w:r>
            <w:r>
              <w:rPr>
                <w:rFonts w:ascii="宋体" w:hAnsi="宋体" w:cs="宋体" w:eastAsia="宋体" w:hint="default"/>
                <w:sz w:val="24"/>
                <w:szCs w:val="24"/>
              </w:rPr>
              <w:t>：</w:t>
            </w:r>
          </w:p>
        </w:tc>
      </w:tr>
      <w:tr>
        <w:trPr>
          <w:trHeight w:val="444" w:hRule="exact"/>
        </w:trPr>
        <w:tc>
          <w:tcPr>
            <w:tcW w:w="720" w:type="dxa"/>
            <w:tcBorders>
              <w:top w:val="nil" w:sz="6" w:space="0" w:color="auto"/>
              <w:left w:val="nil" w:sz="6" w:space="0" w:color="auto"/>
              <w:bottom w:val="nil" w:sz="6" w:space="0" w:color="auto"/>
              <w:right w:val="nil" w:sz="6" w:space="0" w:color="auto"/>
            </w:tcBorders>
          </w:tcPr>
          <w:p>
            <w:pPr/>
          </w:p>
        </w:tc>
        <w:tc>
          <w:tcPr>
            <w:tcW w:w="344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88"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852" w:right="0"/>
              <w:jc w:val="left"/>
              <w:rPr>
                <w:rFonts w:ascii="Arial" w:hAnsi="Arial" w:cs="Arial" w:eastAsia="Arial" w:hint="default"/>
                <w:sz w:val="24"/>
                <w:szCs w:val="24"/>
              </w:rPr>
            </w:pPr>
            <w:r>
              <w:rPr>
                <w:rFonts w:ascii="Arial"/>
                <w:sz w:val="24"/>
              </w:rPr>
              <w:t>346,665</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440" w:type="dxa"/>
            <w:tcBorders>
              <w:top w:val="nil" w:sz="6" w:space="0" w:color="auto"/>
              <w:left w:val="nil" w:sz="6" w:space="0" w:color="auto"/>
              <w:bottom w:val="nil" w:sz="6" w:space="0" w:color="auto"/>
              <w:right w:val="nil" w:sz="6" w:space="0" w:color="auto"/>
            </w:tcBorders>
          </w:tcPr>
          <w:p>
            <w:pPr>
              <w:pStyle w:val="TableParagraph"/>
              <w:spacing w:line="279" w:lineRule="exact"/>
              <w:ind w:left="188" w:right="0"/>
              <w:jc w:val="left"/>
              <w:rPr>
                <w:rFonts w:ascii="宋体" w:hAnsi="宋体" w:cs="宋体" w:eastAsia="宋体" w:hint="default"/>
                <w:sz w:val="24"/>
                <w:szCs w:val="24"/>
              </w:rPr>
            </w:pPr>
            <w:r>
              <w:rPr>
                <w:rFonts w:ascii="宋体" w:hAnsi="宋体" w:cs="宋体" w:eastAsia="宋体" w:hint="default"/>
                <w:sz w:val="24"/>
                <w:szCs w:val="24"/>
              </w:rPr>
              <w:t>净亏损</w:t>
            </w:r>
          </w:p>
        </w:tc>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90" w:right="0"/>
              <w:jc w:val="left"/>
              <w:rPr>
                <w:rFonts w:ascii="Arial" w:hAnsi="Arial" w:cs="Arial" w:eastAsia="Arial" w:hint="default"/>
                <w:sz w:val="24"/>
                <w:szCs w:val="24"/>
              </w:rPr>
            </w:pPr>
            <w:r>
              <w:rPr>
                <w:rFonts w:ascii="Arial"/>
                <w:sz w:val="24"/>
              </w:rPr>
              <w:t>(34,063)</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440" w:type="dxa"/>
            <w:tcBorders>
              <w:top w:val="nil" w:sz="6" w:space="0" w:color="auto"/>
              <w:left w:val="nil" w:sz="6" w:space="0" w:color="auto"/>
              <w:bottom w:val="nil" w:sz="6" w:space="0" w:color="auto"/>
              <w:right w:val="nil" w:sz="6" w:space="0" w:color="auto"/>
            </w:tcBorders>
          </w:tcPr>
          <w:p>
            <w:pPr>
              <w:pStyle w:val="TableParagraph"/>
              <w:spacing w:line="279" w:lineRule="exact"/>
              <w:ind w:left="188" w:right="0"/>
              <w:jc w:val="left"/>
              <w:rPr>
                <w:rFonts w:ascii="宋体" w:hAnsi="宋体" w:cs="宋体" w:eastAsia="宋体" w:hint="default"/>
                <w:sz w:val="24"/>
                <w:szCs w:val="24"/>
              </w:rPr>
            </w:pPr>
            <w:r>
              <w:rPr>
                <w:rFonts w:ascii="宋体" w:hAnsi="宋体" w:cs="宋体" w:eastAsia="宋体" w:hint="default"/>
                <w:sz w:val="24"/>
                <w:szCs w:val="24"/>
              </w:rPr>
              <w:t>经营活动现金流量净额</w:t>
            </w:r>
          </w:p>
        </w:tc>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90" w:right="0"/>
              <w:jc w:val="left"/>
              <w:rPr>
                <w:rFonts w:ascii="Arial" w:hAnsi="Arial" w:cs="Arial" w:eastAsia="Arial" w:hint="default"/>
                <w:sz w:val="24"/>
                <w:szCs w:val="24"/>
              </w:rPr>
            </w:pPr>
            <w:r>
              <w:rPr>
                <w:rFonts w:ascii="Arial"/>
                <w:sz w:val="24"/>
              </w:rPr>
              <w:t>(68,043)</w:t>
            </w:r>
          </w:p>
        </w:tc>
      </w:tr>
      <w:tr>
        <w:trPr>
          <w:trHeight w:val="279" w:hRule="exact"/>
        </w:trPr>
        <w:tc>
          <w:tcPr>
            <w:tcW w:w="720" w:type="dxa"/>
            <w:tcBorders>
              <w:top w:val="nil" w:sz="6" w:space="0" w:color="auto"/>
              <w:left w:val="nil" w:sz="6" w:space="0" w:color="auto"/>
              <w:bottom w:val="nil" w:sz="6" w:space="0" w:color="auto"/>
              <w:right w:val="nil" w:sz="6" w:space="0" w:color="auto"/>
            </w:tcBorders>
          </w:tcPr>
          <w:p>
            <w:pPr/>
          </w:p>
        </w:tc>
        <w:tc>
          <w:tcPr>
            <w:tcW w:w="3440" w:type="dxa"/>
            <w:tcBorders>
              <w:top w:val="nil" w:sz="6" w:space="0" w:color="auto"/>
              <w:left w:val="nil" w:sz="6" w:space="0" w:color="auto"/>
              <w:bottom w:val="nil" w:sz="6" w:space="0" w:color="auto"/>
              <w:right w:val="nil" w:sz="6" w:space="0" w:color="auto"/>
            </w:tcBorders>
          </w:tcPr>
          <w:p>
            <w:pPr>
              <w:pStyle w:val="TableParagraph"/>
              <w:spacing w:line="279" w:lineRule="exact"/>
              <w:ind w:left="188"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90" w:right="0"/>
              <w:jc w:val="left"/>
              <w:rPr>
                <w:rFonts w:ascii="Arial" w:hAnsi="Arial" w:cs="Arial" w:eastAsia="Arial" w:hint="default"/>
                <w:sz w:val="24"/>
                <w:szCs w:val="24"/>
              </w:rPr>
            </w:pPr>
            <w:r>
              <w:rPr>
                <w:rFonts w:ascii="Arial"/>
                <w:sz w:val="24"/>
              </w:rPr>
              <w:t>(92,542)</w:t>
            </w:r>
          </w:p>
        </w:tc>
      </w:tr>
    </w:tbl>
    <w:p>
      <w:pPr>
        <w:spacing w:after="0" w:line="240" w:lineRule="auto"/>
        <w:jc w:val="left"/>
        <w:rPr>
          <w:rFonts w:ascii="Arial" w:hAnsi="Arial" w:cs="Arial" w:eastAsia="Arial"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p>
      <w:pPr>
        <w:spacing w:line="20" w:lineRule="exact"/>
        <w:ind w:left="8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692"/>
        <w:gridCol w:w="2989"/>
        <w:gridCol w:w="2549"/>
        <w:gridCol w:w="3860"/>
      </w:tblGrid>
      <w:tr>
        <w:trPr>
          <w:trHeight w:val="417"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四</w:t>
            </w:r>
            <w:r>
              <w:rPr>
                <w:rFonts w:ascii="宋体" w:hAnsi="宋体" w:cs="宋体" w:eastAsia="宋体" w:hint="default"/>
                <w:sz w:val="24"/>
                <w:szCs w:val="24"/>
              </w:rPr>
            </w:r>
          </w:p>
        </w:tc>
        <w:tc>
          <w:tcPr>
            <w:tcW w:w="553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宋体" w:hAnsi="宋体" w:cs="宋体" w:eastAsia="宋体" w:hint="default"/>
                <w:b/>
                <w:bCs/>
                <w:sz w:val="24"/>
                <w:szCs w:val="24"/>
              </w:rPr>
              <w:t>企业合并及合并财务报表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60" w:type="dxa"/>
            <w:tcBorders>
              <w:top w:val="nil" w:sz="6" w:space="0" w:color="auto"/>
              <w:left w:val="nil" w:sz="6" w:space="0" w:color="auto"/>
              <w:bottom w:val="nil" w:sz="6" w:space="0" w:color="auto"/>
              <w:right w:val="nil" w:sz="6" w:space="0" w:color="auto"/>
            </w:tcBorders>
          </w:tcPr>
          <w:p>
            <w:pPr/>
          </w:p>
        </w:tc>
      </w:tr>
      <w:tr>
        <w:trPr>
          <w:trHeight w:val="583"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w:t>
            </w:r>
          </w:p>
        </w:tc>
        <w:tc>
          <w:tcPr>
            <w:tcW w:w="5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99" w:right="0"/>
              <w:jc w:val="left"/>
              <w:rPr>
                <w:rFonts w:ascii="宋体" w:hAnsi="宋体" w:cs="宋体" w:eastAsia="宋体" w:hint="default"/>
                <w:sz w:val="24"/>
                <w:szCs w:val="24"/>
              </w:rPr>
            </w:pPr>
            <w:r>
              <w:rPr>
                <w:rFonts w:ascii="宋体" w:hAnsi="宋体" w:cs="宋体" w:eastAsia="宋体" w:hint="default"/>
                <w:b/>
                <w:bCs/>
                <w:sz w:val="24"/>
                <w:szCs w:val="24"/>
              </w:rPr>
              <w:t>境外经营实体主要报表项目的折算汇率</w:t>
            </w:r>
            <w:r>
              <w:rPr>
                <w:rFonts w:ascii="宋体" w:hAnsi="宋体" w:cs="宋体" w:eastAsia="宋体" w:hint="default"/>
                <w:sz w:val="24"/>
                <w:szCs w:val="24"/>
              </w:rPr>
            </w:r>
          </w:p>
        </w:tc>
        <w:tc>
          <w:tcPr>
            <w:tcW w:w="3860" w:type="dxa"/>
            <w:tcBorders>
              <w:top w:val="nil" w:sz="6" w:space="0" w:color="auto"/>
              <w:left w:val="nil" w:sz="6" w:space="0" w:color="auto"/>
              <w:bottom w:val="nil" w:sz="6" w:space="0" w:color="auto"/>
              <w:right w:val="nil" w:sz="6" w:space="0" w:color="auto"/>
            </w:tcBorders>
          </w:tcPr>
          <w:p>
            <w:pPr/>
          </w:p>
        </w:tc>
      </w:tr>
      <w:tr>
        <w:trPr>
          <w:trHeight w:val="433"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
        </w:tc>
        <w:tc>
          <w:tcPr>
            <w:tcW w:w="6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874"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r>
      <w:tr>
        <w:trPr>
          <w:trHeight w:val="434"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
        </w:tc>
        <w:tc>
          <w:tcPr>
            <w:tcW w:w="2549" w:type="dxa"/>
            <w:tcBorders>
              <w:top w:val="single" w:sz="12" w:space="0" w:color="000000"/>
              <w:left w:val="nil" w:sz="6" w:space="0" w:color="auto"/>
              <w:bottom w:val="nil" w:sz="6" w:space="0" w:color="auto"/>
              <w:right w:val="nil" w:sz="6" w:space="0" w:color="auto"/>
            </w:tcBorders>
          </w:tcPr>
          <w:p>
            <w:pPr>
              <w:pStyle w:val="TableParagraph"/>
              <w:spacing w:line="259" w:lineRule="exact"/>
              <w:ind w:right="77"/>
              <w:jc w:val="righ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860" w:type="dxa"/>
            <w:tcBorders>
              <w:top w:val="single" w:sz="12" w:space="0" w:color="000000"/>
              <w:left w:val="nil" w:sz="6" w:space="0" w:color="auto"/>
              <w:bottom w:val="nil" w:sz="6" w:space="0" w:color="auto"/>
              <w:right w:val="nil" w:sz="6" w:space="0" w:color="auto"/>
            </w:tcBorders>
          </w:tcPr>
          <w:p>
            <w:pPr>
              <w:pStyle w:val="TableParagraph"/>
              <w:spacing w:line="259" w:lineRule="exact"/>
              <w:ind w:right="1291"/>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14"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15" w:right="0"/>
              <w:jc w:val="left"/>
              <w:rPr>
                <w:rFonts w:ascii="宋体" w:hAnsi="宋体" w:cs="宋体" w:eastAsia="宋体" w:hint="default"/>
                <w:sz w:val="21"/>
                <w:szCs w:val="21"/>
              </w:rPr>
            </w:pPr>
            <w:r>
              <w:rPr>
                <w:rFonts w:ascii="宋体" w:hAnsi="宋体" w:cs="宋体" w:eastAsia="宋体" w:hint="default"/>
                <w:sz w:val="21"/>
                <w:szCs w:val="21"/>
              </w:rPr>
              <w:t>香港苏宁电器有限公司</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0.8107</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0.8509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276"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35" w:right="0"/>
              <w:jc w:val="left"/>
              <w:rPr>
                <w:rFonts w:ascii="宋体" w:hAnsi="宋体" w:cs="宋体" w:eastAsia="宋体" w:hint="default"/>
                <w:sz w:val="21"/>
                <w:szCs w:val="21"/>
              </w:rPr>
            </w:pPr>
            <w:r>
              <w:rPr>
                <w:rFonts w:ascii="宋体" w:hAnsi="宋体" w:cs="宋体" w:eastAsia="宋体" w:hint="default"/>
                <w:sz w:val="21"/>
                <w:szCs w:val="21"/>
              </w:rPr>
              <w:t>香港苏宁采购中心有限公司</w:t>
            </w:r>
          </w:p>
        </w:tc>
        <w:tc>
          <w:tcPr>
            <w:tcW w:w="2549" w:type="dxa"/>
            <w:tcBorders>
              <w:top w:val="nil" w:sz="6" w:space="0" w:color="auto"/>
              <w:left w:val="nil" w:sz="6" w:space="0" w:color="auto"/>
              <w:bottom w:val="nil" w:sz="6" w:space="0" w:color="auto"/>
              <w:right w:val="nil" w:sz="6" w:space="0" w:color="auto"/>
            </w:tcBorders>
          </w:tcPr>
          <w:p>
            <w:pPr>
              <w:pStyle w:val="TableParagraph"/>
              <w:spacing w:line="253"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0.8107</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3"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0.8509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276"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15" w:right="0"/>
              <w:jc w:val="left"/>
              <w:rPr>
                <w:rFonts w:ascii="宋体" w:hAnsi="宋体" w:cs="宋体" w:eastAsia="宋体" w:hint="default"/>
                <w:sz w:val="21"/>
                <w:szCs w:val="21"/>
              </w:rPr>
            </w:pPr>
            <w:r>
              <w:rPr>
                <w:rFonts w:ascii="宋体" w:hAnsi="宋体" w:cs="宋体" w:eastAsia="宋体" w:hint="default"/>
                <w:sz w:val="21"/>
                <w:szCs w:val="21"/>
              </w:rPr>
              <w:t>香港苏宁超霸有限公司</w:t>
            </w:r>
          </w:p>
        </w:tc>
        <w:tc>
          <w:tcPr>
            <w:tcW w:w="2549" w:type="dxa"/>
            <w:tcBorders>
              <w:top w:val="nil" w:sz="6" w:space="0" w:color="auto"/>
              <w:left w:val="nil" w:sz="6" w:space="0" w:color="auto"/>
              <w:bottom w:val="nil" w:sz="6" w:space="0" w:color="auto"/>
              <w:right w:val="nil" w:sz="6" w:space="0" w:color="auto"/>
            </w:tcBorders>
          </w:tcPr>
          <w:p>
            <w:pPr>
              <w:pStyle w:val="TableParagraph"/>
              <w:spacing w:line="253"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0.8107</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3"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0.8509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276"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15" w:right="0"/>
              <w:jc w:val="left"/>
              <w:rPr>
                <w:rFonts w:ascii="宋体" w:hAnsi="宋体" w:cs="宋体" w:eastAsia="宋体" w:hint="default"/>
                <w:sz w:val="21"/>
                <w:szCs w:val="21"/>
              </w:rPr>
            </w:pPr>
            <w:r>
              <w:rPr>
                <w:rFonts w:ascii="宋体" w:hAnsi="宋体" w:cs="宋体" w:eastAsia="宋体" w:hint="default"/>
                <w:sz w:val="21"/>
                <w:szCs w:val="21"/>
              </w:rPr>
              <w:t>香港苏宁镭射有限公司</w:t>
            </w:r>
          </w:p>
        </w:tc>
        <w:tc>
          <w:tcPr>
            <w:tcW w:w="2549" w:type="dxa"/>
            <w:tcBorders>
              <w:top w:val="nil" w:sz="6" w:space="0" w:color="auto"/>
              <w:left w:val="nil" w:sz="6" w:space="0" w:color="auto"/>
              <w:bottom w:val="nil" w:sz="6" w:space="0" w:color="auto"/>
              <w:right w:val="nil" w:sz="6" w:space="0" w:color="auto"/>
            </w:tcBorders>
          </w:tcPr>
          <w:p>
            <w:pPr>
              <w:pStyle w:val="TableParagraph"/>
              <w:spacing w:line="253"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0.8107</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3"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0.8509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272"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15" w:right="0"/>
              <w:jc w:val="left"/>
              <w:rPr>
                <w:rFonts w:ascii="宋体" w:hAnsi="宋体" w:cs="宋体" w:eastAsia="宋体" w:hint="default"/>
                <w:sz w:val="21"/>
                <w:szCs w:val="21"/>
              </w:rPr>
            </w:pPr>
            <w:r>
              <w:rPr>
                <w:rFonts w:ascii="宋体" w:hAnsi="宋体" w:cs="宋体" w:eastAsia="宋体" w:hint="default"/>
                <w:sz w:val="21"/>
                <w:szCs w:val="21"/>
              </w:rPr>
              <w:t>香港港宁广告有限公司</w:t>
            </w:r>
          </w:p>
        </w:tc>
        <w:tc>
          <w:tcPr>
            <w:tcW w:w="2549" w:type="dxa"/>
            <w:tcBorders>
              <w:top w:val="nil" w:sz="6" w:space="0" w:color="auto"/>
              <w:left w:val="nil" w:sz="6" w:space="0" w:color="auto"/>
              <w:bottom w:val="nil" w:sz="6" w:space="0" w:color="auto"/>
              <w:right w:val="nil" w:sz="6" w:space="0" w:color="auto"/>
            </w:tcBorders>
          </w:tcPr>
          <w:p>
            <w:pPr>
              <w:pStyle w:val="TableParagraph"/>
              <w:spacing w:line="253"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0.8107</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3"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港币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0.8509</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276"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15" w:right="0"/>
              <w:jc w:val="left"/>
              <w:rPr>
                <w:rFonts w:ascii="Arial" w:hAnsi="Arial" w:cs="Arial" w:eastAsia="Arial" w:hint="default"/>
                <w:sz w:val="21"/>
                <w:szCs w:val="21"/>
              </w:rPr>
            </w:pPr>
            <w:r>
              <w:rPr>
                <w:rFonts w:ascii="Arial"/>
                <w:sz w:val="21"/>
              </w:rPr>
              <w:t>Granda Magic</w:t>
            </w:r>
            <w:r>
              <w:rPr>
                <w:rFonts w:ascii="Arial"/>
                <w:spacing w:val="-6"/>
                <w:sz w:val="21"/>
              </w:rPr>
              <w:t> </w:t>
            </w:r>
            <w:r>
              <w:rPr>
                <w:rFonts w:ascii="Arial"/>
                <w:sz w:val="21"/>
              </w:rPr>
              <w:t>Limited</w:t>
            </w:r>
          </w:p>
        </w:tc>
        <w:tc>
          <w:tcPr>
            <w:tcW w:w="2549" w:type="dxa"/>
            <w:tcBorders>
              <w:top w:val="nil" w:sz="6" w:space="0" w:color="auto"/>
              <w:left w:val="nil" w:sz="6" w:space="0" w:color="auto"/>
              <w:bottom w:val="nil" w:sz="6" w:space="0" w:color="auto"/>
              <w:right w:val="nil" w:sz="6" w:space="0" w:color="auto"/>
            </w:tcBorders>
          </w:tcPr>
          <w:p>
            <w:pPr>
              <w:pStyle w:val="TableParagraph"/>
              <w:spacing w:line="258"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美元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6.3009</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8"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美元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6.6227</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418"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38" w:lineRule="exact"/>
              <w:ind w:left="215" w:right="0"/>
              <w:jc w:val="left"/>
              <w:rPr>
                <w:rFonts w:ascii="Arial" w:hAnsi="Arial" w:cs="Arial" w:eastAsia="Arial" w:hint="default"/>
                <w:sz w:val="21"/>
                <w:szCs w:val="21"/>
              </w:rPr>
            </w:pPr>
            <w:r>
              <w:rPr>
                <w:rFonts w:ascii="Arial"/>
                <w:sz w:val="21"/>
              </w:rPr>
              <w:t>Great Elite</w:t>
            </w:r>
            <w:r>
              <w:rPr>
                <w:rFonts w:ascii="Arial"/>
                <w:spacing w:val="-6"/>
                <w:sz w:val="21"/>
              </w:rPr>
              <w:t> </w:t>
            </w:r>
            <w:r>
              <w:rPr>
                <w:rFonts w:ascii="Arial"/>
                <w:sz w:val="21"/>
              </w:rPr>
              <w:t>Limited</w:t>
            </w:r>
          </w:p>
        </w:tc>
        <w:tc>
          <w:tcPr>
            <w:tcW w:w="2549" w:type="dxa"/>
            <w:tcBorders>
              <w:top w:val="nil" w:sz="6" w:space="0" w:color="auto"/>
              <w:left w:val="nil" w:sz="6" w:space="0" w:color="auto"/>
              <w:bottom w:val="nil" w:sz="6" w:space="0" w:color="auto"/>
              <w:right w:val="nil" w:sz="6" w:space="0" w:color="auto"/>
            </w:tcBorders>
          </w:tcPr>
          <w:p>
            <w:pPr>
              <w:pStyle w:val="TableParagraph"/>
              <w:spacing w:line="258"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美元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Arial" w:hAnsi="Arial" w:cs="Arial" w:eastAsia="Arial" w:hint="default"/>
                <w:sz w:val="21"/>
                <w:szCs w:val="21"/>
              </w:rPr>
              <w:t>6.3009</w:t>
            </w:r>
            <w:r>
              <w:rPr>
                <w:rFonts w:ascii="Arial" w:hAnsi="Arial" w:cs="Arial" w:eastAsia="Arial" w:hint="default"/>
                <w:spacing w:val="-5"/>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8" w:lineRule="exact"/>
              <w:ind w:left="15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美元</w:t>
            </w:r>
            <w:r>
              <w:rPr>
                <w:rFonts w:ascii="宋体" w:hAnsi="宋体" w:cs="宋体" w:eastAsia="宋体" w:hint="default"/>
                <w:spacing w:val="-1"/>
                <w:sz w:val="21"/>
                <w:szCs w:val="21"/>
              </w:rPr>
              <w:t>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5"/>
                <w:sz w:val="21"/>
                <w:szCs w:val="21"/>
              </w:rPr>
              <w:t> </w:t>
            </w:r>
            <w:r>
              <w:rPr>
                <w:rFonts w:ascii="Arial" w:hAnsi="Arial" w:cs="Arial" w:eastAsia="Arial" w:hint="default"/>
                <w:sz w:val="21"/>
                <w:szCs w:val="21"/>
              </w:rPr>
              <w:t>6.6227</w:t>
            </w:r>
            <w:r>
              <w:rPr>
                <w:rFonts w:ascii="Arial" w:hAnsi="Arial" w:cs="Arial" w:eastAsia="Arial" w:hint="default"/>
                <w:spacing w:val="-6"/>
                <w:sz w:val="21"/>
                <w:szCs w:val="21"/>
              </w:rPr>
              <w:t> </w:t>
            </w:r>
            <w:r>
              <w:rPr>
                <w:rFonts w:ascii="宋体" w:hAnsi="宋体" w:cs="宋体" w:eastAsia="宋体" w:hint="default"/>
                <w:sz w:val="21"/>
                <w:szCs w:val="21"/>
              </w:rPr>
              <w:t>元</w:t>
            </w:r>
          </w:p>
        </w:tc>
      </w:tr>
      <w:tr>
        <w:trPr>
          <w:trHeight w:val="426"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
        </w:tc>
        <w:tc>
          <w:tcPr>
            <w:tcW w:w="64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874"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r>
      <w:tr>
        <w:trPr>
          <w:trHeight w:val="293"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
        </w:tc>
        <w:tc>
          <w:tcPr>
            <w:tcW w:w="2549" w:type="dxa"/>
            <w:tcBorders>
              <w:top w:val="single" w:sz="12" w:space="0" w:color="000000"/>
              <w:left w:val="nil" w:sz="6" w:space="0" w:color="auto"/>
              <w:bottom w:val="nil" w:sz="6" w:space="0" w:color="auto"/>
              <w:right w:val="nil" w:sz="6" w:space="0" w:color="auto"/>
            </w:tcBorders>
          </w:tcPr>
          <w:p>
            <w:pPr>
              <w:pStyle w:val="TableParagraph"/>
              <w:spacing w:line="256" w:lineRule="exact"/>
              <w:ind w:right="77"/>
              <w:jc w:val="righ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860" w:type="dxa"/>
            <w:tcBorders>
              <w:top w:val="single" w:sz="12" w:space="0" w:color="000000"/>
              <w:left w:val="nil" w:sz="6" w:space="0" w:color="auto"/>
              <w:bottom w:val="nil" w:sz="6" w:space="0" w:color="auto"/>
              <w:right w:val="nil" w:sz="6" w:space="0" w:color="auto"/>
            </w:tcBorders>
          </w:tcPr>
          <w:p>
            <w:pPr>
              <w:pStyle w:val="TableParagraph"/>
              <w:spacing w:line="241" w:lineRule="exact"/>
              <w:ind w:right="1291"/>
              <w:jc w:val="right"/>
              <w:rPr>
                <w:rFonts w:ascii="宋体" w:hAnsi="宋体" w:cs="宋体" w:eastAsia="宋体" w:hint="default"/>
                <w:sz w:val="21"/>
                <w:szCs w:val="21"/>
              </w:rPr>
            </w:pPr>
            <w:r>
              <w:rPr>
                <w:rFonts w:ascii="宋体" w:hAnsi="宋体" w:cs="宋体" w:eastAsia="宋体" w:hint="default"/>
                <w:sz w:val="21"/>
                <w:szCs w:val="21"/>
              </w:rPr>
              <w:t>购买日</w:t>
            </w:r>
          </w:p>
        </w:tc>
      </w:tr>
      <w:tr>
        <w:trPr>
          <w:trHeight w:val="554" w:hRule="exact"/>
        </w:trPr>
        <w:tc>
          <w:tcPr>
            <w:tcW w:w="692" w:type="dxa"/>
            <w:tcBorders>
              <w:top w:val="nil" w:sz="6" w:space="0" w:color="auto"/>
              <w:left w:val="nil" w:sz="6" w:space="0" w:color="auto"/>
              <w:bottom w:val="nil" w:sz="6" w:space="0" w:color="auto"/>
              <w:right w:val="nil" w:sz="6" w:space="0" w:color="auto"/>
            </w:tcBorders>
          </w:tcPr>
          <w:p>
            <w:pPr/>
          </w:p>
        </w:tc>
        <w:tc>
          <w:tcPr>
            <w:tcW w:w="2989" w:type="dxa"/>
            <w:tcBorders>
              <w:top w:val="nil" w:sz="6" w:space="0" w:color="auto"/>
              <w:left w:val="nil" w:sz="6" w:space="0" w:color="auto"/>
              <w:bottom w:val="nil" w:sz="6" w:space="0" w:color="auto"/>
              <w:right w:val="nil" w:sz="6" w:space="0" w:color="auto"/>
            </w:tcBorders>
          </w:tcPr>
          <w:p>
            <w:pPr>
              <w:pStyle w:val="TableParagraph"/>
              <w:spacing w:line="253" w:lineRule="exact"/>
              <w:ind w:left="215"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4"/>
                <w:sz w:val="21"/>
                <w:szCs w:val="21"/>
              </w:rPr>
              <w:t> </w:t>
            </w:r>
            <w:r>
              <w:rPr>
                <w:rFonts w:ascii="Arial" w:hAnsi="Arial" w:cs="Arial" w:eastAsia="Arial" w:hint="default"/>
                <w:sz w:val="21"/>
                <w:szCs w:val="21"/>
              </w:rPr>
              <w:t>LAOX</w:t>
            </w:r>
            <w:r>
              <w:rPr>
                <w:rFonts w:ascii="Arial" w:hAnsi="Arial" w:cs="Arial" w:eastAsia="Arial" w:hint="default"/>
                <w:spacing w:val="-8"/>
                <w:sz w:val="21"/>
                <w:szCs w:val="21"/>
              </w:rPr>
              <w:t> </w:t>
            </w:r>
            <w:r>
              <w:rPr>
                <w:rFonts w:ascii="宋体" w:hAnsi="宋体" w:cs="宋体" w:eastAsia="宋体" w:hint="default"/>
                <w:sz w:val="21"/>
                <w:szCs w:val="21"/>
              </w:rPr>
              <w:t>株式会社</w:t>
            </w:r>
          </w:p>
        </w:tc>
        <w:tc>
          <w:tcPr>
            <w:tcW w:w="2549" w:type="dxa"/>
            <w:tcBorders>
              <w:top w:val="nil" w:sz="6" w:space="0" w:color="auto"/>
              <w:left w:val="nil" w:sz="6" w:space="0" w:color="auto"/>
              <w:bottom w:val="nil" w:sz="6" w:space="0" w:color="auto"/>
              <w:right w:val="nil" w:sz="6" w:space="0" w:color="auto"/>
            </w:tcBorders>
          </w:tcPr>
          <w:p>
            <w:pPr>
              <w:pStyle w:val="TableParagraph"/>
              <w:spacing w:line="253" w:lineRule="exact"/>
              <w:ind w:right="7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日币</w:t>
            </w:r>
            <w:r>
              <w:rPr>
                <w:rFonts w:ascii="宋体" w:hAnsi="宋体" w:cs="宋体" w:eastAsia="宋体" w:hint="default"/>
                <w:spacing w:val="3"/>
                <w:sz w:val="21"/>
                <w:szCs w:val="21"/>
              </w:rPr>
              <w:t>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Arial" w:hAnsi="Arial" w:cs="Arial" w:eastAsia="Arial" w:hint="default"/>
                <w:spacing w:val="-4"/>
                <w:sz w:val="21"/>
                <w:szCs w:val="21"/>
              </w:rPr>
              <w:t>0.0811</w:t>
            </w:r>
            <w:r>
              <w:rPr>
                <w:rFonts w:ascii="Arial" w:hAnsi="Arial" w:cs="Arial" w:eastAsia="Arial" w:hint="default"/>
                <w:spacing w:val="-6"/>
                <w:sz w:val="21"/>
                <w:szCs w:val="21"/>
              </w:rPr>
              <w:t> </w:t>
            </w:r>
            <w:r>
              <w:rPr>
                <w:rFonts w:ascii="宋体" w:hAnsi="宋体" w:cs="宋体" w:eastAsia="宋体" w:hint="default"/>
                <w:sz w:val="21"/>
                <w:szCs w:val="21"/>
              </w:rPr>
              <w:t>元</w:t>
            </w:r>
          </w:p>
        </w:tc>
        <w:tc>
          <w:tcPr>
            <w:tcW w:w="3860" w:type="dxa"/>
            <w:tcBorders>
              <w:top w:val="nil" w:sz="6" w:space="0" w:color="auto"/>
              <w:left w:val="nil" w:sz="6" w:space="0" w:color="auto"/>
              <w:bottom w:val="nil" w:sz="6" w:space="0" w:color="auto"/>
              <w:right w:val="nil" w:sz="6" w:space="0" w:color="auto"/>
            </w:tcBorders>
          </w:tcPr>
          <w:p>
            <w:pPr>
              <w:pStyle w:val="TableParagraph"/>
              <w:spacing w:line="253" w:lineRule="exact"/>
              <w:ind w:left="79"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4"/>
                <w:sz w:val="21"/>
                <w:szCs w:val="21"/>
              </w:rPr>
              <w:t> </w:t>
            </w:r>
            <w:r>
              <w:rPr>
                <w:rFonts w:ascii="宋体" w:hAnsi="宋体" w:cs="宋体" w:eastAsia="宋体" w:hint="default"/>
                <w:sz w:val="21"/>
                <w:szCs w:val="21"/>
              </w:rPr>
              <w:t>日币</w:t>
            </w:r>
            <w:r>
              <w:rPr>
                <w:rFonts w:ascii="宋体" w:hAnsi="宋体" w:cs="宋体" w:eastAsia="宋体" w:hint="default"/>
                <w:spacing w:val="2"/>
                <w:sz w:val="21"/>
                <w:szCs w:val="21"/>
              </w:rPr>
              <w:t> </w:t>
            </w:r>
            <w:r>
              <w:rPr>
                <w:rFonts w:ascii="Arial" w:hAnsi="Arial" w:cs="Arial" w:eastAsia="Arial" w:hint="default"/>
                <w:sz w:val="21"/>
                <w:szCs w:val="21"/>
              </w:rPr>
              <w:t>=</w:t>
            </w:r>
            <w:r>
              <w:rPr>
                <w:rFonts w:ascii="宋体" w:hAnsi="宋体" w:cs="宋体" w:eastAsia="宋体" w:hint="default"/>
                <w:sz w:val="21"/>
                <w:szCs w:val="21"/>
              </w:rPr>
              <w:t>人民币</w:t>
            </w:r>
            <w:r>
              <w:rPr>
                <w:rFonts w:ascii="宋体" w:hAnsi="宋体" w:cs="宋体" w:eastAsia="宋体" w:hint="default"/>
                <w:spacing w:val="-64"/>
                <w:sz w:val="21"/>
                <w:szCs w:val="21"/>
              </w:rPr>
              <w:t> </w:t>
            </w:r>
            <w:r>
              <w:rPr>
                <w:rFonts w:ascii="Arial" w:hAnsi="Arial" w:cs="Arial" w:eastAsia="Arial" w:hint="default"/>
                <w:sz w:val="21"/>
                <w:szCs w:val="21"/>
              </w:rPr>
              <w:t>0.0832</w:t>
            </w:r>
            <w:r>
              <w:rPr>
                <w:rFonts w:ascii="Arial" w:hAnsi="Arial" w:cs="Arial" w:eastAsia="Arial" w:hint="default"/>
                <w:spacing w:val="-16"/>
                <w:sz w:val="21"/>
                <w:szCs w:val="21"/>
              </w:rPr>
              <w:t> </w:t>
            </w:r>
            <w:r>
              <w:rPr>
                <w:rFonts w:ascii="宋体" w:hAnsi="宋体" w:cs="宋体" w:eastAsia="宋体" w:hint="default"/>
                <w:sz w:val="21"/>
                <w:szCs w:val="21"/>
              </w:rPr>
              <w:t>元</w:t>
            </w:r>
          </w:p>
        </w:tc>
      </w:tr>
      <w:tr>
        <w:trPr>
          <w:trHeight w:val="857" w:hRule="exact"/>
        </w:trPr>
        <w:tc>
          <w:tcPr>
            <w:tcW w:w="692" w:type="dxa"/>
            <w:tcBorders>
              <w:top w:val="nil" w:sz="6" w:space="0" w:color="auto"/>
              <w:left w:val="nil" w:sz="6" w:space="0" w:color="auto"/>
              <w:bottom w:val="nil" w:sz="6" w:space="0" w:color="auto"/>
              <w:right w:val="nil" w:sz="6" w:space="0" w:color="auto"/>
            </w:tcBorders>
          </w:tcPr>
          <w:p>
            <w:pPr/>
          </w:p>
        </w:tc>
        <w:tc>
          <w:tcPr>
            <w:tcW w:w="93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2" w:lineRule="exact"/>
              <w:ind w:left="215" w:right="198"/>
              <w:jc w:val="left"/>
              <w:rPr>
                <w:rFonts w:ascii="宋体" w:hAnsi="宋体" w:cs="宋体" w:eastAsia="宋体" w:hint="default"/>
                <w:sz w:val="24"/>
                <w:szCs w:val="24"/>
              </w:rPr>
            </w:pPr>
            <w:r>
              <w:rPr>
                <w:rFonts w:ascii="宋体" w:hAnsi="宋体" w:cs="宋体" w:eastAsia="宋体" w:hint="default"/>
                <w:spacing w:val="2"/>
                <w:sz w:val="24"/>
                <w:szCs w:val="24"/>
              </w:rPr>
              <w:t>除未分配利润外的其他股东权益项目、收入、费用及现金流量项目采用交易发生日的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即期汇率折算。</w:t>
            </w:r>
          </w:p>
        </w:tc>
      </w:tr>
    </w:tbl>
    <w:p>
      <w:pPr>
        <w:spacing w:after="0" w:line="312" w:lineRule="exact"/>
        <w:jc w:val="left"/>
        <w:rPr>
          <w:rFonts w:ascii="宋体" w:hAnsi="宋体" w:cs="宋体" w:eastAsia="宋体"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1728"/>
        <w:gridCol w:w="1298"/>
        <w:gridCol w:w="1209"/>
        <w:gridCol w:w="1184"/>
        <w:gridCol w:w="240"/>
        <w:gridCol w:w="1242"/>
        <w:gridCol w:w="1211"/>
        <w:gridCol w:w="1274"/>
      </w:tblGrid>
      <w:tr>
        <w:trPr>
          <w:trHeight w:val="69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02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20" w:right="0"/>
              <w:jc w:val="left"/>
              <w:rPr>
                <w:rFonts w:ascii="宋体" w:hAnsi="宋体" w:cs="宋体" w:eastAsia="宋体" w:hint="default"/>
                <w:sz w:val="24"/>
                <w:szCs w:val="24"/>
              </w:rPr>
            </w:pPr>
            <w:r>
              <w:rPr>
                <w:rFonts w:ascii="宋体" w:hAnsi="宋体" w:cs="宋体" w:eastAsia="宋体" w:hint="default"/>
                <w:b/>
                <w:bCs/>
                <w:sz w:val="24"/>
                <w:szCs w:val="24"/>
              </w:rPr>
              <w:t>合并财务报表项目附注</w:t>
            </w:r>
            <w:r>
              <w:rPr>
                <w:rFonts w:ascii="宋体" w:hAnsi="宋体" w:cs="宋体" w:eastAsia="宋体" w:hint="default"/>
                <w:sz w:val="24"/>
                <w:szCs w:val="24"/>
              </w:rPr>
            </w:r>
          </w:p>
        </w:tc>
        <w:tc>
          <w:tcPr>
            <w:tcW w:w="1209" w:type="dxa"/>
            <w:tcBorders>
              <w:top w:val="single" w:sz="6" w:space="0" w:color="000000"/>
              <w:left w:val="nil" w:sz="6" w:space="0" w:color="auto"/>
              <w:bottom w:val="nil" w:sz="6" w:space="0" w:color="auto"/>
              <w:right w:val="nil" w:sz="6" w:space="0" w:color="auto"/>
            </w:tcBorders>
          </w:tcPr>
          <w:p>
            <w:pPr/>
          </w:p>
        </w:tc>
        <w:tc>
          <w:tcPr>
            <w:tcW w:w="1184" w:type="dxa"/>
            <w:tcBorders>
              <w:top w:val="single" w:sz="6" w:space="0" w:color="000000"/>
              <w:left w:val="nil" w:sz="6" w:space="0" w:color="auto"/>
              <w:bottom w:val="nil" w:sz="6" w:space="0" w:color="auto"/>
              <w:right w:val="nil" w:sz="6" w:space="0" w:color="auto"/>
            </w:tcBorders>
          </w:tcPr>
          <w:p>
            <w:pPr/>
          </w:p>
        </w:tc>
        <w:tc>
          <w:tcPr>
            <w:tcW w:w="240" w:type="dxa"/>
            <w:tcBorders>
              <w:top w:val="single" w:sz="6" w:space="0" w:color="000000"/>
              <w:left w:val="nil" w:sz="6" w:space="0" w:color="auto"/>
              <w:bottom w:val="nil" w:sz="6" w:space="0" w:color="auto"/>
              <w:right w:val="nil" w:sz="6" w:space="0" w:color="auto"/>
            </w:tcBorders>
          </w:tcPr>
          <w:p>
            <w:pPr/>
          </w:p>
        </w:tc>
        <w:tc>
          <w:tcPr>
            <w:tcW w:w="1242" w:type="dxa"/>
            <w:tcBorders>
              <w:top w:val="single" w:sz="6" w:space="0" w:color="000000"/>
              <w:left w:val="nil" w:sz="6" w:space="0" w:color="auto"/>
              <w:bottom w:val="nil" w:sz="6" w:space="0" w:color="auto"/>
              <w:right w:val="nil" w:sz="6" w:space="0" w:color="auto"/>
            </w:tcBorders>
          </w:tcPr>
          <w:p>
            <w:pPr/>
          </w:p>
        </w:tc>
        <w:tc>
          <w:tcPr>
            <w:tcW w:w="1211" w:type="dxa"/>
            <w:tcBorders>
              <w:top w:val="single" w:sz="6" w:space="0" w:color="000000"/>
              <w:left w:val="nil" w:sz="6" w:space="0" w:color="auto"/>
              <w:bottom w:val="nil" w:sz="6" w:space="0" w:color="auto"/>
              <w:right w:val="nil" w:sz="6" w:space="0" w:color="auto"/>
            </w:tcBorders>
          </w:tcPr>
          <w:p>
            <w:pPr/>
          </w:p>
        </w:tc>
        <w:tc>
          <w:tcPr>
            <w:tcW w:w="1274"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0" w:right="0"/>
              <w:jc w:val="left"/>
              <w:rPr>
                <w:rFonts w:ascii="宋体" w:hAnsi="宋体" w:cs="宋体" w:eastAsia="宋体" w:hint="default"/>
                <w:sz w:val="24"/>
                <w:szCs w:val="24"/>
              </w:rPr>
            </w:pPr>
            <w:r>
              <w:rPr>
                <w:rFonts w:ascii="宋体" w:hAnsi="宋体" w:cs="宋体" w:eastAsia="宋体" w:hint="default"/>
                <w:b/>
                <w:bCs/>
                <w:sz w:val="24"/>
                <w:szCs w:val="24"/>
              </w:rPr>
              <w:t>货币资金</w:t>
            </w:r>
            <w:r>
              <w:rPr>
                <w:rFonts w:ascii="宋体" w:hAnsi="宋体" w:cs="宋体" w:eastAsia="宋体" w:hint="default"/>
                <w:sz w:val="24"/>
                <w:szCs w:val="24"/>
              </w:rPr>
            </w: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430"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3690"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08"/>
              <w:ind w:left="94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96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8"/>
              <w:ind w:left="119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692"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298" w:type="dxa"/>
            <w:tcBorders>
              <w:top w:val="single" w:sz="12" w:space="0" w:color="000000"/>
              <w:left w:val="nil" w:sz="6" w:space="0" w:color="auto"/>
              <w:bottom w:val="nil" w:sz="6" w:space="0" w:color="auto"/>
              <w:right w:val="nil" w:sz="6" w:space="0" w:color="auto"/>
            </w:tcBorders>
          </w:tcPr>
          <w:p>
            <w:pPr>
              <w:pStyle w:val="TableParagraph"/>
              <w:spacing w:line="241" w:lineRule="exact"/>
              <w:ind w:right="241"/>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209" w:type="dxa"/>
            <w:tcBorders>
              <w:top w:val="single" w:sz="12" w:space="0" w:color="000000"/>
              <w:left w:val="nil" w:sz="6" w:space="0" w:color="auto"/>
              <w:bottom w:val="nil" w:sz="6" w:space="0" w:color="auto"/>
              <w:right w:val="nil" w:sz="6" w:space="0" w:color="auto"/>
            </w:tcBorders>
          </w:tcPr>
          <w:p>
            <w:pPr>
              <w:pStyle w:val="TableParagraph"/>
              <w:spacing w:line="241" w:lineRule="exact"/>
              <w:ind w:right="317"/>
              <w:jc w:val="right"/>
              <w:rPr>
                <w:rFonts w:ascii="宋体" w:hAnsi="宋体" w:cs="宋体" w:eastAsia="宋体" w:hint="default"/>
                <w:sz w:val="21"/>
                <w:szCs w:val="21"/>
              </w:rPr>
            </w:pPr>
            <w:r>
              <w:rPr>
                <w:rFonts w:ascii="宋体" w:hAnsi="宋体" w:cs="宋体" w:eastAsia="宋体" w:hint="default"/>
                <w:sz w:val="21"/>
                <w:szCs w:val="21"/>
              </w:rPr>
              <w:t>汇率</w:t>
            </w:r>
          </w:p>
        </w:tc>
        <w:tc>
          <w:tcPr>
            <w:tcW w:w="1184" w:type="dxa"/>
            <w:tcBorders>
              <w:top w:val="single" w:sz="12" w:space="0" w:color="000000"/>
              <w:left w:val="nil" w:sz="6" w:space="0" w:color="auto"/>
              <w:bottom w:val="nil" w:sz="6" w:space="0" w:color="auto"/>
              <w:right w:val="nil" w:sz="6" w:space="0" w:color="auto"/>
            </w:tcBorders>
          </w:tcPr>
          <w:p>
            <w:pPr>
              <w:pStyle w:val="TableParagraph"/>
              <w:spacing w:line="240" w:lineRule="exact"/>
              <w:ind w:right="82"/>
              <w:jc w:val="right"/>
              <w:rPr>
                <w:rFonts w:ascii="宋体" w:hAnsi="宋体" w:cs="宋体" w:eastAsia="宋体" w:hint="default"/>
                <w:sz w:val="21"/>
                <w:szCs w:val="21"/>
              </w:rPr>
            </w:pPr>
            <w:r>
              <w:rPr>
                <w:rFonts w:ascii="宋体" w:hAnsi="宋体" w:cs="宋体" w:eastAsia="宋体" w:hint="default"/>
                <w:spacing w:val="-1"/>
                <w:sz w:val="21"/>
                <w:szCs w:val="21"/>
              </w:rPr>
              <w:t>人民币金</w:t>
            </w:r>
          </w:p>
          <w:p>
            <w:pPr>
              <w:pStyle w:val="TableParagraph"/>
              <w:spacing w:line="275" w:lineRule="exact"/>
              <w:ind w:right="84"/>
              <w:jc w:val="right"/>
              <w:rPr>
                <w:rFonts w:ascii="宋体" w:hAnsi="宋体" w:cs="宋体" w:eastAsia="宋体" w:hint="default"/>
                <w:sz w:val="21"/>
                <w:szCs w:val="21"/>
              </w:rPr>
            </w:pPr>
            <w:r>
              <w:rPr>
                <w:rFonts w:ascii="宋体" w:hAnsi="宋体" w:cs="宋体" w:eastAsia="宋体" w:hint="default"/>
                <w:w w:val="100"/>
                <w:sz w:val="21"/>
                <w:szCs w:val="21"/>
              </w:rPr>
              <w:t>额</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single" w:sz="12" w:space="0" w:color="000000"/>
              <w:left w:val="nil" w:sz="6" w:space="0" w:color="auto"/>
              <w:bottom w:val="nil" w:sz="6" w:space="0" w:color="auto"/>
              <w:right w:val="nil" w:sz="6" w:space="0" w:color="auto"/>
            </w:tcBorders>
          </w:tcPr>
          <w:p>
            <w:pPr>
              <w:pStyle w:val="TableParagraph"/>
              <w:spacing w:line="241" w:lineRule="exact"/>
              <w:ind w:right="246"/>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211" w:type="dxa"/>
            <w:tcBorders>
              <w:top w:val="single" w:sz="12" w:space="0" w:color="000000"/>
              <w:left w:val="nil" w:sz="6" w:space="0" w:color="auto"/>
              <w:bottom w:val="nil" w:sz="6" w:space="0" w:color="auto"/>
              <w:right w:val="nil" w:sz="6" w:space="0" w:color="auto"/>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汇率</w:t>
            </w:r>
          </w:p>
        </w:tc>
        <w:tc>
          <w:tcPr>
            <w:tcW w:w="1274" w:type="dxa"/>
            <w:tcBorders>
              <w:top w:val="single" w:sz="12" w:space="0" w:color="000000"/>
              <w:left w:val="nil" w:sz="6" w:space="0" w:color="auto"/>
              <w:bottom w:val="nil" w:sz="6" w:space="0" w:color="auto"/>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16"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6" w:right="0"/>
              <w:jc w:val="left"/>
              <w:rPr>
                <w:rFonts w:ascii="Arial" w:hAnsi="Arial" w:cs="Arial" w:eastAsia="Arial" w:hint="default"/>
                <w:sz w:val="21"/>
                <w:szCs w:val="21"/>
              </w:rPr>
            </w:pPr>
            <w:r>
              <w:rPr>
                <w:rFonts w:ascii="宋体" w:hAnsi="宋体" w:cs="宋体" w:eastAsia="宋体" w:hint="default"/>
                <w:sz w:val="21"/>
                <w:szCs w:val="21"/>
              </w:rPr>
              <w:t>库存现金 </w:t>
            </w:r>
            <w:r>
              <w:rPr>
                <w:rFonts w:ascii="Arial" w:hAnsi="Arial" w:cs="Arial" w:eastAsia="Arial" w:hint="default"/>
                <w:sz w:val="21"/>
                <w:szCs w:val="21"/>
              </w:rPr>
              <w:t>–</w:t>
            </w: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287"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3"/>
              <w:jc w:val="right"/>
              <w:rPr>
                <w:rFonts w:ascii="Arial" w:hAnsi="Arial" w:cs="Arial" w:eastAsia="Arial" w:hint="default"/>
                <w:sz w:val="21"/>
                <w:szCs w:val="21"/>
              </w:rPr>
            </w:pPr>
            <w:r>
              <w:rPr>
                <w:rFonts w:ascii="Arial" w:hAnsi="Arial" w:cs="Arial" w:eastAsia="Arial" w:hint="default"/>
                <w:w w:val="100"/>
                <w:sz w:val="21"/>
                <w:szCs w:val="21"/>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9"/>
              <w:jc w:val="right"/>
              <w:rPr>
                <w:rFonts w:ascii="Arial" w:hAnsi="Arial" w:cs="Arial" w:eastAsia="Arial" w:hint="default"/>
                <w:sz w:val="21"/>
                <w:szCs w:val="21"/>
              </w:rPr>
            </w:pPr>
            <w:r>
              <w:rPr>
                <w:rFonts w:ascii="Arial" w:hAnsi="Arial" w:cs="Arial" w:eastAsia="Arial" w:hint="default"/>
                <w:w w:val="100"/>
                <w:sz w:val="21"/>
                <w:szCs w:val="21"/>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5"/>
              <w:jc w:val="right"/>
              <w:rPr>
                <w:rFonts w:ascii="Arial" w:hAnsi="Arial" w:cs="Arial" w:eastAsia="Arial" w:hint="default"/>
                <w:sz w:val="21"/>
                <w:szCs w:val="21"/>
              </w:rPr>
            </w:pPr>
            <w:r>
              <w:rPr>
                <w:rFonts w:ascii="Arial"/>
                <w:spacing w:val="-4"/>
                <w:sz w:val="21"/>
              </w:rPr>
              <w:t>11,748</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0"/>
              <w:jc w:val="right"/>
              <w:rPr>
                <w:rFonts w:ascii="Arial" w:hAnsi="Arial" w:cs="Arial" w:eastAsia="Arial" w:hint="default"/>
                <w:sz w:val="21"/>
                <w:szCs w:val="21"/>
              </w:rPr>
            </w:pPr>
            <w:r>
              <w:rPr>
                <w:rFonts w:ascii="Arial" w:hAnsi="Arial" w:cs="Arial" w:eastAsia="Arial" w:hint="default"/>
                <w:w w:val="100"/>
                <w:sz w:val="21"/>
                <w:szCs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9"/>
              <w:jc w:val="right"/>
              <w:rPr>
                <w:rFonts w:ascii="Arial" w:hAnsi="Arial" w:cs="Arial" w:eastAsia="Arial" w:hint="default"/>
                <w:sz w:val="21"/>
                <w:szCs w:val="21"/>
              </w:rPr>
            </w:pPr>
            <w:r>
              <w:rPr>
                <w:rFonts w:ascii="Arial" w:hAnsi="Arial" w:cs="Arial" w:eastAsia="Arial" w:hint="default"/>
                <w:w w:val="100"/>
                <w:sz w:val="21"/>
                <w:szCs w:val="21"/>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
              <w:jc w:val="right"/>
              <w:rPr>
                <w:rFonts w:ascii="Arial" w:hAnsi="Arial" w:cs="Arial" w:eastAsia="Arial" w:hint="default"/>
                <w:sz w:val="21"/>
                <w:szCs w:val="21"/>
              </w:rPr>
            </w:pPr>
            <w:r>
              <w:rPr>
                <w:rFonts w:ascii="Arial"/>
                <w:spacing w:val="-1"/>
                <w:sz w:val="21"/>
              </w:rPr>
              <w:t>10,213</w:t>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2" w:lineRule="exact"/>
              <w:ind w:left="31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4"/>
              <w:jc w:val="right"/>
              <w:rPr>
                <w:rFonts w:ascii="Arial" w:hAnsi="Arial" w:cs="Arial" w:eastAsia="Arial" w:hint="default"/>
                <w:sz w:val="21"/>
                <w:szCs w:val="21"/>
              </w:rPr>
            </w:pPr>
            <w:r>
              <w:rPr>
                <w:rFonts w:ascii="Arial"/>
                <w:sz w:val="21"/>
              </w:rPr>
              <w:t>162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7"/>
              <w:jc w:val="right"/>
              <w:rPr>
                <w:rFonts w:ascii="Arial" w:hAnsi="Arial" w:cs="Arial" w:eastAsia="Arial" w:hint="default"/>
                <w:sz w:val="21"/>
                <w:szCs w:val="21"/>
              </w:rPr>
            </w:pPr>
            <w:r>
              <w:rPr>
                <w:rFonts w:ascii="Arial"/>
                <w:spacing w:val="-1"/>
                <w:sz w:val="21"/>
              </w:rPr>
              <w:t>0.8107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4"/>
              <w:jc w:val="right"/>
              <w:rPr>
                <w:rFonts w:ascii="Arial" w:hAnsi="Arial" w:cs="Arial" w:eastAsia="Arial" w:hint="default"/>
                <w:sz w:val="21"/>
                <w:szCs w:val="21"/>
              </w:rPr>
            </w:pPr>
            <w:r>
              <w:rPr>
                <w:rFonts w:ascii="Arial"/>
                <w:sz w:val="21"/>
              </w:rPr>
              <w:t>131</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1"/>
                <w:szCs w:val="21"/>
              </w:rPr>
            </w:pPr>
            <w:r>
              <w:rPr>
                <w:rFonts w:ascii="Arial"/>
                <w:sz w:val="21"/>
              </w:rPr>
              <w:t>142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5"/>
              <w:jc w:val="right"/>
              <w:rPr>
                <w:rFonts w:ascii="Arial" w:hAnsi="Arial" w:cs="Arial" w:eastAsia="Arial" w:hint="default"/>
                <w:sz w:val="21"/>
                <w:szCs w:val="21"/>
              </w:rPr>
            </w:pPr>
            <w:r>
              <w:rPr>
                <w:rFonts w:ascii="Arial"/>
                <w:spacing w:val="-1"/>
                <w:sz w:val="21"/>
              </w:rPr>
              <w:t>0.8509</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
              <w:jc w:val="right"/>
              <w:rPr>
                <w:rFonts w:ascii="Arial" w:hAnsi="Arial" w:cs="Arial" w:eastAsia="Arial" w:hint="default"/>
                <w:sz w:val="21"/>
                <w:szCs w:val="21"/>
              </w:rPr>
            </w:pPr>
            <w:r>
              <w:rPr>
                <w:rFonts w:ascii="Arial"/>
                <w:sz w:val="21"/>
              </w:rPr>
              <w:t>121</w:t>
            </w:r>
          </w:p>
        </w:tc>
      </w:tr>
      <w:tr>
        <w:trPr>
          <w:trHeight w:val="275"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2" w:lineRule="exact"/>
              <w:ind w:left="31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1"/>
              <w:jc w:val="right"/>
              <w:rPr>
                <w:rFonts w:ascii="Arial" w:hAnsi="Arial" w:cs="Arial" w:eastAsia="Arial" w:hint="default"/>
                <w:sz w:val="21"/>
                <w:szCs w:val="21"/>
              </w:rPr>
            </w:pPr>
            <w:r>
              <w:rPr>
                <w:rFonts w:ascii="Arial"/>
                <w:spacing w:val="-1"/>
                <w:sz w:val="21"/>
              </w:rPr>
              <w:t>31,486</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7"/>
              <w:jc w:val="right"/>
              <w:rPr>
                <w:rFonts w:ascii="Arial" w:hAnsi="Arial" w:cs="Arial" w:eastAsia="Arial" w:hint="default"/>
                <w:sz w:val="21"/>
                <w:szCs w:val="21"/>
              </w:rPr>
            </w:pPr>
            <w:r>
              <w:rPr>
                <w:rFonts w:ascii="Arial"/>
                <w:spacing w:val="-4"/>
                <w:sz w:val="21"/>
              </w:rPr>
              <w:t>0.0811</w:t>
            </w:r>
          </w:p>
        </w:tc>
        <w:tc>
          <w:tcPr>
            <w:tcW w:w="1184" w:type="dxa"/>
            <w:tcBorders>
              <w:top w:val="nil" w:sz="6" w:space="0" w:color="auto"/>
              <w:left w:val="nil" w:sz="6" w:space="0" w:color="auto"/>
              <w:bottom w:val="nil" w:sz="6" w:space="0" w:color="auto"/>
              <w:right w:val="nil" w:sz="6" w:space="0" w:color="auto"/>
            </w:tcBorders>
          </w:tcPr>
          <w:p>
            <w:pPr>
              <w:pStyle w:val="TableParagraph"/>
              <w:tabs>
                <w:tab w:pos="581" w:val="left" w:leader="none"/>
                <w:tab w:pos="1183"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2,554</w:t>
              <w:tab/>
            </w:r>
            <w:r>
              <w:rPr>
                <w:rFonts w:ascii="Arial"/>
                <w:spacing w:val="-1"/>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70"/>
              <w:jc w:val="right"/>
              <w:rPr>
                <w:rFonts w:ascii="Arial" w:hAnsi="Arial" w:cs="Arial" w:eastAsia="Arial" w:hint="default"/>
                <w:sz w:val="21"/>
                <w:szCs w:val="21"/>
              </w:rPr>
            </w:pPr>
            <w:r>
              <w:rPr>
                <w:rFonts w:ascii="Arial" w:hAnsi="Arial" w:cs="Arial" w:eastAsia="Arial" w:hint="default"/>
                <w:w w:val="100"/>
                <w:sz w:val="21"/>
                <w:szCs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9"/>
              <w:jc w:val="right"/>
              <w:rPr>
                <w:rFonts w:ascii="Arial" w:hAnsi="Arial" w:cs="Arial" w:eastAsia="Arial" w:hint="default"/>
                <w:sz w:val="21"/>
                <w:szCs w:val="21"/>
              </w:rPr>
            </w:pPr>
            <w:r>
              <w:rPr>
                <w:rFonts w:ascii="Arial" w:hAnsi="Arial" w:cs="Arial" w:eastAsia="Arial" w:hint="default"/>
                <w:w w:val="100"/>
                <w:sz w:val="21"/>
                <w:szCs w:val="21"/>
              </w:rPr>
              <w:t>–</w:t>
            </w:r>
          </w:p>
        </w:tc>
        <w:tc>
          <w:tcPr>
            <w:tcW w:w="1274" w:type="dxa"/>
            <w:tcBorders>
              <w:top w:val="nil" w:sz="6" w:space="0" w:color="auto"/>
              <w:left w:val="nil" w:sz="6" w:space="0" w:color="auto"/>
              <w:bottom w:val="nil" w:sz="6" w:space="0" w:color="auto"/>
              <w:right w:val="nil" w:sz="6" w:space="0" w:color="auto"/>
            </w:tcBorders>
          </w:tcPr>
          <w:p>
            <w:pPr>
              <w:pStyle w:val="TableParagraph"/>
              <w:tabs>
                <w:tab w:pos="1130" w:val="left" w:leader="none"/>
                <w:tab w:pos="1274"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256"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tabs>
                <w:tab w:pos="463" w:val="left" w:leader="none"/>
                <w:tab w:pos="1183"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14,433</w:t>
              <w:tab/>
            </w:r>
            <w:r>
              <w:rPr>
                <w:rFonts w:ascii="Arial"/>
                <w:spacing w:val="-1"/>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tabs>
                <w:tab w:pos="556" w:val="left" w:leader="none"/>
                <w:tab w:pos="1274"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10,334</w:t>
              <w:tab/>
            </w:r>
            <w:r>
              <w:rPr>
                <w:rFonts w:ascii="Arial"/>
                <w:spacing w:val="-1"/>
                <w:sz w:val="21"/>
              </w:rPr>
            </w:r>
          </w:p>
        </w:tc>
      </w:tr>
      <w:tr>
        <w:trPr>
          <w:trHeight w:val="271"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51" w:lineRule="exact"/>
              <w:ind w:left="136" w:right="0"/>
              <w:jc w:val="left"/>
              <w:rPr>
                <w:rFonts w:ascii="Arial" w:hAnsi="Arial" w:cs="Arial" w:eastAsia="Arial" w:hint="default"/>
                <w:sz w:val="21"/>
                <w:szCs w:val="21"/>
              </w:rPr>
            </w:pPr>
            <w:r>
              <w:rPr>
                <w:rFonts w:ascii="宋体" w:hAnsi="宋体" w:cs="宋体" w:eastAsia="宋体" w:hint="default"/>
                <w:sz w:val="21"/>
                <w:szCs w:val="21"/>
              </w:rPr>
              <w:t>银行存款 </w:t>
            </w:r>
            <w:r>
              <w:rPr>
                <w:rFonts w:ascii="Arial" w:hAnsi="Arial" w:cs="Arial" w:eastAsia="Arial" w:hint="default"/>
                <w:sz w:val="21"/>
                <w:szCs w:val="21"/>
              </w:rPr>
              <w:t>–</w:t>
            </w: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280"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6" w:lineRule="exact"/>
              <w:ind w:left="3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3"/>
              <w:jc w:val="right"/>
              <w:rPr>
                <w:rFonts w:ascii="Arial" w:hAnsi="Arial" w:cs="Arial" w:eastAsia="Arial" w:hint="default"/>
                <w:sz w:val="21"/>
                <w:szCs w:val="21"/>
              </w:rPr>
            </w:pPr>
            <w:r>
              <w:rPr>
                <w:rFonts w:ascii="Arial" w:hAnsi="Arial" w:cs="Arial" w:eastAsia="Arial" w:hint="default"/>
                <w:w w:val="100"/>
                <w:sz w:val="21"/>
                <w:szCs w:val="21"/>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9"/>
              <w:jc w:val="right"/>
              <w:rPr>
                <w:rFonts w:ascii="Arial" w:hAnsi="Arial" w:cs="Arial" w:eastAsia="Arial" w:hint="default"/>
                <w:sz w:val="21"/>
                <w:szCs w:val="21"/>
              </w:rPr>
            </w:pPr>
            <w:r>
              <w:rPr>
                <w:rFonts w:ascii="Arial" w:hAnsi="Arial" w:cs="Arial" w:eastAsia="Arial" w:hint="default"/>
                <w:w w:val="100"/>
                <w:sz w:val="21"/>
                <w:szCs w:val="21"/>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7"/>
              <w:jc w:val="right"/>
              <w:rPr>
                <w:rFonts w:ascii="Arial" w:hAnsi="Arial" w:cs="Arial" w:eastAsia="Arial" w:hint="default"/>
                <w:sz w:val="21"/>
                <w:szCs w:val="21"/>
              </w:rPr>
            </w:pPr>
            <w:r>
              <w:rPr>
                <w:rFonts w:ascii="Arial"/>
                <w:spacing w:val="-1"/>
                <w:sz w:val="21"/>
              </w:rPr>
              <w:t>12,143,707</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21"/>
                <w:szCs w:val="21"/>
              </w:rPr>
            </w:pPr>
            <w:r>
              <w:rPr>
                <w:rFonts w:ascii="Arial" w:hAnsi="Arial" w:cs="Arial" w:eastAsia="Arial" w:hint="default"/>
                <w:w w:val="100"/>
                <w:sz w:val="21"/>
                <w:szCs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5"/>
              <w:jc w:val="right"/>
              <w:rPr>
                <w:rFonts w:ascii="Arial" w:hAnsi="Arial" w:cs="Arial" w:eastAsia="Arial" w:hint="default"/>
                <w:sz w:val="21"/>
                <w:szCs w:val="21"/>
              </w:rPr>
            </w:pPr>
            <w:r>
              <w:rPr>
                <w:rFonts w:ascii="Arial" w:hAnsi="Arial" w:cs="Arial" w:eastAsia="Arial" w:hint="default"/>
                <w:w w:val="100"/>
                <w:sz w:val="21"/>
                <w:szCs w:val="21"/>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65" w:right="0"/>
              <w:jc w:val="left"/>
              <w:rPr>
                <w:rFonts w:ascii="Arial" w:hAnsi="Arial" w:cs="Arial" w:eastAsia="Arial" w:hint="default"/>
                <w:sz w:val="21"/>
                <w:szCs w:val="21"/>
              </w:rPr>
            </w:pPr>
            <w:r>
              <w:rPr>
                <w:rFonts w:ascii="Arial"/>
                <w:spacing w:val="-3"/>
                <w:sz w:val="21"/>
              </w:rPr>
              <w:t>11,484,664</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0" w:lineRule="exact"/>
              <w:ind w:left="31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21"/>
                <w:szCs w:val="21"/>
              </w:rPr>
            </w:pPr>
            <w:r>
              <w:rPr>
                <w:rFonts w:ascii="Arial"/>
                <w:spacing w:val="-1"/>
                <w:sz w:val="21"/>
              </w:rPr>
              <w:t>2,563</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7"/>
              <w:jc w:val="right"/>
              <w:rPr>
                <w:rFonts w:ascii="Arial" w:hAnsi="Arial" w:cs="Arial" w:eastAsia="Arial" w:hint="default"/>
                <w:sz w:val="21"/>
                <w:szCs w:val="21"/>
              </w:rPr>
            </w:pPr>
            <w:r>
              <w:rPr>
                <w:rFonts w:ascii="Arial"/>
                <w:spacing w:val="-1"/>
                <w:sz w:val="21"/>
              </w:rPr>
              <w:t>6.3009</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5"/>
              <w:jc w:val="right"/>
              <w:rPr>
                <w:rFonts w:ascii="Arial" w:hAnsi="Arial" w:cs="Arial" w:eastAsia="Arial" w:hint="default"/>
                <w:sz w:val="21"/>
                <w:szCs w:val="21"/>
              </w:rPr>
            </w:pPr>
            <w:r>
              <w:rPr>
                <w:rFonts w:ascii="Arial"/>
                <w:spacing w:val="-1"/>
                <w:sz w:val="21"/>
              </w:rPr>
              <w:t>16,149</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1"/>
                <w:szCs w:val="21"/>
              </w:rPr>
            </w:pPr>
            <w:r>
              <w:rPr>
                <w:rFonts w:ascii="Arial"/>
                <w:sz w:val="21"/>
              </w:rPr>
              <w:t>178</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5"/>
              <w:jc w:val="right"/>
              <w:rPr>
                <w:rFonts w:ascii="Arial" w:hAnsi="Arial" w:cs="Arial" w:eastAsia="Arial" w:hint="default"/>
                <w:sz w:val="21"/>
                <w:szCs w:val="21"/>
              </w:rPr>
            </w:pPr>
            <w:r>
              <w:rPr>
                <w:rFonts w:ascii="Arial"/>
                <w:spacing w:val="-1"/>
                <w:sz w:val="21"/>
              </w:rPr>
              <w:t>6.6227</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21"/>
                <w:szCs w:val="21"/>
              </w:rPr>
            </w:pPr>
            <w:r>
              <w:rPr>
                <w:rFonts w:ascii="Arial"/>
                <w:spacing w:val="-1"/>
                <w:sz w:val="21"/>
              </w:rPr>
              <w:t>1,179</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1" w:lineRule="exact"/>
              <w:ind w:left="31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8"/>
              <w:jc w:val="right"/>
              <w:rPr>
                <w:rFonts w:ascii="Arial" w:hAnsi="Arial" w:cs="Arial" w:eastAsia="Arial" w:hint="default"/>
                <w:sz w:val="21"/>
                <w:szCs w:val="21"/>
              </w:rPr>
            </w:pPr>
            <w:r>
              <w:rPr>
                <w:rFonts w:ascii="Arial"/>
                <w:spacing w:val="-1"/>
                <w:sz w:val="21"/>
              </w:rPr>
              <w:t>94,338</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w:hAnsi="Arial" w:cs="Arial" w:eastAsia="Arial" w:hint="default"/>
                <w:sz w:val="21"/>
                <w:szCs w:val="21"/>
              </w:rPr>
            </w:pPr>
            <w:r>
              <w:rPr>
                <w:rFonts w:ascii="Arial"/>
                <w:spacing w:val="-1"/>
                <w:sz w:val="21"/>
              </w:rPr>
              <w:t>0.8107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21"/>
                <w:szCs w:val="21"/>
              </w:rPr>
            </w:pPr>
            <w:r>
              <w:rPr>
                <w:rFonts w:ascii="Arial"/>
                <w:spacing w:val="-1"/>
                <w:sz w:val="21"/>
              </w:rPr>
              <w:t>76,480</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0"/>
              <w:jc w:val="right"/>
              <w:rPr>
                <w:rFonts w:ascii="Arial" w:hAnsi="Arial" w:cs="Arial" w:eastAsia="Arial" w:hint="default"/>
                <w:sz w:val="21"/>
                <w:szCs w:val="21"/>
              </w:rPr>
            </w:pPr>
            <w:r>
              <w:rPr>
                <w:rFonts w:ascii="Arial"/>
                <w:spacing w:val="-1"/>
                <w:sz w:val="21"/>
              </w:rPr>
              <w:t>49,052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5"/>
              <w:jc w:val="right"/>
              <w:rPr>
                <w:rFonts w:ascii="Arial" w:hAnsi="Arial" w:cs="Arial" w:eastAsia="Arial" w:hint="default"/>
                <w:sz w:val="21"/>
                <w:szCs w:val="21"/>
              </w:rPr>
            </w:pPr>
            <w:r>
              <w:rPr>
                <w:rFonts w:ascii="Arial"/>
                <w:spacing w:val="-1"/>
                <w:sz w:val="21"/>
              </w:rPr>
              <w:t>0.8509</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
              <w:jc w:val="right"/>
              <w:rPr>
                <w:rFonts w:ascii="Arial" w:hAnsi="Arial" w:cs="Arial" w:eastAsia="Arial" w:hint="default"/>
                <w:sz w:val="21"/>
                <w:szCs w:val="21"/>
              </w:rPr>
            </w:pPr>
            <w:r>
              <w:rPr>
                <w:rFonts w:ascii="Arial"/>
                <w:spacing w:val="-1"/>
                <w:sz w:val="21"/>
              </w:rPr>
              <w:t>41,738</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1" w:lineRule="exact"/>
              <w:ind w:left="31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6"/>
              <w:jc w:val="right"/>
              <w:rPr>
                <w:rFonts w:ascii="Arial" w:hAnsi="Arial" w:cs="Arial" w:eastAsia="Arial" w:hint="default"/>
                <w:sz w:val="21"/>
                <w:szCs w:val="21"/>
              </w:rPr>
            </w:pPr>
            <w:r>
              <w:rPr>
                <w:rFonts w:ascii="Arial"/>
                <w:spacing w:val="-1"/>
                <w:sz w:val="21"/>
              </w:rPr>
              <w:t>7,544,060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w:hAnsi="Arial" w:cs="Arial" w:eastAsia="Arial" w:hint="default"/>
                <w:sz w:val="21"/>
                <w:szCs w:val="21"/>
              </w:rPr>
            </w:pPr>
            <w:r>
              <w:rPr>
                <w:rFonts w:ascii="Arial"/>
                <w:spacing w:val="-4"/>
                <w:sz w:val="21"/>
              </w:rPr>
              <w:t>0.0811</w:t>
            </w:r>
          </w:p>
        </w:tc>
        <w:tc>
          <w:tcPr>
            <w:tcW w:w="1184" w:type="dxa"/>
            <w:tcBorders>
              <w:top w:val="nil" w:sz="6" w:space="0" w:color="auto"/>
              <w:left w:val="nil" w:sz="6" w:space="0" w:color="auto"/>
              <w:bottom w:val="nil" w:sz="6" w:space="0" w:color="auto"/>
              <w:right w:val="nil" w:sz="6" w:space="0" w:color="auto"/>
            </w:tcBorders>
          </w:tcPr>
          <w:p>
            <w:pPr>
              <w:pStyle w:val="TableParagraph"/>
              <w:tabs>
                <w:tab w:pos="359" w:val="left" w:leader="none"/>
                <w:tab w:pos="1183"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3"/>
                <w:sz w:val="21"/>
                <w:u w:val="single" w:color="000000"/>
              </w:rPr>
              <w:t>611,823</w:t>
              <w:tab/>
            </w:r>
            <w:r>
              <w:rPr>
                <w:rFonts w:ascii="Arial"/>
                <w:spacing w:val="-3"/>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0"/>
              <w:jc w:val="right"/>
              <w:rPr>
                <w:rFonts w:ascii="Arial" w:hAnsi="Arial" w:cs="Arial" w:eastAsia="Arial" w:hint="default"/>
                <w:sz w:val="21"/>
                <w:szCs w:val="21"/>
              </w:rPr>
            </w:pPr>
            <w:r>
              <w:rPr>
                <w:rFonts w:ascii="Arial"/>
                <w:spacing w:val="-1"/>
                <w:sz w:val="21"/>
              </w:rPr>
              <w:t>40,888</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5"/>
              <w:jc w:val="right"/>
              <w:rPr>
                <w:rFonts w:ascii="Arial" w:hAnsi="Arial" w:cs="Arial" w:eastAsia="Arial" w:hint="default"/>
                <w:sz w:val="21"/>
                <w:szCs w:val="21"/>
              </w:rPr>
            </w:pPr>
            <w:r>
              <w:rPr>
                <w:rFonts w:ascii="Arial"/>
                <w:spacing w:val="-1"/>
                <w:sz w:val="21"/>
              </w:rPr>
              <w:t>0.0813</w:t>
            </w:r>
          </w:p>
        </w:tc>
        <w:tc>
          <w:tcPr>
            <w:tcW w:w="1274" w:type="dxa"/>
            <w:tcBorders>
              <w:top w:val="nil" w:sz="6" w:space="0" w:color="auto"/>
              <w:left w:val="nil" w:sz="6" w:space="0" w:color="auto"/>
              <w:bottom w:val="nil" w:sz="6" w:space="0" w:color="auto"/>
              <w:right w:val="nil" w:sz="6" w:space="0" w:color="auto"/>
            </w:tcBorders>
          </w:tcPr>
          <w:p>
            <w:pPr>
              <w:pStyle w:val="TableParagraph"/>
              <w:tabs>
                <w:tab w:pos="674" w:val="left" w:leader="none"/>
                <w:tab w:pos="1274"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3,323</w:t>
              <w:tab/>
            </w:r>
            <w:r>
              <w:rPr>
                <w:rFonts w:ascii="Arial"/>
                <w:spacing w:val="-1"/>
                <w:sz w:val="21"/>
              </w:rPr>
            </w:r>
          </w:p>
        </w:tc>
      </w:tr>
      <w:tr>
        <w:trPr>
          <w:trHeight w:val="255"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36" w:lineRule="exact"/>
              <w:ind w:right="37"/>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pacing w:val="-26"/>
                <w:sz w:val="21"/>
                <w:u w:val="single" w:color="000000"/>
              </w:rPr>
              <w:t> </w:t>
            </w:r>
            <w:r>
              <w:rPr>
                <w:rFonts w:ascii="Arial"/>
                <w:spacing w:val="-1"/>
                <w:sz w:val="21"/>
                <w:u w:val="single" w:color="000000"/>
              </w:rPr>
              <w:t>12,848,159</w:t>
            </w:r>
            <w:r>
              <w:rPr>
                <w:rFonts w:ascii="Arial"/>
                <w:spacing w:val="-1"/>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10"/>
                <w:sz w:val="21"/>
                <w:u w:val="single" w:color="000000"/>
              </w:rPr>
              <w:t> </w:t>
            </w:r>
            <w:r>
              <w:rPr>
                <w:rFonts w:ascii="Arial"/>
                <w:spacing w:val="-3"/>
                <w:sz w:val="21"/>
                <w:u w:val="single" w:color="000000"/>
              </w:rPr>
              <w:t>11,530,904</w:t>
              <w:tab/>
            </w:r>
            <w:r>
              <w:rPr>
                <w:rFonts w:ascii="Arial"/>
                <w:spacing w:val="-3"/>
                <w:sz w:val="21"/>
              </w:rPr>
            </w:r>
          </w:p>
        </w:tc>
      </w:tr>
      <w:tr>
        <w:trPr>
          <w:trHeight w:val="271" w:hRule="exact"/>
        </w:trPr>
        <w:tc>
          <w:tcPr>
            <w:tcW w:w="772" w:type="dxa"/>
            <w:tcBorders>
              <w:top w:val="nil" w:sz="6" w:space="0" w:color="auto"/>
              <w:left w:val="nil" w:sz="6" w:space="0" w:color="auto"/>
              <w:bottom w:val="nil" w:sz="6" w:space="0" w:color="auto"/>
              <w:right w:val="nil" w:sz="6" w:space="0" w:color="auto"/>
            </w:tcBorders>
          </w:tcPr>
          <w:p>
            <w:pPr/>
          </w:p>
        </w:tc>
        <w:tc>
          <w:tcPr>
            <w:tcW w:w="3025"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136" w:right="0"/>
              <w:jc w:val="left"/>
              <w:rPr>
                <w:rFonts w:ascii="Arial" w:hAnsi="Arial" w:cs="Arial" w:eastAsia="Arial" w:hint="default"/>
                <w:sz w:val="21"/>
                <w:szCs w:val="21"/>
              </w:rPr>
            </w:pPr>
            <w:r>
              <w:rPr>
                <w:rFonts w:ascii="宋体" w:hAnsi="宋体" w:cs="宋体" w:eastAsia="宋体" w:hint="default"/>
                <w:sz w:val="21"/>
                <w:szCs w:val="21"/>
              </w:rPr>
              <w:t>其他货币资金</w:t>
            </w:r>
            <w:r>
              <w:rPr>
                <w:rFonts w:ascii="宋体" w:hAnsi="宋体" w:cs="宋体" w:eastAsia="宋体" w:hint="default"/>
                <w:spacing w:val="-2"/>
                <w:sz w:val="21"/>
                <w:szCs w:val="21"/>
              </w:rPr>
              <w:t> </w:t>
            </w:r>
            <w:r>
              <w:rPr>
                <w:rFonts w:ascii="Arial" w:hAnsi="Arial" w:cs="Arial" w:eastAsia="Arial" w:hint="default"/>
                <w:sz w:val="21"/>
                <w:szCs w:val="21"/>
              </w:rPr>
              <w:t>–</w:t>
            </w: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r>
      <w:tr>
        <w:trPr>
          <w:trHeight w:val="280"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7" w:lineRule="exact"/>
              <w:ind w:left="31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3"/>
              <w:jc w:val="right"/>
              <w:rPr>
                <w:rFonts w:ascii="Arial" w:hAnsi="Arial" w:cs="Arial" w:eastAsia="Arial" w:hint="default"/>
                <w:sz w:val="21"/>
                <w:szCs w:val="21"/>
              </w:rPr>
            </w:pPr>
            <w:r>
              <w:rPr>
                <w:rFonts w:ascii="Arial" w:hAnsi="Arial" w:cs="Arial" w:eastAsia="Arial" w:hint="default"/>
                <w:w w:val="100"/>
                <w:sz w:val="21"/>
                <w:szCs w:val="21"/>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9"/>
              <w:jc w:val="right"/>
              <w:rPr>
                <w:rFonts w:ascii="Arial" w:hAnsi="Arial" w:cs="Arial" w:eastAsia="Arial" w:hint="default"/>
                <w:sz w:val="21"/>
                <w:szCs w:val="21"/>
              </w:rPr>
            </w:pPr>
            <w:r>
              <w:rPr>
                <w:rFonts w:ascii="Arial" w:hAnsi="Arial" w:cs="Arial" w:eastAsia="Arial" w:hint="default"/>
                <w:w w:val="100"/>
                <w:sz w:val="21"/>
                <w:szCs w:val="21"/>
              </w:rPr>
              <w:t>–</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5"/>
              <w:jc w:val="right"/>
              <w:rPr>
                <w:rFonts w:ascii="Arial" w:hAnsi="Arial" w:cs="Arial" w:eastAsia="Arial" w:hint="default"/>
                <w:sz w:val="21"/>
                <w:szCs w:val="21"/>
              </w:rPr>
            </w:pPr>
            <w:r>
              <w:rPr>
                <w:rFonts w:ascii="Arial"/>
                <w:spacing w:val="-1"/>
                <w:sz w:val="21"/>
              </w:rPr>
              <w:t>9,850,268</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21"/>
                <w:szCs w:val="21"/>
              </w:rPr>
            </w:pPr>
            <w:r>
              <w:rPr>
                <w:rFonts w:ascii="Arial" w:hAnsi="Arial" w:cs="Arial" w:eastAsia="Arial" w:hint="default"/>
                <w:w w:val="100"/>
                <w:sz w:val="21"/>
                <w:szCs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65"/>
              <w:jc w:val="right"/>
              <w:rPr>
                <w:rFonts w:ascii="Arial" w:hAnsi="Arial" w:cs="Arial" w:eastAsia="Arial" w:hint="default"/>
                <w:sz w:val="21"/>
                <w:szCs w:val="21"/>
              </w:rPr>
            </w:pPr>
            <w:r>
              <w:rPr>
                <w:rFonts w:ascii="Arial" w:hAnsi="Arial" w:cs="Arial" w:eastAsia="Arial" w:hint="default"/>
                <w:w w:val="100"/>
                <w:sz w:val="21"/>
                <w:szCs w:val="21"/>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6" w:right="0"/>
              <w:jc w:val="left"/>
              <w:rPr>
                <w:rFonts w:ascii="Arial" w:hAnsi="Arial" w:cs="Arial" w:eastAsia="Arial" w:hint="default"/>
                <w:sz w:val="21"/>
                <w:szCs w:val="21"/>
              </w:rPr>
            </w:pPr>
            <w:r>
              <w:rPr>
                <w:rFonts w:ascii="Arial"/>
                <w:sz w:val="21"/>
              </w:rPr>
              <w:t>7,805,744</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1" w:lineRule="exact"/>
              <w:ind w:left="31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8"/>
              <w:jc w:val="right"/>
              <w:rPr>
                <w:rFonts w:ascii="Arial" w:hAnsi="Arial" w:cs="Arial" w:eastAsia="Arial" w:hint="default"/>
                <w:sz w:val="21"/>
                <w:szCs w:val="21"/>
              </w:rPr>
            </w:pPr>
            <w:r>
              <w:rPr>
                <w:rFonts w:ascii="Arial"/>
                <w:spacing w:val="-1"/>
                <w:sz w:val="21"/>
              </w:rPr>
              <w:t>8,544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w:hAnsi="Arial" w:cs="Arial" w:eastAsia="Arial" w:hint="default"/>
                <w:sz w:val="21"/>
                <w:szCs w:val="21"/>
              </w:rPr>
            </w:pPr>
            <w:r>
              <w:rPr>
                <w:rFonts w:ascii="Arial"/>
                <w:spacing w:val="-1"/>
                <w:sz w:val="21"/>
              </w:rPr>
              <w:t>0.8107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21"/>
                <w:szCs w:val="21"/>
              </w:rPr>
            </w:pPr>
            <w:r>
              <w:rPr>
                <w:rFonts w:ascii="Arial"/>
                <w:spacing w:val="-1"/>
                <w:sz w:val="21"/>
              </w:rPr>
              <w:t>6,927</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Arial" w:hAnsi="Arial" w:cs="Arial" w:eastAsia="Arial" w:hint="default"/>
                <w:sz w:val="21"/>
                <w:szCs w:val="21"/>
              </w:rPr>
            </w:pPr>
            <w:r>
              <w:rPr>
                <w:rFonts w:ascii="Arial"/>
                <w:spacing w:val="-1"/>
                <w:sz w:val="21"/>
              </w:rPr>
              <w:t>5,707</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5"/>
              <w:jc w:val="right"/>
              <w:rPr>
                <w:rFonts w:ascii="Arial" w:hAnsi="Arial" w:cs="Arial" w:eastAsia="Arial" w:hint="default"/>
                <w:sz w:val="21"/>
                <w:szCs w:val="21"/>
              </w:rPr>
            </w:pPr>
            <w:r>
              <w:rPr>
                <w:rFonts w:ascii="Arial"/>
                <w:spacing w:val="-1"/>
                <w:sz w:val="21"/>
              </w:rPr>
              <w:t>0.8509</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0"/>
              <w:jc w:val="right"/>
              <w:rPr>
                <w:rFonts w:ascii="Arial" w:hAnsi="Arial" w:cs="Arial" w:eastAsia="Arial" w:hint="default"/>
                <w:sz w:val="21"/>
                <w:szCs w:val="21"/>
              </w:rPr>
            </w:pPr>
            <w:r>
              <w:rPr>
                <w:rFonts w:ascii="Arial"/>
                <w:spacing w:val="-1"/>
                <w:sz w:val="21"/>
              </w:rPr>
              <w:t>4,856</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1" w:lineRule="exact"/>
              <w:ind w:left="31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6"/>
              <w:jc w:val="right"/>
              <w:rPr>
                <w:rFonts w:ascii="Arial" w:hAnsi="Arial" w:cs="Arial" w:eastAsia="Arial" w:hint="default"/>
                <w:sz w:val="21"/>
                <w:szCs w:val="21"/>
              </w:rPr>
            </w:pPr>
            <w:r>
              <w:rPr>
                <w:rFonts w:ascii="Arial"/>
                <w:spacing w:val="-1"/>
                <w:sz w:val="21"/>
              </w:rPr>
              <w:t>250,272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w:hAnsi="Arial" w:cs="Arial" w:eastAsia="Arial" w:hint="default"/>
                <w:sz w:val="21"/>
                <w:szCs w:val="21"/>
              </w:rPr>
            </w:pPr>
            <w:r>
              <w:rPr>
                <w:rFonts w:ascii="Arial"/>
                <w:spacing w:val="-4"/>
                <w:sz w:val="21"/>
              </w:rPr>
              <w:t>0.0811</w:t>
            </w:r>
          </w:p>
        </w:tc>
        <w:tc>
          <w:tcPr>
            <w:tcW w:w="1184" w:type="dxa"/>
            <w:tcBorders>
              <w:top w:val="nil" w:sz="6" w:space="0" w:color="auto"/>
              <w:left w:val="nil" w:sz="6" w:space="0" w:color="auto"/>
              <w:bottom w:val="nil" w:sz="6" w:space="0" w:color="auto"/>
              <w:right w:val="nil" w:sz="6" w:space="0" w:color="auto"/>
            </w:tcBorders>
          </w:tcPr>
          <w:p>
            <w:pPr>
              <w:pStyle w:val="TableParagraph"/>
              <w:tabs>
                <w:tab w:pos="463" w:val="left" w:leader="none"/>
                <w:tab w:pos="1183"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20,297</w:t>
              <w:tab/>
            </w:r>
            <w:r>
              <w:rPr>
                <w:rFonts w:ascii="Arial"/>
                <w:spacing w:val="-1"/>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0"/>
              <w:jc w:val="right"/>
              <w:rPr>
                <w:rFonts w:ascii="Arial" w:hAnsi="Arial" w:cs="Arial" w:eastAsia="Arial" w:hint="default"/>
                <w:sz w:val="21"/>
                <w:szCs w:val="21"/>
              </w:rPr>
            </w:pPr>
            <w:r>
              <w:rPr>
                <w:rFonts w:ascii="Arial" w:hAnsi="Arial" w:cs="Arial" w:eastAsia="Arial" w:hint="default"/>
                <w:w w:val="100"/>
                <w:sz w:val="21"/>
                <w:szCs w:val="21"/>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7"/>
              <w:jc w:val="right"/>
              <w:rPr>
                <w:rFonts w:ascii="Arial" w:hAnsi="Arial" w:cs="Arial" w:eastAsia="Arial" w:hint="default"/>
                <w:sz w:val="21"/>
                <w:szCs w:val="21"/>
              </w:rPr>
            </w:pPr>
            <w:r>
              <w:rPr>
                <w:rFonts w:ascii="Arial" w:hAnsi="Arial" w:cs="Arial" w:eastAsia="Arial" w:hint="default"/>
                <w:w w:val="100"/>
                <w:sz w:val="21"/>
                <w:szCs w:val="21"/>
              </w:rPr>
              <w:t>–</w:t>
            </w:r>
          </w:p>
        </w:tc>
        <w:tc>
          <w:tcPr>
            <w:tcW w:w="1274" w:type="dxa"/>
            <w:tcBorders>
              <w:top w:val="nil" w:sz="6" w:space="0" w:color="auto"/>
              <w:left w:val="nil" w:sz="6" w:space="0" w:color="auto"/>
              <w:bottom w:val="nil" w:sz="6" w:space="0" w:color="auto"/>
              <w:right w:val="nil" w:sz="6" w:space="0" w:color="auto"/>
            </w:tcBorders>
          </w:tcPr>
          <w:p>
            <w:pPr>
              <w:pStyle w:val="TableParagraph"/>
              <w:tabs>
                <w:tab w:pos="1130" w:val="left" w:leader="none"/>
                <w:tab w:pos="1274"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496"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tabs>
                <w:tab w:pos="1183"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3"/>
                <w:sz w:val="21"/>
                <w:u w:val="single" w:color="000000"/>
              </w:rPr>
              <w:t> </w:t>
            </w:r>
            <w:r>
              <w:rPr>
                <w:rFonts w:ascii="Arial"/>
                <w:spacing w:val="-1"/>
                <w:sz w:val="21"/>
                <w:u w:val="single" w:color="000000"/>
              </w:rPr>
              <w:t>9,877,492</w:t>
              <w:tab/>
            </w:r>
            <w:r>
              <w:rPr>
                <w:rFonts w:ascii="Arial"/>
                <w:spacing w:val="-1"/>
                <w:sz w:val="21"/>
              </w:rPr>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tabs>
                <w:tab w:pos="266" w:val="left" w:leader="none"/>
                <w:tab w:pos="1274"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7,810,600</w:t>
              <w:tab/>
            </w:r>
            <w:r>
              <w:rPr>
                <w:rFonts w:ascii="Arial"/>
                <w:spacing w:val="-1"/>
                <w:sz w:val="21"/>
              </w:rPr>
            </w:r>
          </w:p>
        </w:tc>
      </w:tr>
      <w:tr>
        <w:trPr>
          <w:trHeight w:val="262" w:hRule="exact"/>
        </w:trPr>
        <w:tc>
          <w:tcPr>
            <w:tcW w:w="772"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37"/>
              <w:jc w:val="right"/>
              <w:rPr>
                <w:rFonts w:ascii="Arial" w:hAnsi="Arial" w:cs="Arial" w:eastAsia="Arial" w:hint="default"/>
                <w:sz w:val="21"/>
                <w:szCs w:val="21"/>
              </w:rPr>
            </w:pPr>
            <w:r>
              <w:rPr>
                <w:rFonts w:ascii="Arial"/>
                <w:spacing w:val="-1"/>
                <w:sz w:val="21"/>
              </w:rPr>
              <w:t>22,740,084</w:t>
            </w:r>
          </w:p>
        </w:tc>
        <w:tc>
          <w:tcPr>
            <w:tcW w:w="24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37" w:lineRule="exact"/>
              <w:ind w:left="148" w:right="0"/>
              <w:jc w:val="left"/>
              <w:rPr>
                <w:rFonts w:ascii="Arial" w:hAnsi="Arial" w:cs="Arial" w:eastAsia="Arial" w:hint="default"/>
                <w:sz w:val="21"/>
                <w:szCs w:val="21"/>
              </w:rPr>
            </w:pPr>
            <w:r>
              <w:rPr>
                <w:rFonts w:ascii="Arial"/>
                <w:sz w:val="21"/>
              </w:rPr>
              <w:t>19,351,838</w:t>
            </w:r>
          </w:p>
        </w:tc>
      </w:tr>
    </w:tbl>
    <w:p>
      <w:pPr>
        <w:spacing w:line="240" w:lineRule="auto" w:before="0"/>
        <w:rPr>
          <w:rFonts w:ascii="Times New Roman" w:hAnsi="Times New Roman" w:cs="Times New Roman" w:eastAsia="Times New Roman" w:hint="default"/>
          <w:sz w:val="24"/>
          <w:szCs w:val="24"/>
        </w:rPr>
      </w:pPr>
    </w:p>
    <w:tbl>
      <w:tblPr>
        <w:tblW w:w="0" w:type="auto"/>
        <w:jc w:val="left"/>
        <w:tblInd w:w="799" w:type="dxa"/>
        <w:tblLayout w:type="fixed"/>
        <w:tblCellMar>
          <w:top w:w="0" w:type="dxa"/>
          <w:left w:w="0" w:type="dxa"/>
          <w:bottom w:w="0" w:type="dxa"/>
          <w:right w:w="0" w:type="dxa"/>
        </w:tblCellMar>
        <w:tblLook w:val="01E0"/>
      </w:tblPr>
      <w:tblGrid>
        <w:gridCol w:w="9585"/>
      </w:tblGrid>
      <w:tr>
        <w:trPr>
          <w:trHeight w:val="732" w:hRule="exact"/>
        </w:trPr>
        <w:tc>
          <w:tcPr>
            <w:tcW w:w="9585"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6"/>
                <w:w w:val="99"/>
                <w:sz w:val="24"/>
                <w:szCs w:val="24"/>
              </w:rPr>
              <w:t>1</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10"/>
                <w:sz w:val="24"/>
                <w:szCs w:val="24"/>
              </w:rPr>
              <w:t> </w:t>
            </w:r>
            <w:r>
              <w:rPr>
                <w:rFonts w:ascii="宋体" w:hAnsi="宋体" w:cs="宋体" w:eastAsia="宋体" w:hint="default"/>
                <w:spacing w:val="-3"/>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本集团将约人民币</w:t>
            </w:r>
            <w:r>
              <w:rPr>
                <w:rFonts w:ascii="宋体" w:hAnsi="宋体" w:cs="宋体" w:eastAsia="宋体" w:hint="default"/>
                <w:spacing w:val="-65"/>
                <w:sz w:val="24"/>
                <w:szCs w:val="24"/>
              </w:rPr>
              <w:t> </w:t>
            </w:r>
            <w:r>
              <w:rPr>
                <w:rFonts w:ascii="Arial" w:hAnsi="Arial" w:cs="Arial" w:eastAsia="Arial" w:hint="default"/>
                <w:w w:val="99"/>
                <w:sz w:val="24"/>
                <w:szCs w:val="24"/>
              </w:rPr>
              <w:t>86</w:t>
            </w:r>
            <w:r>
              <w:rPr>
                <w:rFonts w:ascii="Arial" w:hAnsi="Arial" w:cs="Arial" w:eastAsia="Arial" w:hint="default"/>
                <w:spacing w:val="-2"/>
                <w:w w:val="100"/>
                <w:sz w:val="24"/>
                <w:szCs w:val="24"/>
              </w:rPr>
              <w:t>.</w:t>
            </w:r>
            <w:r>
              <w:rPr>
                <w:rFonts w:ascii="Arial" w:hAnsi="Arial" w:cs="Arial" w:eastAsia="Arial" w:hint="default"/>
                <w:w w:val="99"/>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约人民币</w:t>
            </w:r>
            <w:r>
              <w:rPr>
                <w:rFonts w:ascii="宋体" w:hAnsi="宋体" w:cs="宋体" w:eastAsia="宋体" w:hint="default"/>
                <w:spacing w:val="-65"/>
                <w:sz w:val="24"/>
                <w:szCs w:val="24"/>
              </w:rPr>
              <w:t> </w:t>
            </w:r>
            <w:r>
              <w:rPr>
                <w:rFonts w:ascii="Arial" w:hAnsi="Arial" w:cs="Arial" w:eastAsia="Arial" w:hint="default"/>
                <w:w w:val="99"/>
                <w:sz w:val="24"/>
                <w:szCs w:val="24"/>
              </w:rPr>
              <w:t>71</w:t>
            </w:r>
            <w:r>
              <w:rPr>
                <w:rFonts w:ascii="Arial" w:hAnsi="Arial" w:cs="Arial" w:eastAsia="Arial" w:hint="default"/>
                <w:spacing w:val="-2"/>
                <w:w w:val="100"/>
                <w:sz w:val="24"/>
                <w:szCs w:val="24"/>
              </w:rPr>
              <w:t>.</w:t>
            </w:r>
            <w:r>
              <w:rPr>
                <w:rFonts w:ascii="Arial" w:hAnsi="Arial" w:cs="Arial" w:eastAsia="Arial" w:hint="default"/>
                <w:w w:val="99"/>
                <w:sz w:val="24"/>
                <w:szCs w:val="24"/>
              </w:rPr>
              <w:t>4</w:t>
            </w:r>
            <w:r>
              <w:rPr>
                <w:rFonts w:ascii="Arial" w:hAnsi="Arial" w:cs="Arial" w:eastAsia="Arial" w:hint="default"/>
                <w:sz w:val="24"/>
                <w:szCs w:val="24"/>
              </w:rPr>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的其他货币资金质押给银行作为开立银行承兑汇票的保证</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(19))</w:t>
            </w:r>
            <w:r>
              <w:rPr>
                <w:rFonts w:ascii="宋体" w:hAnsi="宋体" w:cs="宋体" w:eastAsia="宋体" w:hint="default"/>
                <w:sz w:val="24"/>
                <w:szCs w:val="24"/>
              </w:rPr>
              <w:t>。</w:t>
            </w:r>
          </w:p>
        </w:tc>
      </w:tr>
      <w:tr>
        <w:trPr>
          <w:trHeight w:val="1212" w:hRule="exact"/>
        </w:trPr>
        <w:tc>
          <w:tcPr>
            <w:tcW w:w="9585"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4"/>
                <w:sz w:val="24"/>
                <w:szCs w:val="24"/>
              </w:rPr>
              <w:t>日，本集团将约人民币</w:t>
            </w:r>
            <w:r>
              <w:rPr>
                <w:rFonts w:ascii="宋体" w:hAnsi="宋体" w:cs="宋体" w:eastAsia="宋体" w:hint="default"/>
                <w:spacing w:val="-60"/>
                <w:sz w:val="24"/>
                <w:szCs w:val="24"/>
              </w:rPr>
              <w:t> </w:t>
            </w:r>
            <w:r>
              <w:rPr>
                <w:rFonts w:ascii="Arial" w:hAnsi="Arial" w:cs="Arial" w:eastAsia="Arial" w:hint="default"/>
                <w:spacing w:val="-10"/>
                <w:sz w:val="24"/>
                <w:szCs w:val="24"/>
              </w:rPr>
              <w:t>11</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5"/>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亿</w:t>
            </w:r>
          </w:p>
          <w:p>
            <w:pPr>
              <w:pStyle w:val="TableParagraph"/>
              <w:spacing w:line="312" w:lineRule="exact"/>
              <w:ind w:left="216" w:right="0"/>
              <w:jc w:val="left"/>
              <w:rPr>
                <w:rFonts w:ascii="宋体" w:hAnsi="宋体" w:cs="宋体" w:eastAsia="宋体" w:hint="default"/>
                <w:sz w:val="24"/>
                <w:szCs w:val="24"/>
              </w:rPr>
            </w:pP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的其他货币资金质押给银行作为银行备用信用证保证金，人民币 </w:t>
            </w:r>
            <w:r>
              <w:rPr>
                <w:rFonts w:ascii="Arial" w:hAnsi="Arial" w:cs="Arial" w:eastAsia="Arial" w:hint="default"/>
                <w:sz w:val="24"/>
                <w:szCs w:val="24"/>
              </w:rPr>
              <w:t>0.51</w:t>
            </w:r>
            <w:r>
              <w:rPr>
                <w:rFonts w:ascii="Arial" w:hAnsi="Arial" w:cs="Arial" w:eastAsia="Arial" w:hint="default"/>
                <w:spacing w:val="30"/>
                <w:sz w:val="24"/>
                <w:szCs w:val="24"/>
              </w:rPr>
              <w:t> </w:t>
            </w:r>
            <w:r>
              <w:rPr>
                <w:rFonts w:ascii="宋体" w:hAnsi="宋体" w:cs="宋体" w:eastAsia="宋体" w:hint="default"/>
                <w:sz w:val="24"/>
                <w:szCs w:val="24"/>
              </w:rPr>
              <w:t>亿元作为保函</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0.37</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732" w:hRule="exact"/>
        </w:trPr>
        <w:tc>
          <w:tcPr>
            <w:tcW w:w="9585"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pacing w:val="-4"/>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日，其他货币资金包含中国银联银行卡跨行交易的在途货款约人民</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62"/>
                <w:sz w:val="24"/>
                <w:szCs w:val="24"/>
              </w:rPr>
              <w:t> </w:t>
            </w:r>
            <w:r>
              <w:rPr>
                <w:rFonts w:ascii="Arial" w:hAnsi="Arial" w:cs="Arial" w:eastAsia="Arial" w:hint="default"/>
                <w:sz w:val="24"/>
                <w:szCs w:val="24"/>
              </w:rPr>
              <w:t>0.86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3"/>
                <w:sz w:val="24"/>
                <w:szCs w:val="24"/>
              </w:rPr>
              <w:t> </w:t>
            </w:r>
            <w:r>
              <w:rPr>
                <w:rFonts w:ascii="Arial" w:hAnsi="Arial" w:cs="Arial" w:eastAsia="Arial" w:hint="default"/>
                <w:sz w:val="24"/>
                <w:szCs w:val="24"/>
              </w:rPr>
              <w:t>1.35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50"/>
          <w:pgMar w:header="1474" w:footer="956" w:top="2960" w:bottom="114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688"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12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93"/>
        <w:gridCol w:w="3660"/>
        <w:gridCol w:w="3109"/>
        <w:gridCol w:w="2792"/>
      </w:tblGrid>
      <w:tr>
        <w:trPr>
          <w:trHeight w:val="419" w:hRule="exact"/>
        </w:trPr>
        <w:tc>
          <w:tcPr>
            <w:tcW w:w="69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3660" w:type="dxa"/>
            <w:tcBorders>
              <w:top w:val="nil" w:sz="6" w:space="0" w:color="auto"/>
              <w:left w:val="nil" w:sz="6" w:space="0" w:color="auto"/>
              <w:bottom w:val="nil" w:sz="6" w:space="0" w:color="auto"/>
              <w:right w:val="nil" w:sz="6" w:space="0" w:color="auto"/>
            </w:tcBorders>
          </w:tcPr>
          <w:p>
            <w:pPr>
              <w:pStyle w:val="TableParagraph"/>
              <w:spacing w:line="245" w:lineRule="exact"/>
              <w:ind w:left="198" w:right="0"/>
              <w:jc w:val="left"/>
              <w:rPr>
                <w:rFonts w:ascii="宋体" w:hAnsi="宋体" w:cs="宋体" w:eastAsia="宋体" w:hint="default"/>
                <w:sz w:val="24"/>
                <w:szCs w:val="24"/>
              </w:rPr>
            </w:pPr>
            <w:r>
              <w:rPr>
                <w:rFonts w:ascii="宋体" w:hAnsi="宋体" w:cs="宋体" w:eastAsia="宋体" w:hint="default"/>
                <w:b/>
                <w:bCs/>
                <w:sz w:val="24"/>
                <w:szCs w:val="24"/>
              </w:rPr>
              <w:t>应收票据</w:t>
            </w:r>
            <w:r>
              <w:rPr>
                <w:rFonts w:ascii="宋体" w:hAnsi="宋体" w:cs="宋体" w:eastAsia="宋体" w:hint="default"/>
                <w:sz w:val="24"/>
                <w:szCs w:val="24"/>
              </w:rPr>
            </w:r>
          </w:p>
        </w:tc>
        <w:tc>
          <w:tcPr>
            <w:tcW w:w="3109" w:type="dxa"/>
            <w:tcBorders>
              <w:top w:val="nil" w:sz="6" w:space="0" w:color="auto"/>
              <w:left w:val="nil" w:sz="6" w:space="0" w:color="auto"/>
              <w:bottom w:val="nil" w:sz="6" w:space="0" w:color="auto"/>
              <w:right w:val="nil" w:sz="6" w:space="0" w:color="auto"/>
            </w:tcBorders>
          </w:tcPr>
          <w:p>
            <w:pPr/>
          </w:p>
        </w:tc>
        <w:tc>
          <w:tcPr>
            <w:tcW w:w="2792" w:type="dxa"/>
            <w:tcBorders>
              <w:top w:val="nil" w:sz="6" w:space="0" w:color="auto"/>
              <w:left w:val="nil" w:sz="6" w:space="0" w:color="auto"/>
              <w:bottom w:val="nil" w:sz="6" w:space="0" w:color="auto"/>
              <w:right w:val="nil" w:sz="6" w:space="0" w:color="auto"/>
            </w:tcBorders>
          </w:tcPr>
          <w:p>
            <w:pPr/>
          </w:p>
        </w:tc>
      </w:tr>
      <w:tr>
        <w:trPr>
          <w:trHeight w:val="594" w:hRule="exact"/>
        </w:trPr>
        <w:tc>
          <w:tcPr>
            <w:tcW w:w="69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3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0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12" w:hRule="exact"/>
        </w:trPr>
        <w:tc>
          <w:tcPr>
            <w:tcW w:w="693" w:type="dxa"/>
            <w:tcBorders>
              <w:top w:val="nil" w:sz="6" w:space="0" w:color="auto"/>
              <w:left w:val="nil" w:sz="6" w:space="0" w:color="auto"/>
              <w:bottom w:val="nil" w:sz="6" w:space="0" w:color="auto"/>
              <w:right w:val="nil" w:sz="6" w:space="0" w:color="auto"/>
            </w:tcBorders>
          </w:tcPr>
          <w:p>
            <w:pPr/>
          </w:p>
        </w:tc>
        <w:tc>
          <w:tcPr>
            <w:tcW w:w="366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109" w:type="dxa"/>
            <w:tcBorders>
              <w:top w:val="nil" w:sz="6" w:space="0" w:color="auto"/>
              <w:left w:val="nil" w:sz="6" w:space="0" w:color="auto"/>
              <w:bottom w:val="nil" w:sz="6" w:space="0" w:color="auto"/>
              <w:right w:val="nil" w:sz="6" w:space="0" w:color="auto"/>
            </w:tcBorders>
          </w:tcPr>
          <w:p>
            <w:pPr>
              <w:pStyle w:val="TableParagraph"/>
              <w:tabs>
                <w:tab w:pos="2004" w:val="left" w:leader="none"/>
                <w:tab w:pos="2712" w:val="left" w:leader="none"/>
              </w:tabs>
              <w:spacing w:line="240" w:lineRule="auto" w:before="168"/>
              <w:ind w:left="23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7,265</w:t>
              <w:tab/>
            </w:r>
            <w:r>
              <w:rPr>
                <w:rFonts w:ascii="Arial"/>
                <w:sz w:val="24"/>
              </w:rPr>
            </w:r>
          </w:p>
        </w:tc>
        <w:tc>
          <w:tcPr>
            <w:tcW w:w="2792" w:type="dxa"/>
            <w:tcBorders>
              <w:top w:val="nil" w:sz="6" w:space="0" w:color="auto"/>
              <w:left w:val="nil" w:sz="6" w:space="0" w:color="auto"/>
              <w:bottom w:val="nil" w:sz="6" w:space="0" w:color="auto"/>
              <w:right w:val="nil" w:sz="6" w:space="0" w:color="auto"/>
            </w:tcBorders>
          </w:tcPr>
          <w:p>
            <w:pPr>
              <w:pStyle w:val="TableParagraph"/>
              <w:tabs>
                <w:tab w:pos="1989" w:val="left" w:leader="none"/>
                <w:tab w:pos="2695" w:val="left" w:leader="none"/>
              </w:tabs>
              <w:spacing w:line="240" w:lineRule="auto" w:before="168"/>
              <w:ind w:left="14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2,505</w:t>
              <w:tab/>
            </w:r>
            <w:r>
              <w:rPr>
                <w:rFonts w:ascii="Arial"/>
                <w:sz w:val="24"/>
              </w:rPr>
            </w:r>
          </w:p>
        </w:tc>
      </w:tr>
      <w:tr>
        <w:trPr>
          <w:trHeight w:val="425" w:hRule="exact"/>
        </w:trPr>
        <w:tc>
          <w:tcPr>
            <w:tcW w:w="693" w:type="dxa"/>
            <w:tcBorders>
              <w:top w:val="nil" w:sz="6" w:space="0" w:color="auto"/>
              <w:left w:val="nil" w:sz="6" w:space="0" w:color="auto"/>
              <w:bottom w:val="nil" w:sz="6" w:space="0" w:color="auto"/>
              <w:right w:val="nil" w:sz="6" w:space="0" w:color="auto"/>
            </w:tcBorders>
          </w:tcPr>
          <w:p>
            <w:pPr/>
          </w:p>
        </w:tc>
        <w:tc>
          <w:tcPr>
            <w:tcW w:w="95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日和</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日，本集团无已用于质押的应收票据。</w:t>
            </w:r>
          </w:p>
        </w:tc>
      </w:tr>
    </w:tbl>
    <w:p>
      <w:pPr>
        <w:spacing w:line="240" w:lineRule="auto" w:before="3"/>
        <w:rPr>
          <w:rFonts w:ascii="Times New Roman" w:hAnsi="Times New Roman" w:cs="Times New Roman" w:eastAsia="Times New Roman" w:hint="default"/>
          <w:sz w:val="29"/>
          <w:szCs w:val="29"/>
        </w:rPr>
      </w:pPr>
    </w:p>
    <w:tbl>
      <w:tblPr>
        <w:tblW w:w="0" w:type="auto"/>
        <w:jc w:val="left"/>
        <w:tblInd w:w="799" w:type="dxa"/>
        <w:tblLayout w:type="fixed"/>
        <w:tblCellMar>
          <w:top w:w="0" w:type="dxa"/>
          <w:left w:w="0" w:type="dxa"/>
          <w:bottom w:w="0" w:type="dxa"/>
          <w:right w:w="0" w:type="dxa"/>
        </w:tblCellMar>
        <w:tblLook w:val="01E0"/>
      </w:tblPr>
      <w:tblGrid>
        <w:gridCol w:w="3851"/>
        <w:gridCol w:w="2003"/>
        <w:gridCol w:w="2073"/>
        <w:gridCol w:w="1657"/>
      </w:tblGrid>
      <w:tr>
        <w:trPr>
          <w:trHeight w:val="732" w:hRule="exact"/>
        </w:trPr>
        <w:tc>
          <w:tcPr>
            <w:tcW w:w="9583"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pacing w:val="-4"/>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日，本集团已背书但尚未到期的由第三方开具的银行承兑汇票金额</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为人民币</w:t>
            </w:r>
            <w:r>
              <w:rPr>
                <w:rFonts w:ascii="宋体" w:hAnsi="宋体" w:cs="宋体" w:eastAsia="宋体" w:hint="default"/>
                <w:spacing w:val="-63"/>
                <w:sz w:val="24"/>
                <w:szCs w:val="24"/>
              </w:rPr>
              <w:t> </w:t>
            </w:r>
            <w:r>
              <w:rPr>
                <w:rFonts w:ascii="Arial" w:hAnsi="Arial" w:cs="Arial" w:eastAsia="Arial" w:hint="default"/>
                <w:sz w:val="24"/>
                <w:szCs w:val="24"/>
              </w:rPr>
              <w:t>2,155</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88" w:hRule="exact"/>
        </w:trPr>
        <w:tc>
          <w:tcPr>
            <w:tcW w:w="958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sz w:val="24"/>
                <w:szCs w:val="24"/>
              </w:rPr>
              <w:t>已背书但尚未到期的银行承兑汇票前五大公司如下</w:t>
            </w:r>
            <w:r>
              <w:rPr>
                <w:rFonts w:ascii="Arial" w:hAnsi="Arial" w:cs="Arial" w:eastAsia="Arial" w:hint="default"/>
                <w:sz w:val="24"/>
                <w:szCs w:val="24"/>
              </w:rPr>
              <w:t>(</w:t>
            </w:r>
            <w:r>
              <w:rPr>
                <w:rFonts w:ascii="宋体" w:hAnsi="宋体" w:cs="宋体" w:eastAsia="宋体" w:hint="default"/>
                <w:sz w:val="24"/>
                <w:szCs w:val="24"/>
              </w:rPr>
              <w:t>单位：千元</w:t>
            </w:r>
            <w:r>
              <w:rPr>
                <w:rFonts w:ascii="Arial" w:hAnsi="Arial" w:cs="Arial" w:eastAsia="Arial" w:hint="default"/>
                <w:sz w:val="24"/>
                <w:szCs w:val="24"/>
              </w:rPr>
              <w:t>)</w:t>
            </w:r>
            <w:r>
              <w:rPr>
                <w:rFonts w:ascii="宋体" w:hAnsi="宋体" w:cs="宋体" w:eastAsia="宋体" w:hint="default"/>
                <w:sz w:val="24"/>
                <w:szCs w:val="24"/>
              </w:rPr>
              <w:t>：</w:t>
            </w:r>
          </w:p>
        </w:tc>
      </w:tr>
      <w:tr>
        <w:trPr>
          <w:trHeight w:val="582"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6" w:right="0"/>
              <w:jc w:val="left"/>
              <w:rPr>
                <w:rFonts w:ascii="宋体" w:hAnsi="宋体" w:cs="宋体" w:eastAsia="宋体" w:hint="default"/>
                <w:sz w:val="24"/>
                <w:szCs w:val="24"/>
              </w:rPr>
            </w:pPr>
            <w:r>
              <w:rPr>
                <w:rFonts w:ascii="宋体" w:hAnsi="宋体" w:cs="宋体" w:eastAsia="宋体" w:hint="default"/>
                <w:sz w:val="24"/>
                <w:szCs w:val="24"/>
              </w:rPr>
              <w:t>出票单位</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0"/>
              <w:jc w:val="right"/>
              <w:rPr>
                <w:rFonts w:ascii="宋体" w:hAnsi="宋体" w:cs="宋体" w:eastAsia="宋体" w:hint="default"/>
                <w:sz w:val="24"/>
                <w:szCs w:val="24"/>
              </w:rPr>
            </w:pPr>
            <w:r>
              <w:rPr>
                <w:rFonts w:ascii="宋体" w:hAnsi="宋体" w:cs="宋体" w:eastAsia="宋体" w:hint="default"/>
                <w:sz w:val="24"/>
                <w:szCs w:val="24"/>
              </w:rPr>
              <w:t>出票日期</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01" w:right="0"/>
              <w:jc w:val="left"/>
              <w:rPr>
                <w:rFonts w:ascii="宋体" w:hAnsi="宋体" w:cs="宋体" w:eastAsia="宋体" w:hint="default"/>
                <w:sz w:val="24"/>
                <w:szCs w:val="24"/>
              </w:rPr>
            </w:pPr>
            <w:r>
              <w:rPr>
                <w:rFonts w:ascii="宋体" w:hAnsi="宋体" w:cs="宋体" w:eastAsia="宋体" w:hint="default"/>
                <w:sz w:val="24"/>
                <w:szCs w:val="24"/>
              </w:rPr>
              <w:t>到期日</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70" w:right="0"/>
              <w:jc w:val="left"/>
              <w:rPr>
                <w:rFonts w:ascii="宋体" w:hAnsi="宋体" w:cs="宋体" w:eastAsia="宋体" w:hint="default"/>
                <w:sz w:val="24"/>
                <w:szCs w:val="24"/>
              </w:rPr>
            </w:pPr>
            <w:r>
              <w:rPr>
                <w:rFonts w:ascii="宋体" w:hAnsi="宋体" w:cs="宋体" w:eastAsia="宋体" w:hint="default"/>
                <w:sz w:val="24"/>
                <w:szCs w:val="24"/>
              </w:rPr>
              <w:t>金额</w:t>
            </w:r>
          </w:p>
        </w:tc>
      </w:tr>
      <w:tr>
        <w:trPr>
          <w:trHeight w:val="466"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6" w:right="0"/>
              <w:jc w:val="left"/>
              <w:rPr>
                <w:rFonts w:ascii="宋体" w:hAnsi="宋体" w:cs="宋体" w:eastAsia="宋体" w:hint="default"/>
                <w:sz w:val="24"/>
                <w:szCs w:val="24"/>
              </w:rPr>
            </w:pPr>
            <w:r>
              <w:rPr>
                <w:rFonts w:ascii="宋体" w:hAnsi="宋体" w:cs="宋体" w:eastAsia="宋体" w:hint="default"/>
                <w:sz w:val="24"/>
                <w:szCs w:val="24"/>
              </w:rPr>
              <w:t>深圳市腾邦物流股份有限公司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19"/>
              <w:jc w:val="right"/>
              <w:rPr>
                <w:rFonts w:ascii="Arial" w:hAnsi="Arial" w:cs="Arial" w:eastAsia="Arial" w:hint="default"/>
                <w:sz w:val="24"/>
                <w:szCs w:val="24"/>
              </w:rPr>
            </w:pPr>
            <w:r>
              <w:rPr>
                <w:rFonts w:ascii="Arial"/>
                <w:spacing w:val="-4"/>
                <w:sz w:val="24"/>
              </w:rPr>
              <w:t>2011.11.18</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21" w:right="0"/>
              <w:jc w:val="left"/>
              <w:rPr>
                <w:rFonts w:ascii="Arial" w:hAnsi="Arial" w:cs="Arial" w:eastAsia="Arial" w:hint="default"/>
                <w:sz w:val="24"/>
                <w:szCs w:val="24"/>
              </w:rPr>
            </w:pPr>
            <w:r>
              <w:rPr>
                <w:rFonts w:ascii="Arial"/>
                <w:sz w:val="24"/>
              </w:rPr>
              <w:t>2012.02.16</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50" w:right="0"/>
              <w:jc w:val="left"/>
              <w:rPr>
                <w:rFonts w:ascii="Arial" w:hAnsi="Arial" w:cs="Arial" w:eastAsia="Arial" w:hint="default"/>
                <w:sz w:val="24"/>
                <w:szCs w:val="24"/>
              </w:rPr>
            </w:pPr>
            <w:r>
              <w:rPr>
                <w:rFonts w:ascii="Arial"/>
                <w:sz w:val="24"/>
              </w:rPr>
              <w:t>5,314</w:t>
            </w:r>
          </w:p>
        </w:tc>
      </w:tr>
      <w:tr>
        <w:trPr>
          <w:trHeight w:val="312"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78" w:lineRule="exact"/>
              <w:ind w:left="216" w:right="0"/>
              <w:jc w:val="left"/>
              <w:rPr>
                <w:rFonts w:ascii="宋体" w:hAnsi="宋体" w:cs="宋体" w:eastAsia="宋体" w:hint="default"/>
                <w:sz w:val="24"/>
                <w:szCs w:val="24"/>
              </w:rPr>
            </w:pPr>
            <w:r>
              <w:rPr>
                <w:rFonts w:ascii="宋体" w:hAnsi="宋体" w:cs="宋体" w:eastAsia="宋体" w:hint="default"/>
                <w:sz w:val="24"/>
                <w:szCs w:val="24"/>
              </w:rPr>
              <w:t>中天环保产业</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r>
              <w:rPr>
                <w:rFonts w:ascii="宋体" w:hAnsi="宋体" w:cs="宋体" w:eastAsia="宋体" w:hint="default"/>
                <w:sz w:val="24"/>
                <w:szCs w:val="24"/>
              </w:rPr>
              <w:t>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Arial" w:hAnsi="Arial" w:cs="Arial" w:eastAsia="Arial" w:hint="default"/>
                <w:sz w:val="24"/>
                <w:szCs w:val="24"/>
              </w:rPr>
            </w:pPr>
            <w:r>
              <w:rPr>
                <w:rFonts w:ascii="Arial"/>
                <w:spacing w:val="-6"/>
                <w:sz w:val="24"/>
              </w:rPr>
              <w:t>2011.11.11</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8" w:right="0"/>
              <w:jc w:val="left"/>
              <w:rPr>
                <w:rFonts w:ascii="Arial" w:hAnsi="Arial" w:cs="Arial" w:eastAsia="Arial" w:hint="default"/>
                <w:sz w:val="24"/>
                <w:szCs w:val="24"/>
              </w:rPr>
            </w:pPr>
            <w:r>
              <w:rPr>
                <w:rFonts w:ascii="Arial"/>
                <w:spacing w:val="-3"/>
                <w:sz w:val="24"/>
              </w:rPr>
              <w:t>2012.02.11</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0" w:right="0"/>
              <w:jc w:val="left"/>
              <w:rPr>
                <w:rFonts w:ascii="Arial" w:hAnsi="Arial" w:cs="Arial" w:eastAsia="Arial" w:hint="default"/>
                <w:sz w:val="24"/>
                <w:szCs w:val="24"/>
              </w:rPr>
            </w:pPr>
            <w:r>
              <w:rPr>
                <w:rFonts w:ascii="Arial"/>
                <w:sz w:val="24"/>
              </w:rPr>
              <w:t>3,000</w:t>
            </w:r>
          </w:p>
        </w:tc>
      </w:tr>
      <w:tr>
        <w:trPr>
          <w:trHeight w:val="325"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61" w:lineRule="exact"/>
              <w:ind w:left="216" w:right="0"/>
              <w:jc w:val="left"/>
              <w:rPr>
                <w:rFonts w:ascii="宋体" w:hAnsi="宋体" w:cs="宋体" w:eastAsia="宋体" w:hint="default"/>
                <w:sz w:val="24"/>
                <w:szCs w:val="24"/>
              </w:rPr>
            </w:pPr>
            <w:r>
              <w:rPr>
                <w:rFonts w:ascii="宋体" w:hAnsi="宋体" w:cs="宋体" w:eastAsia="宋体" w:hint="default"/>
                <w:sz w:val="24"/>
                <w:szCs w:val="24"/>
              </w:rPr>
              <w:t>江苏蜂星电讯有限公司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9"/>
              <w:jc w:val="right"/>
              <w:rPr>
                <w:rFonts w:ascii="Arial" w:hAnsi="Arial" w:cs="Arial" w:eastAsia="Arial" w:hint="default"/>
                <w:sz w:val="24"/>
                <w:szCs w:val="24"/>
              </w:rPr>
            </w:pPr>
            <w:r>
              <w:rPr>
                <w:rFonts w:ascii="Arial"/>
                <w:spacing w:val="-4"/>
                <w:sz w:val="24"/>
              </w:rPr>
              <w:t>2011.11.25</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21" w:right="0"/>
              <w:jc w:val="left"/>
              <w:rPr>
                <w:rFonts w:ascii="Arial" w:hAnsi="Arial" w:cs="Arial" w:eastAsia="Arial" w:hint="default"/>
                <w:sz w:val="24"/>
                <w:szCs w:val="24"/>
              </w:rPr>
            </w:pPr>
            <w:r>
              <w:rPr>
                <w:rFonts w:ascii="Arial"/>
                <w:sz w:val="24"/>
              </w:rPr>
              <w:t>2012.05.25</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0" w:right="0"/>
              <w:jc w:val="left"/>
              <w:rPr>
                <w:rFonts w:ascii="Arial" w:hAnsi="Arial" w:cs="Arial" w:eastAsia="Arial" w:hint="default"/>
                <w:sz w:val="24"/>
                <w:szCs w:val="24"/>
              </w:rPr>
            </w:pPr>
            <w:r>
              <w:rPr>
                <w:rFonts w:ascii="Arial"/>
                <w:sz w:val="24"/>
              </w:rPr>
              <w:t>2,080</w:t>
            </w:r>
          </w:p>
        </w:tc>
      </w:tr>
      <w:tr>
        <w:trPr>
          <w:trHeight w:val="338"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74" w:lineRule="exact"/>
              <w:ind w:left="216" w:right="0"/>
              <w:jc w:val="left"/>
              <w:rPr>
                <w:rFonts w:ascii="宋体" w:hAnsi="宋体" w:cs="宋体" w:eastAsia="宋体" w:hint="default"/>
                <w:sz w:val="24"/>
                <w:szCs w:val="24"/>
              </w:rPr>
            </w:pPr>
            <w:r>
              <w:rPr>
                <w:rFonts w:ascii="宋体" w:hAnsi="宋体" w:cs="宋体" w:eastAsia="宋体" w:hint="default"/>
                <w:sz w:val="24"/>
                <w:szCs w:val="24"/>
              </w:rPr>
              <w:t>杭州海亚特进出口有限公司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9"/>
              <w:jc w:val="right"/>
              <w:rPr>
                <w:rFonts w:ascii="Arial" w:hAnsi="Arial" w:cs="Arial" w:eastAsia="Arial" w:hint="default"/>
                <w:sz w:val="24"/>
                <w:szCs w:val="24"/>
              </w:rPr>
            </w:pPr>
            <w:r>
              <w:rPr>
                <w:rFonts w:ascii="Arial"/>
                <w:spacing w:val="-4"/>
                <w:sz w:val="24"/>
              </w:rPr>
              <w:t>2011.11.23</w:t>
            </w:r>
          </w:p>
        </w:tc>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Arial" w:hAnsi="Arial" w:cs="Arial" w:eastAsia="Arial" w:hint="default"/>
                <w:sz w:val="24"/>
                <w:szCs w:val="24"/>
              </w:rPr>
            </w:pPr>
            <w:r>
              <w:rPr>
                <w:rFonts w:ascii="Arial"/>
                <w:sz w:val="24"/>
              </w:rPr>
              <w:t>2012.05.23</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50" w:right="0"/>
              <w:jc w:val="left"/>
              <w:rPr>
                <w:rFonts w:ascii="Arial" w:hAnsi="Arial" w:cs="Arial" w:eastAsia="Arial" w:hint="default"/>
                <w:sz w:val="24"/>
                <w:szCs w:val="24"/>
              </w:rPr>
            </w:pPr>
            <w:r>
              <w:rPr>
                <w:rFonts w:ascii="Arial"/>
                <w:sz w:val="24"/>
              </w:rPr>
              <w:t>2,000</w:t>
            </w:r>
          </w:p>
        </w:tc>
      </w:tr>
      <w:tr>
        <w:trPr>
          <w:trHeight w:val="361" w:hRule="exact"/>
        </w:trPr>
        <w:tc>
          <w:tcPr>
            <w:tcW w:w="3851" w:type="dxa"/>
            <w:tcBorders>
              <w:top w:val="nil" w:sz="6" w:space="0" w:color="auto"/>
              <w:left w:val="nil" w:sz="6" w:space="0" w:color="auto"/>
              <w:bottom w:val="nil" w:sz="6" w:space="0" w:color="auto"/>
              <w:right w:val="nil" w:sz="6" w:space="0" w:color="auto"/>
            </w:tcBorders>
          </w:tcPr>
          <w:p>
            <w:pPr>
              <w:pStyle w:val="TableParagraph"/>
              <w:spacing w:line="274" w:lineRule="exact"/>
              <w:ind w:left="216" w:right="0"/>
              <w:jc w:val="left"/>
              <w:rPr>
                <w:rFonts w:ascii="宋体" w:hAnsi="宋体" w:cs="宋体" w:eastAsia="宋体" w:hint="default"/>
                <w:sz w:val="24"/>
                <w:szCs w:val="24"/>
              </w:rPr>
            </w:pPr>
            <w:r>
              <w:rPr>
                <w:rFonts w:ascii="宋体" w:hAnsi="宋体" w:cs="宋体" w:eastAsia="宋体" w:hint="default"/>
                <w:sz w:val="24"/>
                <w:szCs w:val="24"/>
              </w:rPr>
              <w:t>济宁九龙家电有限公司</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9"/>
              <w:jc w:val="right"/>
              <w:rPr>
                <w:rFonts w:ascii="Arial" w:hAnsi="Arial" w:cs="Arial" w:eastAsia="Arial" w:hint="default"/>
                <w:sz w:val="24"/>
                <w:szCs w:val="24"/>
              </w:rPr>
            </w:pPr>
            <w:r>
              <w:rPr>
                <w:rFonts w:ascii="Arial"/>
                <w:spacing w:val="-4"/>
                <w:sz w:val="24"/>
              </w:rPr>
              <w:t>2011.11.15</w:t>
            </w:r>
          </w:p>
        </w:tc>
        <w:tc>
          <w:tcPr>
            <w:tcW w:w="2073" w:type="dxa"/>
            <w:tcBorders>
              <w:top w:val="nil" w:sz="6" w:space="0" w:color="auto"/>
              <w:left w:val="nil" w:sz="6" w:space="0" w:color="auto"/>
              <w:bottom w:val="nil" w:sz="6" w:space="0" w:color="auto"/>
              <w:right w:val="nil" w:sz="6" w:space="0" w:color="auto"/>
            </w:tcBorders>
          </w:tcPr>
          <w:p>
            <w:pPr>
              <w:pStyle w:val="TableParagraph"/>
              <w:tabs>
                <w:tab w:pos="2623" w:val="left" w:leader="none"/>
              </w:tabs>
              <w:spacing w:line="240" w:lineRule="auto" w:before="34"/>
              <w:ind w:left="321" w:right="-551"/>
              <w:jc w:val="left"/>
              <w:rPr>
                <w:rFonts w:ascii="Arial" w:hAnsi="Arial" w:cs="Arial" w:eastAsia="Arial" w:hint="default"/>
                <w:sz w:val="24"/>
                <w:szCs w:val="24"/>
              </w:rPr>
            </w:pPr>
            <w:r>
              <w:rPr>
                <w:rFonts w:ascii="Arial"/>
                <w:sz w:val="24"/>
              </w:rPr>
              <w:t>2012.02.15 </w:t>
            </w:r>
            <w:r>
              <w:rPr>
                <w:rFonts w:ascii="Arial"/>
                <w:spacing w:val="-28"/>
                <w:sz w:val="24"/>
              </w:rPr>
              <w:t> </w:t>
            </w:r>
            <w:r>
              <w:rPr>
                <w:rFonts w:ascii="Arial"/>
                <w:spacing w:val="-28"/>
                <w:w w:val="100"/>
                <w:sz w:val="24"/>
              </w:rPr>
            </w:r>
            <w:r>
              <w:rPr>
                <w:rFonts w:ascii="Arial"/>
                <w:w w:val="100"/>
                <w:sz w:val="24"/>
                <w:u w:val="single" w:color="000000"/>
              </w:rPr>
              <w:t> </w:t>
            </w:r>
            <w:r>
              <w:rPr>
                <w:rFonts w:ascii="Arial"/>
                <w:sz w:val="24"/>
                <w:u w:val="single" w:color="000000"/>
              </w:rPr>
              <w:tab/>
            </w:r>
            <w:r>
              <w:rPr>
                <w:rFonts w:ascii="Arial"/>
                <w:sz w:val="24"/>
              </w:rPr>
            </w:r>
          </w:p>
        </w:tc>
        <w:tc>
          <w:tcPr>
            <w:tcW w:w="1657"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34"/>
              <w:ind w:right="398"/>
              <w:jc w:val="right"/>
              <w:rPr>
                <w:rFonts w:ascii="Arial" w:hAnsi="Arial" w:cs="Arial" w:eastAsia="Arial" w:hint="default"/>
                <w:sz w:val="24"/>
                <w:szCs w:val="24"/>
              </w:rPr>
            </w:pPr>
            <w:r>
              <w:rPr>
                <w:rFonts w:ascii="Arial"/>
                <w:w w:val="99"/>
                <w:sz w:val="24"/>
              </w:rPr>
            </w:r>
            <w:r>
              <w:rPr>
                <w:rFonts w:ascii="Arial"/>
                <w:spacing w:val="-1"/>
                <w:sz w:val="24"/>
                <w:u w:val="single" w:color="000000"/>
              </w:rPr>
              <w:t>1,000</w:t>
              <w:tab/>
            </w:r>
            <w:r>
              <w:rPr>
                <w:rFonts w:ascii="Arial"/>
                <w:spacing w:val="-1"/>
                <w:sz w:val="24"/>
              </w:rPr>
            </w:r>
          </w:p>
        </w:tc>
      </w:tr>
      <w:tr>
        <w:trPr>
          <w:trHeight w:val="296" w:hRule="exact"/>
        </w:trPr>
        <w:tc>
          <w:tcPr>
            <w:tcW w:w="3851"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
        </w:tc>
        <w:tc>
          <w:tcPr>
            <w:tcW w:w="2073"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tabs>
                <w:tab w:pos="416" w:val="left" w:leader="none"/>
                <w:tab w:pos="1256" w:val="left" w:leader="none"/>
              </w:tabs>
              <w:spacing w:line="240" w:lineRule="auto" w:before="25"/>
              <w:ind w:left="-446" w:right="39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13,394</w:t>
              <w:tab/>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695"/>
        <w:gridCol w:w="2808"/>
        <w:gridCol w:w="1749"/>
        <w:gridCol w:w="1540"/>
        <w:gridCol w:w="1691"/>
        <w:gridCol w:w="1776"/>
      </w:tblGrid>
      <w:tr>
        <w:trPr>
          <w:trHeight w:val="281"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w:t>
            </w:r>
          </w:p>
        </w:tc>
        <w:tc>
          <w:tcPr>
            <w:tcW w:w="2808" w:type="dxa"/>
            <w:tcBorders>
              <w:top w:val="nil" w:sz="6" w:space="0" w:color="auto"/>
              <w:left w:val="nil" w:sz="6" w:space="0" w:color="auto"/>
              <w:bottom w:val="nil" w:sz="6" w:space="0" w:color="auto"/>
              <w:right w:val="nil" w:sz="6" w:space="0" w:color="auto"/>
            </w:tcBorders>
          </w:tcPr>
          <w:p>
            <w:pPr>
              <w:pStyle w:val="TableParagraph"/>
              <w:spacing w:line="245" w:lineRule="exact"/>
              <w:ind w:left="201" w:right="0"/>
              <w:jc w:val="left"/>
              <w:rPr>
                <w:rFonts w:ascii="宋体" w:hAnsi="宋体" w:cs="宋体" w:eastAsia="宋体" w:hint="default"/>
                <w:sz w:val="24"/>
                <w:szCs w:val="24"/>
              </w:rPr>
            </w:pPr>
            <w:r>
              <w:rPr>
                <w:rFonts w:ascii="宋体" w:hAnsi="宋体" w:cs="宋体" w:eastAsia="宋体" w:hint="default"/>
                <w:b/>
                <w:bCs/>
                <w:sz w:val="24"/>
                <w:szCs w:val="24"/>
              </w:rPr>
              <w:t>应收利息</w:t>
            </w:r>
            <w:r>
              <w:rPr>
                <w:rFonts w:ascii="宋体" w:hAnsi="宋体" w:cs="宋体" w:eastAsia="宋体" w:hint="default"/>
                <w:sz w:val="24"/>
                <w:szCs w:val="24"/>
              </w:rPr>
            </w:r>
          </w:p>
        </w:tc>
        <w:tc>
          <w:tcPr>
            <w:tcW w:w="1749"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r>
        <w:trPr>
          <w:trHeight w:val="768" w:hRule="exact"/>
        </w:trPr>
        <w:tc>
          <w:tcPr>
            <w:tcW w:w="69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84" w:lineRule="exact"/>
              <w:ind w:left="614"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25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8" w:right="0"/>
              <w:jc w:val="center"/>
              <w:rPr>
                <w:rFonts w:ascii="宋体" w:hAnsi="宋体" w:cs="宋体" w:eastAsia="宋体" w:hint="default"/>
                <w:sz w:val="24"/>
                <w:szCs w:val="24"/>
              </w:rPr>
            </w:pPr>
            <w:r>
              <w:rPr>
                <w:rFonts w:ascii="宋体" w:hAnsi="宋体" w:cs="宋体" w:eastAsia="宋体" w:hint="default"/>
                <w:sz w:val="24"/>
                <w:szCs w:val="24"/>
              </w:rPr>
              <w:t>本年增加</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5"/>
              <w:jc w:val="center"/>
              <w:rPr>
                <w:rFonts w:ascii="宋体" w:hAnsi="宋体" w:cs="宋体" w:eastAsia="宋体" w:hint="default"/>
                <w:sz w:val="24"/>
                <w:szCs w:val="24"/>
              </w:rPr>
            </w:pPr>
            <w:r>
              <w:rPr>
                <w:rFonts w:ascii="宋体" w:hAnsi="宋体" w:cs="宋体" w:eastAsia="宋体" w:hint="default"/>
                <w:sz w:val="24"/>
                <w:szCs w:val="24"/>
              </w:rPr>
              <w:t>本年减少</w:t>
            </w:r>
          </w:p>
        </w:tc>
        <w:tc>
          <w:tcPr>
            <w:tcW w:w="1776" w:type="dxa"/>
            <w:tcBorders>
              <w:top w:val="nil" w:sz="6" w:space="0" w:color="auto"/>
              <w:left w:val="nil" w:sz="6" w:space="0" w:color="auto"/>
              <w:bottom w:val="nil" w:sz="6" w:space="0" w:color="auto"/>
              <w:right w:val="nil" w:sz="6" w:space="0" w:color="auto"/>
            </w:tcBorders>
          </w:tcPr>
          <w:p>
            <w:pPr>
              <w:pStyle w:val="TableParagraph"/>
              <w:spacing w:line="284" w:lineRule="exact"/>
              <w:ind w:left="757"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38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751" w:hRule="exact"/>
        </w:trPr>
        <w:tc>
          <w:tcPr>
            <w:tcW w:w="695"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Style w:val="TableParagraph"/>
              <w:spacing w:line="313" w:lineRule="exact" w:before="94"/>
              <w:ind w:left="218" w:right="0"/>
              <w:jc w:val="left"/>
              <w:rPr>
                <w:rFonts w:ascii="宋体" w:hAnsi="宋体" w:cs="宋体" w:eastAsia="宋体" w:hint="default"/>
                <w:sz w:val="24"/>
                <w:szCs w:val="24"/>
              </w:rPr>
            </w:pPr>
            <w:r>
              <w:rPr>
                <w:rFonts w:ascii="宋体" w:hAnsi="宋体" w:cs="宋体" w:eastAsia="宋体" w:hint="default"/>
                <w:sz w:val="24"/>
                <w:szCs w:val="24"/>
              </w:rPr>
              <w:t>应收银行承兑汇票</w:t>
            </w:r>
          </w:p>
          <w:p>
            <w:pPr>
              <w:pStyle w:val="TableParagraph"/>
              <w:tabs>
                <w:tab w:pos="2664" w:val="left" w:leader="none"/>
                <w:tab w:pos="3477" w:val="left" w:leader="none"/>
              </w:tabs>
              <w:spacing w:line="313" w:lineRule="exact"/>
              <w:ind w:left="443" w:right="-670"/>
              <w:jc w:val="left"/>
              <w:rPr>
                <w:rFonts w:ascii="Arial" w:hAnsi="Arial" w:cs="Arial" w:eastAsia="Arial" w:hint="default"/>
                <w:sz w:val="24"/>
                <w:szCs w:val="24"/>
              </w:rPr>
            </w:pPr>
            <w:r>
              <w:rPr>
                <w:rFonts w:ascii="宋体" w:hAnsi="宋体" w:cs="宋体" w:eastAsia="宋体" w:hint="default"/>
                <w:position w:val="2"/>
                <w:sz w:val="24"/>
                <w:szCs w:val="24"/>
              </w:rPr>
              <w:t>保证金利息</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555" w:val="left" w:leader="none"/>
              </w:tabs>
              <w:spacing w:line="240" w:lineRule="auto" w:before="204"/>
              <w:ind w:left="669" w:right="0"/>
              <w:jc w:val="left"/>
              <w:rPr>
                <w:rFonts w:ascii="Arial" w:hAnsi="Arial" w:cs="Arial" w:eastAsia="Arial" w:hint="default"/>
                <w:sz w:val="24"/>
                <w:szCs w:val="24"/>
              </w:rPr>
            </w:pPr>
            <w:r>
              <w:rPr>
                <w:rFonts w:ascii="Arial"/>
                <w:w w:val="99"/>
                <w:sz w:val="24"/>
              </w:rPr>
            </w:r>
            <w:r>
              <w:rPr>
                <w:rFonts w:ascii="Arial"/>
                <w:sz w:val="24"/>
                <w:u w:val="thick" w:color="000000"/>
              </w:rPr>
              <w:t>31,385</w:t>
              <w:tab/>
            </w:r>
            <w:r>
              <w:rPr>
                <w:rFonts w:ascii="Arial"/>
                <w:sz w:val="24"/>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295" w:val="left" w:leader="none"/>
                <w:tab w:pos="1277" w:val="left" w:leader="none"/>
              </w:tabs>
              <w:spacing w:line="240" w:lineRule="auto" w:before="204"/>
              <w:ind w:right="8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470,365</w:t>
              <w:tab/>
            </w:r>
            <w:r>
              <w:rPr>
                <w:rFonts w:ascii="Arial"/>
                <w:sz w:val="24"/>
              </w:rPr>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274" w:val="left" w:leader="none"/>
              </w:tabs>
              <w:spacing w:line="240" w:lineRule="auto" w:before="204"/>
              <w:ind w:right="193"/>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0"/>
                <w:sz w:val="24"/>
                <w:u w:val="thick" w:color="000000"/>
              </w:rPr>
              <w:t> </w:t>
            </w:r>
            <w:r>
              <w:rPr>
                <w:rFonts w:ascii="Arial"/>
                <w:sz w:val="24"/>
                <w:u w:val="thick" w:color="000000"/>
              </w:rPr>
              <w:t>(426,929)</w:t>
              <w:tab/>
            </w:r>
            <w:r>
              <w:rPr>
                <w:rFonts w:ascii="Arial"/>
                <w:sz w:val="24"/>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800" w:val="left" w:leader="none"/>
                <w:tab w:pos="1679" w:val="left" w:leader="none"/>
              </w:tabs>
              <w:spacing w:line="240" w:lineRule="auto" w:before="204"/>
              <w:ind w:left="-2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74,821</w:t>
              <w:tab/>
            </w:r>
            <w:r>
              <w:rPr>
                <w:rFonts w:ascii="Arial"/>
                <w:sz w:val="24"/>
              </w:rPr>
            </w:r>
          </w:p>
        </w:tc>
      </w:tr>
    </w:tbl>
    <w:p>
      <w:pPr>
        <w:spacing w:after="0" w:line="240" w:lineRule="auto"/>
        <w:jc w:val="left"/>
        <w:rPr>
          <w:rFonts w:ascii="Arial" w:hAnsi="Arial" w:cs="Arial" w:eastAsia="Arial" w:hint="default"/>
          <w:sz w:val="24"/>
          <w:szCs w:val="24"/>
        </w:rPr>
        <w:sectPr>
          <w:pgSz w:w="11910" w:h="16850"/>
          <w:pgMar w:header="1474" w:footer="956" w:top="2960" w:bottom="114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664"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12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704"/>
        <w:gridCol w:w="2029"/>
        <w:gridCol w:w="1081"/>
        <w:gridCol w:w="801"/>
        <w:gridCol w:w="233"/>
        <w:gridCol w:w="1051"/>
        <w:gridCol w:w="1240"/>
        <w:gridCol w:w="702"/>
        <w:gridCol w:w="798"/>
        <w:gridCol w:w="228"/>
        <w:gridCol w:w="979"/>
        <w:gridCol w:w="623"/>
      </w:tblGrid>
      <w:tr>
        <w:trPr>
          <w:trHeight w:val="41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center"/>
              <w:rPr>
                <w:rFonts w:ascii="Arial" w:hAnsi="Arial" w:cs="Arial" w:eastAsia="Arial" w:hint="default"/>
                <w:sz w:val="24"/>
                <w:szCs w:val="24"/>
              </w:rPr>
            </w:pPr>
            <w:r>
              <w:rPr>
                <w:rFonts w:ascii="Arial"/>
                <w:sz w:val="24"/>
              </w:rPr>
              <w:t>(4)</w:t>
            </w:r>
          </w:p>
        </w:tc>
        <w:tc>
          <w:tcPr>
            <w:tcW w:w="2029" w:type="dxa"/>
            <w:tcBorders>
              <w:top w:val="nil" w:sz="6" w:space="0" w:color="auto"/>
              <w:left w:val="nil" w:sz="6" w:space="0" w:color="auto"/>
              <w:bottom w:val="nil" w:sz="6" w:space="0" w:color="auto"/>
              <w:right w:val="nil" w:sz="6" w:space="0" w:color="auto"/>
            </w:tcBorders>
          </w:tcPr>
          <w:p>
            <w:pPr>
              <w:pStyle w:val="TableParagraph"/>
              <w:spacing w:line="245" w:lineRule="exact"/>
              <w:ind w:left="209" w:right="0"/>
              <w:jc w:val="left"/>
              <w:rPr>
                <w:rFonts w:ascii="宋体" w:hAnsi="宋体" w:cs="宋体" w:eastAsia="宋体" w:hint="default"/>
                <w:sz w:val="24"/>
                <w:szCs w:val="24"/>
              </w:rPr>
            </w:pPr>
            <w:r>
              <w:rPr>
                <w:rFonts w:ascii="宋体" w:hAnsi="宋体" w:cs="宋体" w:eastAsia="宋体" w:hint="default"/>
                <w:b/>
                <w:bCs/>
                <w:sz w:val="24"/>
                <w:szCs w:val="24"/>
              </w:rPr>
              <w:t>应收账款</w:t>
            </w:r>
            <w:r>
              <w:rPr>
                <w:rFonts w:ascii="宋体" w:hAnsi="宋体" w:cs="宋体" w:eastAsia="宋体" w:hint="default"/>
                <w:sz w:val="24"/>
                <w:szCs w:val="24"/>
              </w:rPr>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r>
      <w:tr>
        <w:trPr>
          <w:trHeight w:val="606"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5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453" w:right="-2"/>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702" w:type="dxa"/>
            <w:tcBorders>
              <w:top w:val="nil" w:sz="6" w:space="0" w:color="auto"/>
              <w:left w:val="nil" w:sz="6" w:space="0" w:color="auto"/>
              <w:bottom w:val="nil" w:sz="6" w:space="0" w:color="auto"/>
              <w:right w:val="nil" w:sz="6" w:space="0" w:color="auto"/>
            </w:tcBorders>
          </w:tcPr>
          <w:p>
            <w:pPr/>
          </w:p>
        </w:tc>
        <w:tc>
          <w:tcPr>
            <w:tcW w:w="26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36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7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98" w:right="0"/>
              <w:jc w:val="left"/>
              <w:rPr>
                <w:rFonts w:ascii="Arial" w:hAnsi="Arial" w:cs="Arial" w:eastAsia="Arial" w:hint="default"/>
                <w:sz w:val="24"/>
                <w:szCs w:val="24"/>
              </w:rPr>
            </w:pPr>
            <w:r>
              <w:rPr>
                <w:rFonts w:ascii="Arial"/>
                <w:sz w:val="24"/>
              </w:rPr>
              <w:t>1,873,334</w:t>
            </w:r>
          </w:p>
        </w:tc>
        <w:tc>
          <w:tcPr>
            <w:tcW w:w="702"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18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0"/>
              <w:ind w:left="595" w:right="0"/>
              <w:jc w:val="left"/>
              <w:rPr>
                <w:rFonts w:ascii="Arial" w:hAnsi="Arial" w:cs="Arial" w:eastAsia="Arial" w:hint="default"/>
                <w:sz w:val="24"/>
                <w:szCs w:val="24"/>
              </w:rPr>
            </w:pPr>
            <w:r>
              <w:rPr>
                <w:rFonts w:ascii="Arial"/>
                <w:sz w:val="24"/>
              </w:rPr>
              <w:t>1,132,744</w:t>
            </w:r>
          </w:p>
        </w:tc>
      </w:tr>
      <w:tr>
        <w:trPr>
          <w:trHeight w:val="315"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081" w:type="dxa"/>
            <w:tcBorders>
              <w:top w:val="nil" w:sz="6" w:space="0" w:color="auto"/>
              <w:left w:val="nil" w:sz="6" w:space="0" w:color="auto"/>
              <w:bottom w:val="nil" w:sz="6" w:space="0" w:color="auto"/>
              <w:right w:val="nil" w:sz="6" w:space="0" w:color="auto"/>
            </w:tcBorders>
          </w:tcPr>
          <w:p>
            <w:pPr/>
          </w:p>
        </w:tc>
        <w:tc>
          <w:tcPr>
            <w:tcW w:w="3325" w:type="dxa"/>
            <w:gridSpan w:val="4"/>
            <w:tcBorders>
              <w:top w:val="nil" w:sz="6" w:space="0" w:color="auto"/>
              <w:left w:val="nil" w:sz="6" w:space="0" w:color="auto"/>
              <w:bottom w:val="nil" w:sz="6" w:space="0" w:color="auto"/>
              <w:right w:val="nil" w:sz="6" w:space="0" w:color="auto"/>
            </w:tcBorders>
          </w:tcPr>
          <w:p>
            <w:pPr>
              <w:pStyle w:val="TableParagraph"/>
              <w:tabs>
                <w:tab w:pos="2438" w:val="left" w:leader="none"/>
                <w:tab w:pos="3431" w:val="left" w:leader="none"/>
              </w:tabs>
              <w:spacing w:line="240" w:lineRule="auto" w:before="21"/>
              <w:ind w:left="801" w:right="-108"/>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(31,556)</w:t>
              <w:tab/>
            </w:r>
            <w:r>
              <w:rPr>
                <w:rFonts w:ascii="Arial"/>
                <w:sz w:val="24"/>
              </w:rPr>
            </w:r>
          </w:p>
        </w:tc>
        <w:tc>
          <w:tcPr>
            <w:tcW w:w="702" w:type="dxa"/>
            <w:tcBorders>
              <w:top w:val="nil" w:sz="6" w:space="0" w:color="auto"/>
              <w:left w:val="nil" w:sz="6" w:space="0" w:color="auto"/>
              <w:bottom w:val="nil" w:sz="6" w:space="0" w:color="auto"/>
              <w:right w:val="nil" w:sz="6" w:space="0" w:color="auto"/>
            </w:tcBorders>
          </w:tcPr>
          <w:p>
            <w:pPr/>
          </w:p>
        </w:tc>
        <w:tc>
          <w:tcPr>
            <w:tcW w:w="2628" w:type="dxa"/>
            <w:gridSpan w:val="4"/>
            <w:tcBorders>
              <w:top w:val="nil" w:sz="6" w:space="0" w:color="auto"/>
              <w:left w:val="nil" w:sz="6" w:space="0" w:color="auto"/>
              <w:bottom w:val="nil" w:sz="6" w:space="0" w:color="auto"/>
              <w:right w:val="nil" w:sz="6" w:space="0" w:color="auto"/>
            </w:tcBorders>
          </w:tcPr>
          <w:p>
            <w:pPr>
              <w:pStyle w:val="TableParagraph"/>
              <w:tabs>
                <w:tab w:pos="1625" w:val="left" w:leader="none"/>
                <w:tab w:pos="2626" w:val="left" w:leader="none"/>
              </w:tabs>
              <w:spacing w:line="240" w:lineRule="auto" w:before="21"/>
              <w:ind w:left="1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(28,133)</w:t>
              <w:tab/>
            </w:r>
            <w:r>
              <w:rPr>
                <w:rFonts w:ascii="Arial"/>
                <w:sz w:val="24"/>
              </w:rPr>
            </w:r>
          </w:p>
        </w:tc>
      </w:tr>
      <w:tr>
        <w:trPr>
          <w:trHeight w:val="434"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3325" w:type="dxa"/>
            <w:gridSpan w:val="4"/>
            <w:tcBorders>
              <w:top w:val="nil" w:sz="6" w:space="0" w:color="auto"/>
              <w:left w:val="nil" w:sz="6" w:space="0" w:color="auto"/>
              <w:bottom w:val="nil" w:sz="6" w:space="0" w:color="auto"/>
              <w:right w:val="nil" w:sz="6" w:space="0" w:color="auto"/>
            </w:tcBorders>
          </w:tcPr>
          <w:p>
            <w:pPr>
              <w:pStyle w:val="TableParagraph"/>
              <w:tabs>
                <w:tab w:pos="2183" w:val="left" w:leader="none"/>
                <w:tab w:pos="3431" w:val="left" w:leader="none"/>
              </w:tabs>
              <w:spacing w:line="269" w:lineRule="exact"/>
              <w:ind w:left="801" w:right="-10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1,841,778</w:t>
              <w:tab/>
            </w:r>
            <w:r>
              <w:rPr>
                <w:rFonts w:ascii="Arial"/>
                <w:sz w:val="24"/>
              </w:rPr>
            </w:r>
          </w:p>
        </w:tc>
        <w:tc>
          <w:tcPr>
            <w:tcW w:w="702" w:type="dxa"/>
            <w:tcBorders>
              <w:top w:val="nil" w:sz="6" w:space="0" w:color="auto"/>
              <w:left w:val="nil" w:sz="6" w:space="0" w:color="auto"/>
              <w:bottom w:val="nil" w:sz="6" w:space="0" w:color="auto"/>
              <w:right w:val="nil" w:sz="6" w:space="0" w:color="auto"/>
            </w:tcBorders>
          </w:tcPr>
          <w:p>
            <w:pPr/>
          </w:p>
        </w:tc>
        <w:tc>
          <w:tcPr>
            <w:tcW w:w="2628" w:type="dxa"/>
            <w:gridSpan w:val="4"/>
            <w:tcBorders>
              <w:top w:val="nil" w:sz="6" w:space="0" w:color="auto"/>
              <w:left w:val="nil" w:sz="6" w:space="0" w:color="auto"/>
              <w:bottom w:val="nil" w:sz="6" w:space="0" w:color="auto"/>
              <w:right w:val="nil" w:sz="6" w:space="0" w:color="auto"/>
            </w:tcBorders>
          </w:tcPr>
          <w:p>
            <w:pPr>
              <w:pStyle w:val="TableParagraph"/>
              <w:tabs>
                <w:tab w:pos="1412" w:val="left" w:leader="none"/>
                <w:tab w:pos="2626" w:val="left" w:leader="none"/>
              </w:tabs>
              <w:spacing w:line="269" w:lineRule="exact"/>
              <w:ind w:left="1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1,104,611</w:t>
              <w:tab/>
            </w:r>
            <w:r>
              <w:rPr>
                <w:rFonts w:ascii="Arial"/>
                <w:spacing w:val="-3"/>
                <w:sz w:val="24"/>
              </w:rPr>
            </w:r>
          </w:p>
        </w:tc>
      </w:tr>
      <w:tr>
        <w:trPr>
          <w:trHeight w:val="58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7"/>
              <w:jc w:val="center"/>
              <w:rPr>
                <w:rFonts w:ascii="Arial" w:hAnsi="Arial" w:cs="Arial" w:eastAsia="Arial" w:hint="default"/>
                <w:sz w:val="24"/>
                <w:szCs w:val="24"/>
              </w:rPr>
            </w:pPr>
            <w:r>
              <w:rPr>
                <w:rFonts w:ascii="Arial"/>
                <w:sz w:val="24"/>
              </w:rPr>
              <w:t>(a)</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209"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r>
      <w:tr>
        <w:trPr>
          <w:trHeight w:val="594"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5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453" w:right="-2"/>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702" w:type="dxa"/>
            <w:tcBorders>
              <w:top w:val="nil" w:sz="6" w:space="0" w:color="auto"/>
              <w:left w:val="nil" w:sz="6" w:space="0" w:color="auto"/>
              <w:bottom w:val="nil" w:sz="6" w:space="0" w:color="auto"/>
              <w:right w:val="nil" w:sz="6" w:space="0" w:color="auto"/>
            </w:tcBorders>
          </w:tcPr>
          <w:p>
            <w:pPr/>
          </w:p>
        </w:tc>
        <w:tc>
          <w:tcPr>
            <w:tcW w:w="26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43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8"/>
              <w:ind w:left="295" w:right="0"/>
              <w:jc w:val="left"/>
              <w:rPr>
                <w:rFonts w:ascii="Arial" w:hAnsi="Arial" w:cs="Arial" w:eastAsia="Arial" w:hint="default"/>
                <w:sz w:val="24"/>
                <w:szCs w:val="24"/>
              </w:rPr>
            </w:pPr>
            <w:r>
              <w:rPr>
                <w:rFonts w:ascii="Arial"/>
                <w:spacing w:val="-3"/>
                <w:sz w:val="24"/>
              </w:rPr>
              <w:t>1,811,085</w:t>
            </w:r>
          </w:p>
        </w:tc>
        <w:tc>
          <w:tcPr>
            <w:tcW w:w="798" w:type="dxa"/>
            <w:tcBorders>
              <w:top w:val="nil" w:sz="6" w:space="0" w:color="auto"/>
              <w:left w:val="nil" w:sz="6" w:space="0" w:color="auto"/>
              <w:bottom w:val="nil" w:sz="6" w:space="0" w:color="auto"/>
              <w:right w:val="nil" w:sz="6" w:space="0" w:color="auto"/>
            </w:tcBorders>
          </w:tcPr>
          <w:p>
            <w:pPr/>
          </w:p>
        </w:tc>
        <w:tc>
          <w:tcPr>
            <w:tcW w:w="18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667" w:right="0"/>
              <w:jc w:val="left"/>
              <w:rPr>
                <w:rFonts w:ascii="Arial" w:hAnsi="Arial" w:cs="Arial" w:eastAsia="Arial" w:hint="default"/>
                <w:sz w:val="24"/>
                <w:szCs w:val="24"/>
              </w:rPr>
            </w:pPr>
            <w:r>
              <w:rPr>
                <w:rFonts w:ascii="Arial"/>
                <w:spacing w:val="-3"/>
                <w:sz w:val="24"/>
              </w:rPr>
              <w:t>1,117,265</w:t>
            </w:r>
          </w:p>
        </w:tc>
      </w:tr>
      <w:tr>
        <w:trPr>
          <w:trHeight w:val="31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610" w:right="0"/>
              <w:jc w:val="left"/>
              <w:rPr>
                <w:rFonts w:ascii="Arial" w:hAnsi="Arial" w:cs="Arial" w:eastAsia="Arial" w:hint="default"/>
                <w:sz w:val="24"/>
                <w:szCs w:val="24"/>
              </w:rPr>
            </w:pPr>
            <w:r>
              <w:rPr>
                <w:rFonts w:ascii="Arial"/>
                <w:sz w:val="24"/>
              </w:rPr>
              <w:t>50,489</w:t>
            </w:r>
          </w:p>
        </w:tc>
        <w:tc>
          <w:tcPr>
            <w:tcW w:w="798" w:type="dxa"/>
            <w:tcBorders>
              <w:top w:val="nil" w:sz="6" w:space="0" w:color="auto"/>
              <w:left w:val="nil" w:sz="6" w:space="0" w:color="auto"/>
              <w:bottom w:val="nil" w:sz="6" w:space="0" w:color="auto"/>
              <w:right w:val="nil" w:sz="6" w:space="0" w:color="auto"/>
            </w:tcBorders>
          </w:tcPr>
          <w:p>
            <w:pPr/>
          </w:p>
        </w:tc>
        <w:tc>
          <w:tcPr>
            <w:tcW w:w="18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000" w:right="0"/>
              <w:jc w:val="left"/>
              <w:rPr>
                <w:rFonts w:ascii="Arial" w:hAnsi="Arial" w:cs="Arial" w:eastAsia="Arial" w:hint="default"/>
                <w:sz w:val="24"/>
                <w:szCs w:val="24"/>
              </w:rPr>
            </w:pPr>
            <w:r>
              <w:rPr>
                <w:rFonts w:ascii="Arial"/>
                <w:spacing w:val="-4"/>
                <w:sz w:val="24"/>
              </w:rPr>
              <w:t>11,391</w:t>
            </w:r>
          </w:p>
        </w:tc>
      </w:tr>
      <w:tr>
        <w:trPr>
          <w:trHeight w:val="31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744" w:right="0"/>
              <w:jc w:val="left"/>
              <w:rPr>
                <w:rFonts w:ascii="Arial" w:hAnsi="Arial" w:cs="Arial" w:eastAsia="Arial" w:hint="default"/>
                <w:sz w:val="24"/>
                <w:szCs w:val="24"/>
              </w:rPr>
            </w:pPr>
            <w:r>
              <w:rPr>
                <w:rFonts w:ascii="Arial"/>
                <w:sz w:val="24"/>
              </w:rPr>
              <w:t>9,364</w:t>
            </w:r>
          </w:p>
        </w:tc>
        <w:tc>
          <w:tcPr>
            <w:tcW w:w="798" w:type="dxa"/>
            <w:tcBorders>
              <w:top w:val="nil" w:sz="6" w:space="0" w:color="auto"/>
              <w:left w:val="nil" w:sz="6" w:space="0" w:color="auto"/>
              <w:bottom w:val="nil" w:sz="6" w:space="0" w:color="auto"/>
              <w:right w:val="nil" w:sz="6" w:space="0" w:color="auto"/>
            </w:tcBorders>
          </w:tcPr>
          <w:p>
            <w:pPr/>
          </w:p>
        </w:tc>
        <w:tc>
          <w:tcPr>
            <w:tcW w:w="18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116" w:right="0"/>
              <w:jc w:val="left"/>
              <w:rPr>
                <w:rFonts w:ascii="Arial" w:hAnsi="Arial" w:cs="Arial" w:eastAsia="Arial" w:hint="default"/>
                <w:sz w:val="24"/>
                <w:szCs w:val="24"/>
              </w:rPr>
            </w:pPr>
            <w:r>
              <w:rPr>
                <w:rFonts w:ascii="Arial"/>
                <w:sz w:val="24"/>
              </w:rPr>
              <w:t>2,206</w:t>
            </w:r>
          </w:p>
        </w:tc>
      </w:tr>
      <w:tr>
        <w:trPr>
          <w:trHeight w:val="31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744" w:right="0"/>
              <w:jc w:val="left"/>
              <w:rPr>
                <w:rFonts w:ascii="Arial" w:hAnsi="Arial" w:cs="Arial" w:eastAsia="Arial" w:hint="default"/>
                <w:sz w:val="24"/>
                <w:szCs w:val="24"/>
              </w:rPr>
            </w:pPr>
            <w:r>
              <w:rPr>
                <w:rFonts w:ascii="Arial"/>
                <w:sz w:val="24"/>
              </w:rPr>
              <w:t>2,120</w:t>
            </w:r>
          </w:p>
        </w:tc>
        <w:tc>
          <w:tcPr>
            <w:tcW w:w="7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Arial" w:hAnsi="Arial" w:cs="Arial" w:eastAsia="Arial" w:hint="default"/>
                <w:sz w:val="24"/>
                <w:szCs w:val="24"/>
              </w:rPr>
            </w:pPr>
            <w:r>
              <w:rPr>
                <w:rFonts w:ascii="Arial"/>
                <w:sz w:val="24"/>
              </w:rPr>
              <w:t>451</w:t>
            </w:r>
          </w:p>
        </w:tc>
      </w:tr>
      <w:tr>
        <w:trPr>
          <w:trHeight w:val="31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943" w:right="0"/>
              <w:jc w:val="left"/>
              <w:rPr>
                <w:rFonts w:ascii="Arial" w:hAnsi="Arial" w:cs="Arial" w:eastAsia="Arial" w:hint="default"/>
                <w:sz w:val="24"/>
                <w:szCs w:val="24"/>
              </w:rPr>
            </w:pPr>
            <w:r>
              <w:rPr>
                <w:rFonts w:ascii="Arial"/>
                <w:sz w:val="24"/>
              </w:rPr>
              <w:t>236</w:t>
            </w:r>
          </w:p>
        </w:tc>
        <w:tc>
          <w:tcPr>
            <w:tcW w:w="798" w:type="dxa"/>
            <w:tcBorders>
              <w:top w:val="nil" w:sz="6" w:space="0" w:color="auto"/>
              <w:left w:val="nil" w:sz="6" w:space="0" w:color="auto"/>
              <w:bottom w:val="nil" w:sz="6" w:space="0" w:color="auto"/>
              <w:right w:val="nil" w:sz="6" w:space="0" w:color="auto"/>
            </w:tcBorders>
          </w:tcPr>
          <w:p>
            <w:pPr/>
          </w:p>
        </w:tc>
        <w:tc>
          <w:tcPr>
            <w:tcW w:w="183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116" w:right="0"/>
              <w:jc w:val="left"/>
              <w:rPr>
                <w:rFonts w:ascii="Arial" w:hAnsi="Arial" w:cs="Arial" w:eastAsia="Arial" w:hint="default"/>
                <w:sz w:val="24"/>
                <w:szCs w:val="24"/>
              </w:rPr>
            </w:pPr>
            <w:r>
              <w:rPr>
                <w:rFonts w:ascii="Arial"/>
                <w:sz w:val="24"/>
              </w:rPr>
              <w:t>1,423</w:t>
            </w:r>
          </w:p>
        </w:tc>
      </w:tr>
      <w:tr>
        <w:trPr>
          <w:trHeight w:val="314"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61" w:lineRule="exact"/>
              <w:ind w:left="20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081" w:type="dxa"/>
            <w:tcBorders>
              <w:top w:val="nil" w:sz="6" w:space="0" w:color="auto"/>
              <w:left w:val="nil" w:sz="6" w:space="0" w:color="auto"/>
              <w:bottom w:val="nil" w:sz="6" w:space="0" w:color="auto"/>
              <w:right w:val="nil" w:sz="6" w:space="0" w:color="auto"/>
            </w:tcBorders>
          </w:tcPr>
          <w:p>
            <w:pPr/>
          </w:p>
        </w:tc>
        <w:tc>
          <w:tcPr>
            <w:tcW w:w="4027" w:type="dxa"/>
            <w:gridSpan w:val="5"/>
            <w:tcBorders>
              <w:top w:val="nil" w:sz="6" w:space="0" w:color="auto"/>
              <w:left w:val="nil" w:sz="6" w:space="0" w:color="auto"/>
              <w:bottom w:val="nil" w:sz="6" w:space="0" w:color="auto"/>
              <w:right w:val="nil" w:sz="6" w:space="0" w:color="auto"/>
            </w:tcBorders>
          </w:tcPr>
          <w:p>
            <w:pPr>
              <w:pStyle w:val="TableParagraph"/>
              <w:tabs>
                <w:tab w:pos="3163" w:val="left" w:leader="none"/>
              </w:tabs>
              <w:spacing w:line="240" w:lineRule="auto" w:before="21"/>
              <w:ind w:left="80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40</w:t>
            </w:r>
            <w:r>
              <w:rPr>
                <w:rFonts w:ascii="Arial"/>
                <w:sz w:val="24"/>
              </w:rPr>
            </w:r>
          </w:p>
        </w:tc>
        <w:tc>
          <w:tcPr>
            <w:tcW w:w="2628" w:type="dxa"/>
            <w:gridSpan w:val="4"/>
            <w:tcBorders>
              <w:top w:val="nil" w:sz="6" w:space="0" w:color="auto"/>
              <w:left w:val="nil" w:sz="6" w:space="0" w:color="auto"/>
              <w:bottom w:val="nil" w:sz="6" w:space="0" w:color="auto"/>
              <w:right w:val="nil" w:sz="6" w:space="0" w:color="auto"/>
            </w:tcBorders>
          </w:tcPr>
          <w:p>
            <w:pPr>
              <w:pStyle w:val="TableParagraph"/>
              <w:tabs>
                <w:tab w:pos="2379" w:val="left" w:leader="none"/>
                <w:tab w:pos="2626" w:val="left" w:leader="none"/>
              </w:tabs>
              <w:spacing w:line="240" w:lineRule="auto" w:before="21"/>
              <w:ind w:left="1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w:t>
              <w:tab/>
            </w:r>
            <w:r>
              <w:rPr>
                <w:rFonts w:ascii="Arial"/>
                <w:sz w:val="24"/>
              </w:rPr>
            </w:r>
          </w:p>
        </w:tc>
      </w:tr>
      <w:tr>
        <w:trPr>
          <w:trHeight w:val="434"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4027" w:type="dxa"/>
            <w:gridSpan w:val="5"/>
            <w:tcBorders>
              <w:top w:val="nil" w:sz="6" w:space="0" w:color="auto"/>
              <w:left w:val="nil" w:sz="6" w:space="0" w:color="auto"/>
              <w:bottom w:val="nil" w:sz="6" w:space="0" w:color="auto"/>
              <w:right w:val="nil" w:sz="6" w:space="0" w:color="auto"/>
            </w:tcBorders>
          </w:tcPr>
          <w:p>
            <w:pPr>
              <w:pStyle w:val="TableParagraph"/>
              <w:tabs>
                <w:tab w:pos="2361" w:val="left" w:leader="none"/>
              </w:tabs>
              <w:spacing w:line="268" w:lineRule="exact"/>
              <w:ind w:left="80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1,873,334</w:t>
            </w:r>
            <w:r>
              <w:rPr>
                <w:rFonts w:ascii="Arial"/>
                <w:sz w:val="24"/>
              </w:rPr>
            </w:r>
          </w:p>
        </w:tc>
        <w:tc>
          <w:tcPr>
            <w:tcW w:w="2628" w:type="dxa"/>
            <w:gridSpan w:val="4"/>
            <w:tcBorders>
              <w:top w:val="nil" w:sz="6" w:space="0" w:color="auto"/>
              <w:left w:val="nil" w:sz="6" w:space="0" w:color="auto"/>
              <w:bottom w:val="nil" w:sz="6" w:space="0" w:color="auto"/>
              <w:right w:val="nil" w:sz="6" w:space="0" w:color="auto"/>
            </w:tcBorders>
          </w:tcPr>
          <w:p>
            <w:pPr>
              <w:pStyle w:val="TableParagraph"/>
              <w:tabs>
                <w:tab w:pos="1445" w:val="left" w:leader="none"/>
                <w:tab w:pos="2626" w:val="left" w:leader="none"/>
              </w:tabs>
              <w:spacing w:line="268" w:lineRule="exact"/>
              <w:ind w:left="1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1,132,744</w:t>
              <w:tab/>
            </w:r>
            <w:r>
              <w:rPr>
                <w:rFonts w:ascii="Arial"/>
                <w:sz w:val="24"/>
              </w:rPr>
            </w:r>
          </w:p>
        </w:tc>
      </w:tr>
      <w:tr>
        <w:trPr>
          <w:trHeight w:val="621"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
              <w:jc w:val="center"/>
              <w:rPr>
                <w:rFonts w:ascii="Arial" w:hAnsi="Arial" w:cs="Arial" w:eastAsia="Arial" w:hint="default"/>
                <w:sz w:val="24"/>
                <w:szCs w:val="24"/>
              </w:rPr>
            </w:pPr>
            <w:r>
              <w:rPr>
                <w:rFonts w:ascii="Arial"/>
                <w:sz w:val="24"/>
              </w:rPr>
              <w:t>(b)</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09"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r>
      <w:tr>
        <w:trPr>
          <w:trHeight w:val="506"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single" w:sz="12" w:space="0" w:color="000000"/>
              <w:right w:val="nil" w:sz="6" w:space="0" w:color="auto"/>
            </w:tcBorders>
          </w:tcPr>
          <w:p>
            <w:pPr/>
          </w:p>
        </w:tc>
        <w:tc>
          <w:tcPr>
            <w:tcW w:w="2085"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40"/>
              <w:ind w:left="-42"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240" w:type="dxa"/>
            <w:tcBorders>
              <w:top w:val="nil" w:sz="6" w:space="0" w:color="auto"/>
              <w:left w:val="nil" w:sz="6" w:space="0" w:color="auto"/>
              <w:bottom w:val="single" w:sz="12" w:space="0" w:color="000000"/>
              <w:right w:val="nil" w:sz="6" w:space="0" w:color="auto"/>
            </w:tcBorders>
          </w:tcPr>
          <w:p>
            <w:pPr/>
          </w:p>
        </w:tc>
        <w:tc>
          <w:tcPr>
            <w:tcW w:w="2707"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140"/>
              <w:ind w:left="61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623"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882"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24"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0"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0"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3"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single" w:sz="12" w:space="0" w:color="000000"/>
              <w:left w:val="nil" w:sz="6" w:space="0" w:color="auto"/>
              <w:bottom w:val="nil" w:sz="6" w:space="0" w:color="auto"/>
              <w:right w:val="nil" w:sz="6" w:space="0" w:color="auto"/>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1" w:type="dxa"/>
            <w:tcBorders>
              <w:top w:val="single" w:sz="12" w:space="0" w:color="000000"/>
              <w:left w:val="nil" w:sz="6" w:space="0" w:color="auto"/>
              <w:bottom w:val="nil" w:sz="6" w:space="0" w:color="auto"/>
              <w:right w:val="nil" w:sz="6" w:space="0" w:color="auto"/>
            </w:tcBorders>
          </w:tcPr>
          <w:p>
            <w:pPr>
              <w:pStyle w:val="TableParagraph"/>
              <w:spacing w:line="240" w:lineRule="exact"/>
              <w:ind w:left="23" w:right="0"/>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single" w:sz="12" w:space="0" w:color="000000"/>
              <w:left w:val="nil" w:sz="6" w:space="0" w:color="auto"/>
              <w:bottom w:val="nil" w:sz="6" w:space="0" w:color="auto"/>
              <w:right w:val="nil" w:sz="6" w:space="0" w:color="auto"/>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40" w:type="dxa"/>
            <w:tcBorders>
              <w:top w:val="single" w:sz="12" w:space="0" w:color="000000"/>
              <w:left w:val="nil" w:sz="6" w:space="0" w:color="auto"/>
              <w:bottom w:val="nil" w:sz="6" w:space="0" w:color="auto"/>
              <w:right w:val="nil" w:sz="6" w:space="0" w:color="auto"/>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02" w:type="dxa"/>
            <w:tcBorders>
              <w:top w:val="single" w:sz="12" w:space="0" w:color="000000"/>
              <w:left w:val="nil" w:sz="6" w:space="0" w:color="auto"/>
              <w:bottom w:val="nil" w:sz="6" w:space="0" w:color="auto"/>
              <w:right w:val="nil" w:sz="6" w:space="0" w:color="auto"/>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8" w:type="dxa"/>
            <w:tcBorders>
              <w:top w:val="single" w:sz="12" w:space="0" w:color="000000"/>
              <w:left w:val="nil" w:sz="6" w:space="0" w:color="auto"/>
              <w:bottom w:val="nil" w:sz="6" w:space="0" w:color="auto"/>
              <w:right w:val="nil" w:sz="6" w:space="0" w:color="auto"/>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single" w:sz="12" w:space="0" w:color="000000"/>
              <w:left w:val="nil" w:sz="6" w:space="0" w:color="auto"/>
              <w:bottom w:val="nil" w:sz="6" w:space="0" w:color="auto"/>
              <w:right w:val="nil" w:sz="6" w:space="0" w:color="auto"/>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3" w:type="dxa"/>
            <w:tcBorders>
              <w:top w:val="single" w:sz="12" w:space="0" w:color="000000"/>
              <w:left w:val="nil" w:sz="6" w:space="0" w:color="auto"/>
              <w:bottom w:val="nil" w:sz="6" w:space="0" w:color="auto"/>
              <w:right w:val="nil" w:sz="6" w:space="0" w:color="auto"/>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41"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14" w:lineRule="exact"/>
              <w:ind w:left="209"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81"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r>
      <w:tr>
        <w:trPr>
          <w:trHeight w:val="25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06" w:lineRule="exact"/>
              <w:ind w:right="103"/>
              <w:jc w:val="righ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4"/>
              <w:jc w:val="right"/>
              <w:rPr>
                <w:rFonts w:ascii="Arial" w:hAnsi="Arial" w:cs="Arial" w:eastAsia="Arial" w:hint="default"/>
                <w:sz w:val="18"/>
                <w:szCs w:val="18"/>
              </w:rPr>
            </w:pPr>
            <w:r>
              <w:rPr>
                <w:rFonts w:ascii="Arial"/>
                <w:spacing w:val="-1"/>
                <w:sz w:val="18"/>
              </w:rPr>
              <w:t>1,334,757</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w w:val="95"/>
                <w:sz w:val="18"/>
              </w:rPr>
              <w:t>71%</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6"/>
              <w:jc w:val="right"/>
              <w:rPr>
                <w:rFonts w:ascii="Arial" w:hAnsi="Arial" w:cs="Arial" w:eastAsia="Arial" w:hint="default"/>
                <w:sz w:val="18"/>
                <w:szCs w:val="18"/>
              </w:rPr>
            </w:pPr>
            <w:r>
              <w:rPr>
                <w:rFonts w:ascii="Arial"/>
                <w:w w:val="99"/>
                <w:sz w:val="18"/>
              </w:rPr>
              <w:t>-</w:t>
            </w:r>
            <w:r>
              <w:rPr>
                <w:rFonts w:ascii="Arial"/>
                <w:sz w:val="18"/>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
              <w:jc w:val="center"/>
              <w:rPr>
                <w:rFonts w:ascii="Arial" w:hAnsi="Arial" w:cs="Arial" w:eastAsia="Arial" w:hint="default"/>
                <w:sz w:val="18"/>
                <w:szCs w:val="18"/>
              </w:rPr>
            </w:pPr>
            <w:r>
              <w:rPr>
                <w:rFonts w:ascii="Arial"/>
                <w:w w:val="99"/>
                <w:sz w:val="18"/>
              </w:rPr>
              <w:t>-</w:t>
            </w:r>
            <w:r>
              <w:rPr>
                <w:rFonts w:ascii="Arial"/>
                <w:sz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w:hAnsi="Arial" w:cs="Arial" w:eastAsia="Arial" w:hint="default"/>
                <w:sz w:val="18"/>
                <w:szCs w:val="18"/>
              </w:rPr>
            </w:pPr>
            <w:r>
              <w:rPr>
                <w:rFonts w:ascii="Arial"/>
                <w:sz w:val="18"/>
              </w:rPr>
              <w:t>605,944</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19" w:right="0"/>
              <w:jc w:val="center"/>
              <w:rPr>
                <w:rFonts w:ascii="Arial" w:hAnsi="Arial" w:cs="Arial" w:eastAsia="Arial" w:hint="default"/>
                <w:sz w:val="18"/>
                <w:szCs w:val="18"/>
              </w:rPr>
            </w:pPr>
            <w:r>
              <w:rPr>
                <w:rFonts w:ascii="Arial"/>
                <w:sz w:val="18"/>
              </w:rPr>
              <w:t>53%</w:t>
            </w: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2"/>
              <w:jc w:val="right"/>
              <w:rPr>
                <w:rFonts w:ascii="Arial" w:hAnsi="Arial" w:cs="Arial" w:eastAsia="Arial" w:hint="default"/>
                <w:sz w:val="18"/>
                <w:szCs w:val="18"/>
              </w:rPr>
            </w:pPr>
            <w:r>
              <w:rPr>
                <w:rFonts w:ascii="Arial"/>
                <w:w w:val="99"/>
                <w:sz w:val="18"/>
              </w:rPr>
              <w:t>-</w:t>
            </w:r>
            <w:r>
              <w:rPr>
                <w:rFonts w:ascii="Arial"/>
                <w:sz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r>
      <w:tr>
        <w:trPr>
          <w:trHeight w:val="238"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196" w:lineRule="exact"/>
              <w:ind w:right="103"/>
              <w:jc w:val="righ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081" w:type="dxa"/>
            <w:tcBorders>
              <w:top w:val="nil" w:sz="6" w:space="0" w:color="auto"/>
              <w:left w:val="nil" w:sz="6" w:space="0" w:color="auto"/>
              <w:bottom w:val="single" w:sz="4" w:space="0" w:color="000000"/>
              <w:right w:val="nil" w:sz="6" w:space="0" w:color="auto"/>
            </w:tcBorders>
          </w:tcPr>
          <w:p>
            <w:pPr>
              <w:pStyle w:val="TableParagraph"/>
              <w:spacing w:line="197" w:lineRule="exact"/>
              <w:ind w:right="93"/>
              <w:jc w:val="right"/>
              <w:rPr>
                <w:rFonts w:ascii="Arial" w:hAnsi="Arial" w:cs="Arial" w:eastAsia="Arial" w:hint="default"/>
                <w:sz w:val="18"/>
                <w:szCs w:val="18"/>
              </w:rPr>
            </w:pPr>
            <w:r>
              <w:rPr>
                <w:rFonts w:ascii="Arial"/>
                <w:spacing w:val="-1"/>
                <w:sz w:val="18"/>
              </w:rPr>
              <w:t>538,577</w:t>
            </w:r>
          </w:p>
        </w:tc>
        <w:tc>
          <w:tcPr>
            <w:tcW w:w="801" w:type="dxa"/>
            <w:tcBorders>
              <w:top w:val="nil" w:sz="6" w:space="0" w:color="auto"/>
              <w:left w:val="nil" w:sz="6" w:space="0" w:color="auto"/>
              <w:bottom w:val="single" w:sz="4" w:space="0" w:color="000000"/>
              <w:right w:val="nil" w:sz="6" w:space="0" w:color="auto"/>
            </w:tcBorders>
          </w:tcPr>
          <w:p>
            <w:pPr>
              <w:pStyle w:val="TableParagraph"/>
              <w:spacing w:line="197" w:lineRule="exact"/>
              <w:ind w:right="103"/>
              <w:jc w:val="right"/>
              <w:rPr>
                <w:rFonts w:ascii="Arial" w:hAnsi="Arial" w:cs="Arial" w:eastAsia="Arial" w:hint="default"/>
                <w:sz w:val="18"/>
                <w:szCs w:val="18"/>
              </w:rPr>
            </w:pPr>
            <w:r>
              <w:rPr>
                <w:rFonts w:ascii="Arial"/>
                <w:w w:val="95"/>
                <w:sz w:val="18"/>
              </w:rPr>
              <w:t>29%</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4" w:space="0" w:color="000000"/>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spacing w:val="-1"/>
                <w:sz w:val="18"/>
              </w:rPr>
              <w:t>(31,556)</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197" w:lineRule="exact"/>
              <w:ind w:left="204" w:right="0"/>
              <w:jc w:val="left"/>
              <w:rPr>
                <w:rFonts w:ascii="Arial" w:hAnsi="Arial" w:cs="Arial" w:eastAsia="Arial" w:hint="default"/>
                <w:sz w:val="18"/>
                <w:szCs w:val="18"/>
              </w:rPr>
            </w:pPr>
            <w:r>
              <w:rPr>
                <w:rFonts w:ascii="Arial"/>
                <w:sz w:val="18"/>
              </w:rPr>
              <w:t>5.9%</w:t>
            </w:r>
          </w:p>
        </w:tc>
        <w:tc>
          <w:tcPr>
            <w:tcW w:w="702" w:type="dxa"/>
            <w:tcBorders>
              <w:top w:val="nil" w:sz="6" w:space="0" w:color="auto"/>
              <w:left w:val="nil" w:sz="6" w:space="0" w:color="auto"/>
              <w:bottom w:val="single" w:sz="4" w:space="0" w:color="000000"/>
              <w:right w:val="nil" w:sz="6" w:space="0" w:color="auto"/>
            </w:tcBorders>
          </w:tcPr>
          <w:p>
            <w:pPr>
              <w:pStyle w:val="TableParagraph"/>
              <w:spacing w:line="197" w:lineRule="exact"/>
              <w:ind w:left="-35" w:right="0"/>
              <w:jc w:val="left"/>
              <w:rPr>
                <w:rFonts w:ascii="Arial" w:hAnsi="Arial" w:cs="Arial" w:eastAsia="Arial" w:hint="default"/>
                <w:sz w:val="18"/>
                <w:szCs w:val="18"/>
              </w:rPr>
            </w:pPr>
            <w:r>
              <w:rPr>
                <w:rFonts w:ascii="Arial"/>
                <w:sz w:val="18"/>
              </w:rPr>
              <w:t>526,800</w:t>
            </w:r>
          </w:p>
        </w:tc>
        <w:tc>
          <w:tcPr>
            <w:tcW w:w="798" w:type="dxa"/>
            <w:tcBorders>
              <w:top w:val="nil" w:sz="6" w:space="0" w:color="auto"/>
              <w:left w:val="nil" w:sz="6" w:space="0" w:color="auto"/>
              <w:bottom w:val="single" w:sz="4" w:space="0" w:color="000000"/>
              <w:right w:val="nil" w:sz="6" w:space="0" w:color="auto"/>
            </w:tcBorders>
          </w:tcPr>
          <w:p>
            <w:pPr>
              <w:pStyle w:val="TableParagraph"/>
              <w:spacing w:line="197" w:lineRule="exact"/>
              <w:ind w:left="219" w:right="0"/>
              <w:jc w:val="center"/>
              <w:rPr>
                <w:rFonts w:ascii="Arial" w:hAnsi="Arial" w:cs="Arial" w:eastAsia="Arial" w:hint="default"/>
                <w:sz w:val="18"/>
                <w:szCs w:val="18"/>
              </w:rPr>
            </w:pPr>
            <w:r>
              <w:rPr>
                <w:rFonts w:ascii="Arial"/>
                <w:sz w:val="18"/>
              </w:rPr>
              <w:t>47%</w:t>
            </w: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197" w:lineRule="exact"/>
              <w:ind w:right="82"/>
              <w:jc w:val="right"/>
              <w:rPr>
                <w:rFonts w:ascii="Arial" w:hAnsi="Arial" w:cs="Arial" w:eastAsia="Arial" w:hint="default"/>
                <w:sz w:val="18"/>
                <w:szCs w:val="18"/>
              </w:rPr>
            </w:pPr>
            <w:r>
              <w:rPr>
                <w:rFonts w:ascii="Arial"/>
                <w:spacing w:val="-1"/>
                <w:sz w:val="18"/>
              </w:rPr>
              <w:t>(28,133)</w:t>
            </w:r>
          </w:p>
        </w:tc>
        <w:tc>
          <w:tcPr>
            <w:tcW w:w="623" w:type="dxa"/>
            <w:tcBorders>
              <w:top w:val="nil" w:sz="6" w:space="0" w:color="auto"/>
              <w:left w:val="nil" w:sz="6" w:space="0" w:color="auto"/>
              <w:bottom w:val="single" w:sz="4" w:space="0" w:color="000000"/>
              <w:right w:val="nil" w:sz="6" w:space="0" w:color="auto"/>
            </w:tcBorders>
          </w:tcPr>
          <w:p>
            <w:pPr>
              <w:pStyle w:val="TableParagraph"/>
              <w:spacing w:line="197" w:lineRule="exact"/>
              <w:ind w:right="0"/>
              <w:jc w:val="right"/>
              <w:rPr>
                <w:rFonts w:ascii="Arial" w:hAnsi="Arial" w:cs="Arial" w:eastAsia="Arial" w:hint="default"/>
                <w:sz w:val="18"/>
                <w:szCs w:val="18"/>
              </w:rPr>
            </w:pPr>
            <w:r>
              <w:rPr>
                <w:rFonts w:ascii="Arial"/>
                <w:w w:val="95"/>
                <w:sz w:val="18"/>
              </w:rPr>
              <w:t>5.3%</w:t>
            </w:r>
            <w:r>
              <w:rPr>
                <w:rFonts w:ascii="Arial"/>
                <w:sz w:val="18"/>
              </w:rPr>
            </w:r>
          </w:p>
        </w:tc>
      </w:tr>
      <w:tr>
        <w:trPr>
          <w:trHeight w:val="262" w:hRule="exact"/>
        </w:trPr>
        <w:tc>
          <w:tcPr>
            <w:tcW w:w="704"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34"/>
              <w:jc w:val="right"/>
              <w:rPr>
                <w:rFonts w:ascii="Arial" w:hAnsi="Arial" w:cs="Arial" w:eastAsia="Arial" w:hint="default"/>
                <w:sz w:val="18"/>
                <w:szCs w:val="18"/>
              </w:rPr>
            </w:pPr>
            <w:r>
              <w:rPr>
                <w:rFonts w:ascii="Arial"/>
                <w:spacing w:val="-1"/>
                <w:sz w:val="18"/>
              </w:rPr>
              <w:t>1,873,334</w:t>
            </w:r>
          </w:p>
        </w:tc>
        <w:tc>
          <w:tcPr>
            <w:tcW w:w="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Arial" w:hAnsi="Arial" w:cs="Arial" w:eastAsia="Arial" w:hint="default"/>
                <w:sz w:val="18"/>
                <w:szCs w:val="18"/>
              </w:rPr>
            </w:pPr>
            <w:r>
              <w:rPr>
                <w:rFonts w:ascii="Arial"/>
                <w:w w:val="95"/>
                <w:sz w:val="18"/>
              </w:rPr>
              <w:t>100%</w:t>
            </w:r>
            <w:r>
              <w:rPr>
                <w:rFonts w:ascii="Arial"/>
                <w:sz w:val="18"/>
              </w:rPr>
            </w:r>
          </w:p>
        </w:tc>
        <w:tc>
          <w:tcPr>
            <w:tcW w:w="233" w:type="dxa"/>
            <w:tcBorders>
              <w:top w:val="nil" w:sz="6" w:space="0" w:color="auto"/>
              <w:left w:val="nil" w:sz="6" w:space="0" w:color="auto"/>
              <w:bottom w:val="nil" w:sz="6" w:space="0" w:color="auto"/>
              <w:right w:val="nil" w:sz="6" w:space="0" w:color="auto"/>
            </w:tcBorders>
          </w:tcPr>
          <w:p>
            <w:pPr/>
          </w:p>
        </w:tc>
        <w:tc>
          <w:tcPr>
            <w:tcW w:w="10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8"/>
              <w:jc w:val="right"/>
              <w:rPr>
                <w:rFonts w:ascii="Arial" w:hAnsi="Arial" w:cs="Arial" w:eastAsia="Arial" w:hint="default"/>
                <w:sz w:val="18"/>
                <w:szCs w:val="18"/>
              </w:rPr>
            </w:pPr>
            <w:r>
              <w:rPr>
                <w:rFonts w:ascii="Arial"/>
                <w:spacing w:val="-1"/>
                <w:sz w:val="18"/>
              </w:rPr>
              <w:t>(31,556)</w:t>
            </w: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1054" w:right="0"/>
              <w:jc w:val="left"/>
              <w:rPr>
                <w:rFonts w:ascii="Arial" w:hAnsi="Arial" w:cs="Arial" w:eastAsia="Arial" w:hint="default"/>
                <w:sz w:val="18"/>
                <w:szCs w:val="18"/>
              </w:rPr>
            </w:pPr>
            <w:r>
              <w:rPr>
                <w:rFonts w:ascii="Arial"/>
                <w:sz w:val="18"/>
              </w:rPr>
              <w:t>1,132,744</w:t>
            </w:r>
          </w:p>
        </w:tc>
        <w:tc>
          <w:tcPr>
            <w:tcW w:w="7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8" w:right="0"/>
              <w:jc w:val="center"/>
              <w:rPr>
                <w:rFonts w:ascii="Arial" w:hAnsi="Arial" w:cs="Arial" w:eastAsia="Arial" w:hint="default"/>
                <w:sz w:val="18"/>
                <w:szCs w:val="18"/>
              </w:rPr>
            </w:pPr>
            <w:r>
              <w:rPr>
                <w:rFonts w:ascii="Arial"/>
                <w:sz w:val="18"/>
              </w:rPr>
              <w:t>100%</w:t>
            </w:r>
          </w:p>
        </w:tc>
        <w:tc>
          <w:tcPr>
            <w:tcW w:w="228"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82"/>
              <w:jc w:val="right"/>
              <w:rPr>
                <w:rFonts w:ascii="Arial" w:hAnsi="Arial" w:cs="Arial" w:eastAsia="Arial" w:hint="default"/>
                <w:sz w:val="18"/>
                <w:szCs w:val="18"/>
              </w:rPr>
            </w:pPr>
            <w:r>
              <w:rPr>
                <w:rFonts w:ascii="Arial"/>
                <w:spacing w:val="-1"/>
                <w:sz w:val="18"/>
              </w:rPr>
              <w:t>(28,133)</w:t>
            </w:r>
          </w:p>
        </w:tc>
        <w:tc>
          <w:tcPr>
            <w:tcW w:w="623" w:type="dxa"/>
            <w:tcBorders>
              <w:top w:val="single" w:sz="4" w:space="0" w:color="000000"/>
              <w:left w:val="nil" w:sz="6" w:space="0" w:color="auto"/>
              <w:bottom w:val="single" w:sz="12" w:space="0" w:color="000000"/>
              <w:right w:val="nil" w:sz="6" w:space="0" w:color="auto"/>
            </w:tcBorders>
          </w:tcPr>
          <w:p>
            <w:pPr/>
          </w:p>
        </w:tc>
      </w:tr>
    </w:tbl>
    <w:p>
      <w:pPr>
        <w:spacing w:after="0"/>
        <w:sectPr>
          <w:pgSz w:w="11910" w:h="16850"/>
          <w:pgMar w:header="1474" w:footer="956" w:top="2960" w:bottom="1140" w:left="82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640"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12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705"/>
        <w:gridCol w:w="1775"/>
      </w:tblGrid>
      <w:tr>
        <w:trPr>
          <w:trHeight w:val="257"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w:t>
            </w: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210" w:right="0"/>
              <w:jc w:val="left"/>
              <w:rPr>
                <w:rFonts w:ascii="Arial" w:hAnsi="Arial" w:cs="Arial" w:eastAsia="Arial" w:hint="default"/>
                <w:sz w:val="24"/>
                <w:szCs w:val="24"/>
              </w:rPr>
            </w:pP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8"/>
        <w:rPr>
          <w:rFonts w:ascii="Times New Roman" w:hAnsi="Times New Roman" w:cs="Times New Roman" w:eastAsia="Times New Roman" w:hint="default"/>
          <w:sz w:val="25"/>
          <w:szCs w:val="25"/>
        </w:rPr>
      </w:pPr>
    </w:p>
    <w:tbl>
      <w:tblPr>
        <w:tblW w:w="0" w:type="auto"/>
        <w:jc w:val="left"/>
        <w:tblInd w:w="200" w:type="dxa"/>
        <w:tblLayout w:type="fixed"/>
        <w:tblCellMar>
          <w:top w:w="0" w:type="dxa"/>
          <w:left w:w="0" w:type="dxa"/>
          <w:bottom w:w="0" w:type="dxa"/>
          <w:right w:w="0" w:type="dxa"/>
        </w:tblCellMar>
        <w:tblLook w:val="01E0"/>
      </w:tblPr>
      <w:tblGrid>
        <w:gridCol w:w="708"/>
        <w:gridCol w:w="1248"/>
        <w:gridCol w:w="1126"/>
        <w:gridCol w:w="1053"/>
        <w:gridCol w:w="874"/>
        <w:gridCol w:w="310"/>
        <w:gridCol w:w="1059"/>
        <w:gridCol w:w="975"/>
        <w:gridCol w:w="1040"/>
        <w:gridCol w:w="1100"/>
        <w:gridCol w:w="1023"/>
      </w:tblGrid>
      <w:tr>
        <w:trPr>
          <w:trHeight w:val="40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Arial" w:hAnsi="Arial" w:cs="Arial" w:eastAsia="Arial" w:hint="default"/>
                <w:sz w:val="24"/>
                <w:szCs w:val="24"/>
              </w:rPr>
            </w:pPr>
            <w:r>
              <w:rPr>
                <w:rFonts w:ascii="Arial"/>
                <w:sz w:val="24"/>
              </w:rPr>
              <w:t>(c)</w:t>
            </w:r>
          </w:p>
        </w:tc>
        <w:tc>
          <w:tcPr>
            <w:tcW w:w="7685" w:type="dxa"/>
            <w:gridSpan w:val="8"/>
            <w:tcBorders>
              <w:top w:val="nil" w:sz="6" w:space="0" w:color="auto"/>
              <w:left w:val="nil" w:sz="6" w:space="0" w:color="auto"/>
              <w:bottom w:val="nil" w:sz="6" w:space="0" w:color="auto"/>
              <w:right w:val="nil" w:sz="6" w:space="0" w:color="auto"/>
            </w:tcBorders>
          </w:tcPr>
          <w:p>
            <w:pPr>
              <w:pStyle w:val="TableParagraph"/>
              <w:spacing w:line="245" w:lineRule="exact"/>
              <w:ind w:left="110"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按组合计提坏账准备的应收账款中，采用账龄分析法的组合分析如下：</w:t>
            </w:r>
          </w:p>
        </w:tc>
        <w:tc>
          <w:tcPr>
            <w:tcW w:w="1100"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r>
      <w:tr>
        <w:trPr>
          <w:trHeight w:val="413"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single" w:sz="1" w:space="0" w:color="FFFF99"/>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
        </w:tc>
        <w:tc>
          <w:tcPr>
            <w:tcW w:w="192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1"/>
              <w:ind w:left="45"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10" w:type="dxa"/>
            <w:tcBorders>
              <w:top w:val="nil" w:sz="6" w:space="0" w:color="auto"/>
              <w:left w:val="nil" w:sz="6" w:space="0" w:color="auto"/>
              <w:bottom w:val="single" w:sz="12" w:space="0" w:color="000000"/>
              <w:right w:val="nil" w:sz="6" w:space="0" w:color="auto"/>
            </w:tcBorders>
          </w:tcPr>
          <w:p>
            <w:pPr/>
          </w:p>
        </w:tc>
        <w:tc>
          <w:tcPr>
            <w:tcW w:w="1059" w:type="dxa"/>
            <w:tcBorders>
              <w:top w:val="nil" w:sz="6" w:space="0" w:color="auto"/>
              <w:left w:val="nil" w:sz="6" w:space="0" w:color="auto"/>
              <w:bottom w:val="single" w:sz="12" w:space="0" w:color="000000"/>
              <w:right w:val="nil" w:sz="6" w:space="0" w:color="auto"/>
            </w:tcBorders>
          </w:tcPr>
          <w:p>
            <w:pPr/>
          </w:p>
        </w:tc>
        <w:tc>
          <w:tcPr>
            <w:tcW w:w="975" w:type="dxa"/>
            <w:tcBorders>
              <w:top w:val="nil" w:sz="6" w:space="0" w:color="auto"/>
              <w:left w:val="nil" w:sz="6" w:space="0" w:color="auto"/>
              <w:bottom w:val="single" w:sz="12" w:space="0" w:color="000000"/>
              <w:right w:val="nil" w:sz="6" w:space="0" w:color="auto"/>
            </w:tcBorders>
          </w:tcPr>
          <w:p>
            <w:pPr/>
          </w:p>
        </w:tc>
        <w:tc>
          <w:tcPr>
            <w:tcW w:w="2140"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1"/>
              <w:ind w:left="5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023"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single" w:sz="1" w:space="0" w:color="FFFF99"/>
              <w:left w:val="nil" w:sz="6" w:space="0" w:color="auto"/>
              <w:bottom w:val="single" w:sz="1" w:space="0" w:color="FFFF99"/>
              <w:right w:val="nil" w:sz="6" w:space="0" w:color="auto"/>
            </w:tcBorders>
          </w:tcPr>
          <w:p>
            <w:pPr/>
          </w:p>
        </w:tc>
        <w:tc>
          <w:tcPr>
            <w:tcW w:w="2179"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3" w:type="dxa"/>
            <w:gridSpan w:val="3"/>
            <w:tcBorders>
              <w:top w:val="single" w:sz="12" w:space="0" w:color="000000"/>
              <w:left w:val="nil" w:sz="6" w:space="0" w:color="auto"/>
              <w:bottom w:val="single" w:sz="12" w:space="0" w:color="000000"/>
              <w:right w:val="nil" w:sz="6" w:space="0" w:color="auto"/>
            </w:tcBorders>
          </w:tcPr>
          <w:p>
            <w:pPr>
              <w:pStyle w:val="TableParagraph"/>
              <w:spacing w:line="242" w:lineRule="exact"/>
              <w:ind w:left="59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15"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3"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56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83"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single" w:sz="1" w:space="0" w:color="FFFF99"/>
              <w:left w:val="nil" w:sz="6" w:space="0" w:color="auto"/>
              <w:bottom w:val="nil" w:sz="6" w:space="0" w:color="auto"/>
              <w:right w:val="nil" w:sz="6" w:space="0" w:color="auto"/>
            </w:tcBorders>
          </w:tcPr>
          <w:p>
            <w:pPr/>
          </w:p>
        </w:tc>
        <w:tc>
          <w:tcPr>
            <w:tcW w:w="1126" w:type="dxa"/>
            <w:tcBorders>
              <w:top w:val="single" w:sz="12" w:space="0" w:color="000000"/>
              <w:left w:val="nil" w:sz="6" w:space="0" w:color="auto"/>
              <w:bottom w:val="nil" w:sz="6" w:space="0" w:color="auto"/>
              <w:right w:val="nil" w:sz="6" w:space="0" w:color="auto"/>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53" w:type="dxa"/>
            <w:tcBorders>
              <w:top w:val="single" w:sz="12" w:space="0" w:color="000000"/>
              <w:left w:val="nil" w:sz="6" w:space="0" w:color="auto"/>
              <w:bottom w:val="nil" w:sz="6" w:space="0" w:color="auto"/>
              <w:right w:val="nil" w:sz="6" w:space="0" w:color="auto"/>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74" w:type="dxa"/>
            <w:tcBorders>
              <w:top w:val="single" w:sz="12" w:space="0" w:color="000000"/>
              <w:left w:val="nil" w:sz="6" w:space="0" w:color="auto"/>
              <w:bottom w:val="nil" w:sz="6" w:space="0" w:color="auto"/>
              <w:right w:val="nil" w:sz="6" w:space="0" w:color="auto"/>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10" w:type="dxa"/>
            <w:tcBorders>
              <w:top w:val="single" w:sz="12" w:space="0" w:color="000000"/>
              <w:left w:val="nil" w:sz="6" w:space="0" w:color="auto"/>
              <w:bottom w:val="nil" w:sz="6" w:space="0" w:color="auto"/>
              <w:right w:val="nil" w:sz="6" w:space="0" w:color="auto"/>
            </w:tcBorders>
          </w:tcPr>
          <w:p>
            <w:pPr/>
          </w:p>
        </w:tc>
        <w:tc>
          <w:tcPr>
            <w:tcW w:w="1059" w:type="dxa"/>
            <w:tcBorders>
              <w:top w:val="single" w:sz="12" w:space="0" w:color="000000"/>
              <w:left w:val="nil" w:sz="6" w:space="0" w:color="auto"/>
              <w:bottom w:val="nil" w:sz="6" w:space="0" w:color="auto"/>
              <w:right w:val="nil" w:sz="6" w:space="0" w:color="auto"/>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75" w:type="dxa"/>
            <w:tcBorders>
              <w:top w:val="single" w:sz="12" w:space="0" w:color="000000"/>
              <w:left w:val="nil" w:sz="6" w:space="0" w:color="auto"/>
              <w:bottom w:val="nil" w:sz="6" w:space="0" w:color="auto"/>
              <w:right w:val="nil" w:sz="6" w:space="0" w:color="auto"/>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40" w:type="dxa"/>
            <w:tcBorders>
              <w:top w:val="single" w:sz="12" w:space="0" w:color="000000"/>
              <w:left w:val="nil" w:sz="6" w:space="0" w:color="auto"/>
              <w:bottom w:val="nil" w:sz="6" w:space="0" w:color="auto"/>
              <w:right w:val="nil" w:sz="6" w:space="0" w:color="auto"/>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00" w:type="dxa"/>
            <w:tcBorders>
              <w:top w:val="single" w:sz="12" w:space="0" w:color="000000"/>
              <w:left w:val="nil" w:sz="6" w:space="0" w:color="auto"/>
              <w:bottom w:val="nil" w:sz="6" w:space="0" w:color="auto"/>
              <w:right w:val="nil" w:sz="6" w:space="0" w:color="auto"/>
            </w:tcBorders>
          </w:tcPr>
          <w:p>
            <w:pPr>
              <w:pStyle w:val="TableParagraph"/>
              <w:spacing w:line="241" w:lineRule="exact"/>
              <w:ind w:left="38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23" w:type="dxa"/>
            <w:tcBorders>
              <w:top w:val="single" w:sz="12" w:space="0" w:color="000000"/>
              <w:left w:val="nil" w:sz="6" w:space="0" w:color="auto"/>
              <w:bottom w:val="nil" w:sz="6" w:space="0" w:color="auto"/>
              <w:right w:val="nil" w:sz="6" w:space="0" w:color="auto"/>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5"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95" w:right="0"/>
              <w:jc w:val="left"/>
              <w:rPr>
                <w:rFonts w:ascii="Arial" w:hAnsi="Arial" w:cs="Arial" w:eastAsia="Arial" w:hint="default"/>
                <w:sz w:val="21"/>
                <w:szCs w:val="21"/>
              </w:rPr>
            </w:pPr>
            <w:r>
              <w:rPr>
                <w:rFonts w:ascii="Arial"/>
                <w:sz w:val="21"/>
              </w:rPr>
              <w:t>476,328</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87" w:right="0"/>
              <w:jc w:val="left"/>
              <w:rPr>
                <w:rFonts w:ascii="Arial" w:hAnsi="Arial" w:cs="Arial" w:eastAsia="Arial" w:hint="default"/>
                <w:sz w:val="21"/>
                <w:szCs w:val="21"/>
              </w:rPr>
            </w:pPr>
            <w:r>
              <w:rPr>
                <w:rFonts w:ascii="Arial"/>
                <w:sz w:val="21"/>
              </w:rPr>
              <w:t>88.5%</w:t>
            </w:r>
          </w:p>
        </w:tc>
        <w:tc>
          <w:tcPr>
            <w:tcW w:w="1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9"/>
              <w:ind w:left="267" w:right="0"/>
              <w:jc w:val="left"/>
              <w:rPr>
                <w:rFonts w:ascii="Arial" w:hAnsi="Arial" w:cs="Arial" w:eastAsia="Arial" w:hint="default"/>
                <w:sz w:val="21"/>
                <w:szCs w:val="21"/>
              </w:rPr>
            </w:pPr>
            <w:r>
              <w:rPr>
                <w:rFonts w:ascii="Arial"/>
                <w:sz w:val="21"/>
              </w:rPr>
              <w:t>(23,816)</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
              <w:jc w:val="center"/>
              <w:rPr>
                <w:rFonts w:ascii="Arial" w:hAnsi="Arial" w:cs="Arial" w:eastAsia="Arial" w:hint="default"/>
                <w:sz w:val="21"/>
                <w:szCs w:val="21"/>
              </w:rPr>
            </w:pPr>
            <w:r>
              <w:rPr>
                <w:rFonts w:ascii="Arial"/>
                <w:sz w:val="21"/>
              </w:rPr>
              <w:t>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36" w:right="0"/>
              <w:jc w:val="left"/>
              <w:rPr>
                <w:rFonts w:ascii="Arial" w:hAnsi="Arial" w:cs="Arial" w:eastAsia="Arial" w:hint="default"/>
                <w:sz w:val="21"/>
                <w:szCs w:val="21"/>
              </w:rPr>
            </w:pPr>
            <w:r>
              <w:rPr>
                <w:rFonts w:ascii="Arial"/>
                <w:spacing w:val="-3"/>
                <w:sz w:val="21"/>
              </w:rPr>
              <w:t>511,321</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95" w:right="0"/>
              <w:jc w:val="left"/>
              <w:rPr>
                <w:rFonts w:ascii="Arial" w:hAnsi="Arial" w:cs="Arial" w:eastAsia="Arial" w:hint="default"/>
                <w:sz w:val="21"/>
                <w:szCs w:val="21"/>
              </w:rPr>
            </w:pPr>
            <w:r>
              <w:rPr>
                <w:rFonts w:ascii="Arial"/>
                <w:sz w:val="21"/>
              </w:rPr>
              <w:t>97.1%</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33" w:right="0"/>
              <w:jc w:val="left"/>
              <w:rPr>
                <w:rFonts w:ascii="Arial" w:hAnsi="Arial" w:cs="Arial" w:eastAsia="Arial" w:hint="default"/>
                <w:sz w:val="21"/>
                <w:szCs w:val="21"/>
              </w:rPr>
            </w:pPr>
            <w:r>
              <w:rPr>
                <w:rFonts w:ascii="Arial"/>
                <w:sz w:val="21"/>
              </w:rPr>
              <w:t>(25,556)</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00" w:right="0"/>
              <w:jc w:val="left"/>
              <w:rPr>
                <w:rFonts w:ascii="Arial" w:hAnsi="Arial" w:cs="Arial" w:eastAsia="Arial" w:hint="default"/>
                <w:sz w:val="21"/>
                <w:szCs w:val="21"/>
              </w:rPr>
            </w:pPr>
            <w:r>
              <w:rPr>
                <w:rFonts w:ascii="Arial"/>
                <w:sz w:val="21"/>
              </w:rPr>
              <w:t>5%</w:t>
            </w:r>
          </w:p>
        </w:tc>
      </w:tr>
      <w:tr>
        <w:trPr>
          <w:trHeight w:val="272"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10" w:right="0"/>
              <w:jc w:val="left"/>
              <w:rPr>
                <w:rFonts w:ascii="Arial" w:hAnsi="Arial" w:cs="Arial" w:eastAsia="Arial" w:hint="default"/>
                <w:sz w:val="21"/>
                <w:szCs w:val="21"/>
              </w:rPr>
            </w:pPr>
            <w:r>
              <w:rPr>
                <w:rFonts w:ascii="Arial"/>
                <w:sz w:val="21"/>
              </w:rPr>
              <w:t>50,489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21"/>
                <w:szCs w:val="21"/>
              </w:rPr>
            </w:pPr>
            <w:r>
              <w:rPr>
                <w:rFonts w:ascii="Arial"/>
                <w:sz w:val="21"/>
              </w:rPr>
              <w:t>9.4%</w:t>
            </w:r>
          </w:p>
        </w:tc>
        <w:tc>
          <w:tcPr>
            <w:tcW w:w="1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84" w:right="0"/>
              <w:jc w:val="left"/>
              <w:rPr>
                <w:rFonts w:ascii="Arial" w:hAnsi="Arial" w:cs="Arial" w:eastAsia="Arial" w:hint="default"/>
                <w:sz w:val="21"/>
                <w:szCs w:val="21"/>
              </w:rPr>
            </w:pPr>
            <w:r>
              <w:rPr>
                <w:rFonts w:ascii="Arial"/>
                <w:sz w:val="21"/>
              </w:rPr>
              <w:t>(5,049)</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Arial" w:hAnsi="Arial" w:cs="Arial" w:eastAsia="Arial" w:hint="default"/>
                <w:sz w:val="21"/>
                <w:szCs w:val="21"/>
              </w:rPr>
            </w:pPr>
            <w:r>
              <w:rPr>
                <w:rFonts w:ascii="Arial"/>
                <w:sz w:val="21"/>
              </w:rPr>
              <w:t>10%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6" w:right="0"/>
              <w:jc w:val="left"/>
              <w:rPr>
                <w:rFonts w:ascii="Arial" w:hAnsi="Arial" w:cs="Arial" w:eastAsia="Arial" w:hint="default"/>
                <w:sz w:val="21"/>
                <w:szCs w:val="21"/>
              </w:rPr>
            </w:pPr>
            <w:r>
              <w:rPr>
                <w:rFonts w:ascii="Arial"/>
                <w:spacing w:val="-4"/>
                <w:sz w:val="21"/>
              </w:rPr>
              <w:t>11,391</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5" w:right="0"/>
              <w:jc w:val="left"/>
              <w:rPr>
                <w:rFonts w:ascii="Arial" w:hAnsi="Arial" w:cs="Arial" w:eastAsia="Arial" w:hint="default"/>
                <w:sz w:val="21"/>
                <w:szCs w:val="21"/>
              </w:rPr>
            </w:pPr>
            <w:r>
              <w:rPr>
                <w:rFonts w:ascii="Arial"/>
                <w:sz w:val="21"/>
              </w:rPr>
              <w:t>2.2%</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1" w:right="0"/>
              <w:jc w:val="left"/>
              <w:rPr>
                <w:rFonts w:ascii="Arial" w:hAnsi="Arial" w:cs="Arial" w:eastAsia="Arial" w:hint="default"/>
                <w:sz w:val="21"/>
                <w:szCs w:val="21"/>
              </w:rPr>
            </w:pPr>
            <w:r>
              <w:rPr>
                <w:rFonts w:ascii="Arial"/>
                <w:sz w:val="21"/>
              </w:rPr>
              <w:t>(1,139)</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2" w:right="0"/>
              <w:jc w:val="left"/>
              <w:rPr>
                <w:rFonts w:ascii="Arial" w:hAnsi="Arial" w:cs="Arial" w:eastAsia="Arial" w:hint="default"/>
                <w:sz w:val="21"/>
                <w:szCs w:val="21"/>
              </w:rPr>
            </w:pPr>
            <w:r>
              <w:rPr>
                <w:rFonts w:ascii="Arial"/>
                <w:sz w:val="21"/>
              </w:rPr>
              <w:t>10%</w:t>
            </w:r>
          </w:p>
        </w:tc>
      </w:tr>
      <w:tr>
        <w:trPr>
          <w:trHeight w:val="274"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27" w:right="0"/>
              <w:jc w:val="left"/>
              <w:rPr>
                <w:rFonts w:ascii="Arial" w:hAnsi="Arial" w:cs="Arial" w:eastAsia="Arial" w:hint="default"/>
                <w:sz w:val="21"/>
                <w:szCs w:val="21"/>
              </w:rPr>
            </w:pPr>
            <w:r>
              <w:rPr>
                <w:rFonts w:ascii="Arial"/>
                <w:sz w:val="21"/>
              </w:rPr>
              <w:t>9,364</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1.7%</w:t>
            </w:r>
          </w:p>
        </w:tc>
        <w:tc>
          <w:tcPr>
            <w:tcW w:w="1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84" w:right="0"/>
              <w:jc w:val="left"/>
              <w:rPr>
                <w:rFonts w:ascii="Arial" w:hAnsi="Arial" w:cs="Arial" w:eastAsia="Arial" w:hint="default"/>
                <w:sz w:val="21"/>
                <w:szCs w:val="21"/>
              </w:rPr>
            </w:pPr>
            <w:r>
              <w:rPr>
                <w:rFonts w:ascii="Arial"/>
                <w:sz w:val="21"/>
              </w:rPr>
              <w:t>(1,873)</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9" w:right="0"/>
              <w:jc w:val="left"/>
              <w:rPr>
                <w:rFonts w:ascii="Arial" w:hAnsi="Arial" w:cs="Arial" w:eastAsia="Arial" w:hint="default"/>
                <w:sz w:val="21"/>
                <w:szCs w:val="21"/>
              </w:rPr>
            </w:pPr>
            <w:r>
              <w:rPr>
                <w:rFonts w:ascii="Arial"/>
                <w:sz w:val="21"/>
              </w:rPr>
              <w:t>20%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7" w:right="0"/>
              <w:jc w:val="left"/>
              <w:rPr>
                <w:rFonts w:ascii="Arial" w:hAnsi="Arial" w:cs="Arial" w:eastAsia="Arial" w:hint="default"/>
                <w:sz w:val="21"/>
                <w:szCs w:val="21"/>
              </w:rPr>
            </w:pPr>
            <w:r>
              <w:rPr>
                <w:rFonts w:ascii="Arial"/>
                <w:sz w:val="21"/>
              </w:rPr>
              <w:t>2,206</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5" w:right="0"/>
              <w:jc w:val="left"/>
              <w:rPr>
                <w:rFonts w:ascii="Arial" w:hAnsi="Arial" w:cs="Arial" w:eastAsia="Arial" w:hint="default"/>
                <w:sz w:val="21"/>
                <w:szCs w:val="21"/>
              </w:rPr>
            </w:pPr>
            <w:r>
              <w:rPr>
                <w:rFonts w:ascii="Arial"/>
                <w:sz w:val="21"/>
              </w:rPr>
              <w:t>0.4%</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26" w:right="0"/>
              <w:jc w:val="left"/>
              <w:rPr>
                <w:rFonts w:ascii="Arial" w:hAnsi="Arial" w:cs="Arial" w:eastAsia="Arial" w:hint="default"/>
                <w:sz w:val="21"/>
                <w:szCs w:val="21"/>
              </w:rPr>
            </w:pPr>
            <w:r>
              <w:rPr>
                <w:rFonts w:ascii="Arial"/>
                <w:sz w:val="21"/>
              </w:rPr>
              <w:t>(441)</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2" w:right="0"/>
              <w:jc w:val="left"/>
              <w:rPr>
                <w:rFonts w:ascii="Arial" w:hAnsi="Arial" w:cs="Arial" w:eastAsia="Arial" w:hint="default"/>
                <w:sz w:val="21"/>
                <w:szCs w:val="21"/>
              </w:rPr>
            </w:pPr>
            <w:r>
              <w:rPr>
                <w:rFonts w:ascii="Arial"/>
                <w:sz w:val="21"/>
              </w:rPr>
              <w:t>20%</w:t>
            </w:r>
          </w:p>
        </w:tc>
      </w:tr>
      <w:tr>
        <w:trPr>
          <w:trHeight w:val="274"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27" w:right="0"/>
              <w:jc w:val="left"/>
              <w:rPr>
                <w:rFonts w:ascii="Arial" w:hAnsi="Arial" w:cs="Arial" w:eastAsia="Arial" w:hint="default"/>
                <w:sz w:val="21"/>
                <w:szCs w:val="21"/>
              </w:rPr>
            </w:pPr>
            <w:r>
              <w:rPr>
                <w:rFonts w:ascii="Arial"/>
                <w:sz w:val="21"/>
              </w:rPr>
              <w:t>2,120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0.4%</w:t>
            </w:r>
          </w:p>
        </w:tc>
        <w:tc>
          <w:tcPr>
            <w:tcW w:w="1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9" w:right="0"/>
              <w:jc w:val="left"/>
              <w:rPr>
                <w:rFonts w:ascii="Arial" w:hAnsi="Arial" w:cs="Arial" w:eastAsia="Arial" w:hint="default"/>
                <w:sz w:val="21"/>
                <w:szCs w:val="21"/>
              </w:rPr>
            </w:pPr>
            <w:r>
              <w:rPr>
                <w:rFonts w:ascii="Arial"/>
                <w:sz w:val="21"/>
              </w:rPr>
              <w:t>(636)</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9" w:right="0"/>
              <w:jc w:val="left"/>
              <w:rPr>
                <w:rFonts w:ascii="Arial" w:hAnsi="Arial" w:cs="Arial" w:eastAsia="Arial" w:hint="default"/>
                <w:sz w:val="21"/>
                <w:szCs w:val="21"/>
              </w:rPr>
            </w:pPr>
            <w:r>
              <w:rPr>
                <w:rFonts w:ascii="Arial"/>
                <w:sz w:val="21"/>
              </w:rPr>
              <w:t>30%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32" w:right="0"/>
              <w:jc w:val="left"/>
              <w:rPr>
                <w:rFonts w:ascii="Arial" w:hAnsi="Arial" w:cs="Arial" w:eastAsia="Arial" w:hint="default"/>
                <w:sz w:val="21"/>
                <w:szCs w:val="21"/>
              </w:rPr>
            </w:pPr>
            <w:r>
              <w:rPr>
                <w:rFonts w:ascii="Arial"/>
                <w:sz w:val="21"/>
              </w:rPr>
              <w:t>451</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5" w:right="0"/>
              <w:jc w:val="left"/>
              <w:rPr>
                <w:rFonts w:ascii="Arial" w:hAnsi="Arial" w:cs="Arial" w:eastAsia="Arial" w:hint="default"/>
                <w:sz w:val="21"/>
                <w:szCs w:val="21"/>
              </w:rPr>
            </w:pPr>
            <w:r>
              <w:rPr>
                <w:rFonts w:ascii="Arial"/>
                <w:sz w:val="21"/>
              </w:rPr>
              <w:t>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26" w:right="0"/>
              <w:jc w:val="left"/>
              <w:rPr>
                <w:rFonts w:ascii="Arial" w:hAnsi="Arial" w:cs="Arial" w:eastAsia="Arial" w:hint="default"/>
                <w:sz w:val="21"/>
                <w:szCs w:val="21"/>
              </w:rPr>
            </w:pPr>
            <w:r>
              <w:rPr>
                <w:rFonts w:ascii="Arial"/>
                <w:sz w:val="21"/>
              </w:rPr>
              <w:t>(135)</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2" w:right="0"/>
              <w:jc w:val="left"/>
              <w:rPr>
                <w:rFonts w:ascii="Arial" w:hAnsi="Arial" w:cs="Arial" w:eastAsia="Arial" w:hint="default"/>
                <w:sz w:val="21"/>
                <w:szCs w:val="21"/>
              </w:rPr>
            </w:pPr>
            <w:r>
              <w:rPr>
                <w:rFonts w:ascii="Arial"/>
                <w:sz w:val="21"/>
              </w:rPr>
              <w:t>30%</w:t>
            </w:r>
          </w:p>
        </w:tc>
      </w:tr>
      <w:tr>
        <w:trPr>
          <w:trHeight w:val="272"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3" w:right="0"/>
              <w:jc w:val="left"/>
              <w:rPr>
                <w:rFonts w:ascii="Arial" w:hAnsi="Arial" w:cs="Arial" w:eastAsia="Arial" w:hint="default"/>
                <w:sz w:val="21"/>
                <w:szCs w:val="21"/>
              </w:rPr>
            </w:pPr>
            <w:r>
              <w:rPr>
                <w:rFonts w:ascii="Arial"/>
                <w:sz w:val="21"/>
              </w:rPr>
              <w:t>236</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0.0%</w:t>
            </w:r>
          </w:p>
        </w:tc>
        <w:tc>
          <w:tcPr>
            <w:tcW w:w="11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559" w:right="0"/>
              <w:jc w:val="left"/>
              <w:rPr>
                <w:rFonts w:ascii="Arial" w:hAnsi="Arial" w:cs="Arial" w:eastAsia="Arial" w:hint="default"/>
                <w:sz w:val="21"/>
                <w:szCs w:val="21"/>
              </w:rPr>
            </w:pPr>
            <w:r>
              <w:rPr>
                <w:rFonts w:ascii="Arial"/>
                <w:sz w:val="21"/>
              </w:rPr>
              <w:t>(142)</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9" w:right="0"/>
              <w:jc w:val="left"/>
              <w:rPr>
                <w:rFonts w:ascii="Arial" w:hAnsi="Arial" w:cs="Arial" w:eastAsia="Arial" w:hint="default"/>
                <w:sz w:val="21"/>
                <w:szCs w:val="21"/>
              </w:rPr>
            </w:pPr>
            <w:r>
              <w:rPr>
                <w:rFonts w:ascii="Arial"/>
                <w:sz w:val="21"/>
              </w:rPr>
              <w:t>60%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7" w:right="0"/>
              <w:jc w:val="left"/>
              <w:rPr>
                <w:rFonts w:ascii="Arial" w:hAnsi="Arial" w:cs="Arial" w:eastAsia="Arial" w:hint="default"/>
                <w:sz w:val="21"/>
                <w:szCs w:val="21"/>
              </w:rPr>
            </w:pPr>
            <w:r>
              <w:rPr>
                <w:rFonts w:ascii="Arial"/>
                <w:sz w:val="21"/>
              </w:rPr>
              <w:t>1,423</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5" w:right="0"/>
              <w:jc w:val="left"/>
              <w:rPr>
                <w:rFonts w:ascii="Arial" w:hAnsi="Arial" w:cs="Arial" w:eastAsia="Arial" w:hint="default"/>
                <w:sz w:val="21"/>
                <w:szCs w:val="21"/>
              </w:rPr>
            </w:pPr>
            <w:r>
              <w:rPr>
                <w:rFonts w:ascii="Arial"/>
                <w:sz w:val="21"/>
              </w:rPr>
              <w:t>0.3%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26" w:right="0"/>
              <w:jc w:val="left"/>
              <w:rPr>
                <w:rFonts w:ascii="Arial" w:hAnsi="Arial" w:cs="Arial" w:eastAsia="Arial" w:hint="default"/>
                <w:sz w:val="21"/>
                <w:szCs w:val="21"/>
              </w:rPr>
            </w:pPr>
            <w:r>
              <w:rPr>
                <w:rFonts w:ascii="Arial"/>
                <w:sz w:val="21"/>
              </w:rPr>
              <w:t>(854)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2" w:right="0"/>
              <w:jc w:val="left"/>
              <w:rPr>
                <w:rFonts w:ascii="Arial" w:hAnsi="Arial" w:cs="Arial" w:eastAsia="Arial" w:hint="default"/>
                <w:sz w:val="21"/>
                <w:szCs w:val="21"/>
              </w:rPr>
            </w:pPr>
            <w:r>
              <w:rPr>
                <w:rFonts w:ascii="Arial"/>
                <w:sz w:val="21"/>
              </w:rPr>
              <w:t>60%</w:t>
            </w:r>
          </w:p>
        </w:tc>
      </w:tr>
      <w:tr>
        <w:trPr>
          <w:trHeight w:val="273"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30" w:lineRule="exact"/>
              <w:ind w:left="110"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126" w:type="dxa"/>
            <w:tcBorders>
              <w:top w:val="nil" w:sz="6" w:space="0" w:color="auto"/>
              <w:left w:val="nil" w:sz="6" w:space="0" w:color="auto"/>
              <w:bottom w:val="nil" w:sz="6" w:space="0" w:color="auto"/>
              <w:right w:val="nil" w:sz="6" w:space="0" w:color="auto"/>
            </w:tcBorders>
          </w:tcPr>
          <w:p>
            <w:pPr>
              <w:pStyle w:val="TableParagraph"/>
              <w:tabs>
                <w:tab w:pos="821" w:val="left" w:leader="none"/>
                <w:tab w:pos="1430" w:val="left" w:leader="none"/>
              </w:tabs>
              <w:spacing w:line="240" w:lineRule="auto" w:before="15"/>
              <w:ind w:left="14" w:right="-305"/>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40</w:t>
              <w:tab/>
            </w:r>
            <w:r>
              <w:rPr>
                <w:rFonts w:ascii="Arial"/>
                <w:sz w:val="21"/>
              </w:rPr>
            </w:r>
          </w:p>
        </w:tc>
        <w:tc>
          <w:tcPr>
            <w:tcW w:w="1053"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15"/>
              <w:ind w:left="304" w:right="0"/>
              <w:jc w:val="left"/>
              <w:rPr>
                <w:rFonts w:ascii="Arial" w:hAnsi="Arial" w:cs="Arial" w:eastAsia="Arial" w:hint="default"/>
                <w:sz w:val="21"/>
                <w:szCs w:val="21"/>
              </w:rPr>
            </w:pPr>
            <w:r>
              <w:rPr>
                <w:rFonts w:ascii="Arial"/>
                <w:w w:val="100"/>
                <w:sz w:val="21"/>
              </w:rPr>
            </w:r>
            <w:r>
              <w:rPr>
                <w:rFonts w:ascii="Arial"/>
                <w:sz w:val="21"/>
                <w:u w:val="single" w:color="000000"/>
              </w:rPr>
              <w:t>0.0%</w:t>
              <w:tab/>
            </w:r>
            <w:r>
              <w:rPr>
                <w:rFonts w:ascii="Arial"/>
                <w:sz w:val="21"/>
              </w:rPr>
            </w:r>
          </w:p>
        </w:tc>
        <w:tc>
          <w:tcPr>
            <w:tcW w:w="1184" w:type="dxa"/>
            <w:gridSpan w:val="2"/>
            <w:tcBorders>
              <w:top w:val="nil" w:sz="6" w:space="0" w:color="auto"/>
              <w:left w:val="nil" w:sz="6" w:space="0" w:color="auto"/>
              <w:bottom w:val="nil" w:sz="6" w:space="0" w:color="auto"/>
              <w:right w:val="nil" w:sz="6" w:space="0" w:color="auto"/>
            </w:tcBorders>
          </w:tcPr>
          <w:p>
            <w:pPr>
              <w:pStyle w:val="TableParagraph"/>
              <w:tabs>
                <w:tab w:pos="675" w:val="left" w:leader="none"/>
                <w:tab w:pos="1316" w:val="left" w:leader="none"/>
              </w:tabs>
              <w:spacing w:line="240" w:lineRule="auto" w:before="15"/>
              <w:ind w:left="70" w:right="-133"/>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(40)</w:t>
              <w:tab/>
            </w:r>
            <w:r>
              <w:rPr>
                <w:rFonts w:ascii="Arial"/>
                <w:sz w:val="21"/>
              </w:rPr>
            </w:r>
          </w:p>
        </w:tc>
        <w:tc>
          <w:tcPr>
            <w:tcW w:w="1059" w:type="dxa"/>
            <w:tcBorders>
              <w:top w:val="nil" w:sz="6" w:space="0" w:color="auto"/>
              <w:left w:val="nil" w:sz="6" w:space="0" w:color="auto"/>
              <w:bottom w:val="nil" w:sz="6" w:space="0" w:color="auto"/>
              <w:right w:val="nil" w:sz="6" w:space="0" w:color="auto"/>
            </w:tcBorders>
          </w:tcPr>
          <w:p>
            <w:pPr>
              <w:pStyle w:val="TableParagraph"/>
              <w:tabs>
                <w:tab w:pos="777" w:val="left" w:leader="none"/>
              </w:tabs>
              <w:spacing w:line="240" w:lineRule="auto" w:before="15"/>
              <w:ind w:left="132" w:right="0"/>
              <w:jc w:val="lef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c>
          <w:tcPr>
            <w:tcW w:w="975" w:type="dxa"/>
            <w:tcBorders>
              <w:top w:val="nil" w:sz="6" w:space="0" w:color="auto"/>
              <w:left w:val="nil" w:sz="6" w:space="0" w:color="auto"/>
              <w:bottom w:val="nil" w:sz="6" w:space="0" w:color="auto"/>
              <w:right w:val="nil" w:sz="6" w:space="0" w:color="auto"/>
            </w:tcBorders>
          </w:tcPr>
          <w:p>
            <w:pPr>
              <w:pStyle w:val="TableParagraph"/>
              <w:tabs>
                <w:tab w:pos="765" w:val="left" w:leader="none"/>
                <w:tab w:pos="1300" w:val="left" w:leader="none"/>
              </w:tabs>
              <w:spacing w:line="240" w:lineRule="auto" w:before="15"/>
              <w:ind w:left="-42" w:right="-326"/>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1040" w:type="dxa"/>
            <w:tcBorders>
              <w:top w:val="nil" w:sz="6" w:space="0" w:color="auto"/>
              <w:left w:val="nil" w:sz="6" w:space="0" w:color="auto"/>
              <w:bottom w:val="nil" w:sz="6" w:space="0" w:color="auto"/>
              <w:right w:val="nil" w:sz="6" w:space="0" w:color="auto"/>
            </w:tcBorders>
          </w:tcPr>
          <w:p>
            <w:pPr>
              <w:pStyle w:val="TableParagraph"/>
              <w:tabs>
                <w:tab w:pos="867" w:val="left" w:leader="none"/>
              </w:tabs>
              <w:spacing w:line="240" w:lineRule="auto" w:before="15"/>
              <w:ind w:left="325" w:right="0"/>
              <w:jc w:val="left"/>
              <w:rPr>
                <w:rFonts w:ascii="Arial" w:hAnsi="Arial" w:cs="Arial" w:eastAsia="Arial" w:hint="default"/>
                <w:sz w:val="21"/>
                <w:szCs w:val="21"/>
              </w:rPr>
            </w:pPr>
            <w:r>
              <w:rPr>
                <w:rFonts w:ascii="Arial"/>
                <w:w w:val="100"/>
                <w:sz w:val="21"/>
              </w:rPr>
            </w:r>
            <w:r>
              <w:rPr>
                <w:rFonts w:ascii="Arial"/>
                <w:sz w:val="21"/>
                <w:u w:val="single" w:color="000000"/>
              </w:rPr>
              <w:t>0.0%</w:t>
              <w:tab/>
            </w:r>
            <w:r>
              <w:rPr>
                <w:rFonts w:ascii="Arial"/>
                <w:sz w:val="21"/>
              </w:rPr>
            </w:r>
          </w:p>
        </w:tc>
        <w:tc>
          <w:tcPr>
            <w:tcW w:w="1100" w:type="dxa"/>
            <w:tcBorders>
              <w:top w:val="nil" w:sz="6" w:space="0" w:color="auto"/>
              <w:left w:val="nil" w:sz="6" w:space="0" w:color="auto"/>
              <w:bottom w:val="nil" w:sz="6" w:space="0" w:color="auto"/>
              <w:right w:val="nil" w:sz="6" w:space="0" w:color="auto"/>
            </w:tcBorders>
          </w:tcPr>
          <w:p>
            <w:pPr>
              <w:pStyle w:val="TableParagraph"/>
              <w:tabs>
                <w:tab w:pos="759" w:val="left" w:leader="none"/>
                <w:tab w:pos="1265" w:val="left" w:leader="none"/>
              </w:tabs>
              <w:spacing w:line="240" w:lineRule="auto" w:before="15"/>
              <w:ind w:left="68" w:right="-166"/>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1023" w:type="dxa"/>
            <w:tcBorders>
              <w:top w:val="nil" w:sz="6" w:space="0" w:color="auto"/>
              <w:left w:val="nil" w:sz="6" w:space="0" w:color="auto"/>
              <w:bottom w:val="nil" w:sz="6" w:space="0" w:color="auto"/>
              <w:right w:val="nil" w:sz="6" w:space="0" w:color="auto"/>
            </w:tcBorders>
          </w:tcPr>
          <w:p>
            <w:pPr>
              <w:pStyle w:val="TableParagraph"/>
              <w:tabs>
                <w:tab w:pos="810" w:val="left" w:leader="none"/>
              </w:tabs>
              <w:spacing w:line="240" w:lineRule="auto" w:before="15"/>
              <w:ind w:left="165" w:right="0"/>
              <w:jc w:val="lef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r>
      <w:tr>
        <w:trPr>
          <w:trHeight w:val="241" w:hRule="exact"/>
        </w:trPr>
        <w:tc>
          <w:tcPr>
            <w:tcW w:w="708" w:type="dxa"/>
            <w:tcBorders>
              <w:top w:val="nil" w:sz="6" w:space="0" w:color="auto"/>
              <w:left w:val="nil" w:sz="6" w:space="0" w:color="auto"/>
              <w:bottom w:val="single" w:sz="1" w:space="0" w:color="FFFF99"/>
              <w:right w:val="nil" w:sz="6" w:space="0" w:color="auto"/>
            </w:tcBorders>
          </w:tcPr>
          <w:p>
            <w:pPr/>
          </w:p>
        </w:tc>
        <w:tc>
          <w:tcPr>
            <w:tcW w:w="1248" w:type="dxa"/>
            <w:tcBorders>
              <w:top w:val="nil" w:sz="6" w:space="0" w:color="auto"/>
              <w:left w:val="nil" w:sz="6" w:space="0" w:color="auto"/>
              <w:bottom w:val="single" w:sz="1" w:space="0" w:color="FFFF99"/>
              <w:right w:val="nil" w:sz="6" w:space="0" w:color="auto"/>
            </w:tcBorders>
          </w:tcPr>
          <w:p>
            <w:pPr/>
          </w:p>
        </w:tc>
        <w:tc>
          <w:tcPr>
            <w:tcW w:w="1126" w:type="dxa"/>
            <w:tcBorders>
              <w:top w:val="nil" w:sz="6" w:space="0" w:color="auto"/>
              <w:left w:val="nil" w:sz="6" w:space="0" w:color="auto"/>
              <w:bottom w:val="single" w:sz="12" w:space="0" w:color="000000"/>
              <w:right w:val="nil" w:sz="6" w:space="0" w:color="auto"/>
            </w:tcBorders>
          </w:tcPr>
          <w:p>
            <w:pPr>
              <w:pStyle w:val="TableParagraph"/>
              <w:spacing w:line="236" w:lineRule="exact"/>
              <w:ind w:left="295" w:right="0"/>
              <w:jc w:val="left"/>
              <w:rPr>
                <w:rFonts w:ascii="Arial" w:hAnsi="Arial" w:cs="Arial" w:eastAsia="Arial" w:hint="default"/>
                <w:sz w:val="21"/>
                <w:szCs w:val="21"/>
              </w:rPr>
            </w:pPr>
            <w:r>
              <w:rPr>
                <w:rFonts w:ascii="Arial"/>
                <w:sz w:val="21"/>
              </w:rPr>
              <w:t>538,577</w:t>
            </w:r>
          </w:p>
        </w:tc>
        <w:tc>
          <w:tcPr>
            <w:tcW w:w="1053" w:type="dxa"/>
            <w:tcBorders>
              <w:top w:val="nil" w:sz="6" w:space="0" w:color="auto"/>
              <w:left w:val="nil" w:sz="6" w:space="0" w:color="auto"/>
              <w:bottom w:val="single" w:sz="12" w:space="0" w:color="000000"/>
              <w:right w:val="nil" w:sz="6" w:space="0" w:color="auto"/>
            </w:tcBorders>
          </w:tcPr>
          <w:p>
            <w:pPr>
              <w:pStyle w:val="TableParagraph"/>
              <w:spacing w:line="236" w:lineRule="exact"/>
              <w:ind w:left="69" w:right="0"/>
              <w:jc w:val="left"/>
              <w:rPr>
                <w:rFonts w:ascii="Arial" w:hAnsi="Arial" w:cs="Arial" w:eastAsia="Arial" w:hint="default"/>
                <w:sz w:val="21"/>
                <w:szCs w:val="21"/>
              </w:rPr>
            </w:pPr>
            <w:r>
              <w:rPr>
                <w:rFonts w:ascii="Arial"/>
                <w:sz w:val="21"/>
              </w:rPr>
              <w:t>100.0%</w:t>
            </w:r>
          </w:p>
        </w:tc>
        <w:tc>
          <w:tcPr>
            <w:tcW w:w="1184" w:type="dxa"/>
            <w:gridSpan w:val="2"/>
            <w:tcBorders>
              <w:top w:val="nil" w:sz="6" w:space="0" w:color="auto"/>
              <w:left w:val="nil" w:sz="6" w:space="0" w:color="auto"/>
              <w:bottom w:val="single" w:sz="12" w:space="0" w:color="000000"/>
              <w:right w:val="nil" w:sz="6" w:space="0" w:color="auto"/>
            </w:tcBorders>
          </w:tcPr>
          <w:p>
            <w:pPr>
              <w:pStyle w:val="TableParagraph"/>
              <w:spacing w:line="236" w:lineRule="exact"/>
              <w:ind w:left="267" w:right="0"/>
              <w:jc w:val="left"/>
              <w:rPr>
                <w:rFonts w:ascii="Arial" w:hAnsi="Arial" w:cs="Arial" w:eastAsia="Arial" w:hint="default"/>
                <w:sz w:val="21"/>
                <w:szCs w:val="21"/>
              </w:rPr>
            </w:pPr>
            <w:r>
              <w:rPr>
                <w:rFonts w:ascii="Arial"/>
                <w:sz w:val="21"/>
              </w:rPr>
              <w:t>(31,556)</w:t>
            </w:r>
          </w:p>
        </w:tc>
        <w:tc>
          <w:tcPr>
            <w:tcW w:w="2034" w:type="dxa"/>
            <w:gridSpan w:val="2"/>
            <w:tcBorders>
              <w:top w:val="nil" w:sz="6" w:space="0" w:color="auto"/>
              <w:left w:val="nil" w:sz="6" w:space="0" w:color="auto"/>
              <w:bottom w:val="single" w:sz="12" w:space="0" w:color="000000"/>
              <w:right w:val="nil" w:sz="6" w:space="0" w:color="auto"/>
            </w:tcBorders>
          </w:tcPr>
          <w:p>
            <w:pPr>
              <w:pStyle w:val="TableParagraph"/>
              <w:spacing w:line="236" w:lineRule="exact"/>
              <w:ind w:left="1183" w:right="0"/>
              <w:jc w:val="left"/>
              <w:rPr>
                <w:rFonts w:ascii="Arial" w:hAnsi="Arial" w:cs="Arial" w:eastAsia="Arial" w:hint="default"/>
                <w:sz w:val="21"/>
                <w:szCs w:val="21"/>
              </w:rPr>
            </w:pPr>
            <w:r>
              <w:rPr>
                <w:rFonts w:ascii="Arial"/>
                <w:sz w:val="21"/>
              </w:rPr>
              <w:t>526,800</w:t>
            </w:r>
          </w:p>
        </w:tc>
        <w:tc>
          <w:tcPr>
            <w:tcW w:w="1040" w:type="dxa"/>
            <w:tcBorders>
              <w:top w:val="nil" w:sz="6" w:space="0" w:color="auto"/>
              <w:left w:val="nil" w:sz="6" w:space="0" w:color="auto"/>
              <w:bottom w:val="single" w:sz="12" w:space="0" w:color="000000"/>
              <w:right w:val="nil" w:sz="6" w:space="0" w:color="auto"/>
            </w:tcBorders>
          </w:tcPr>
          <w:p>
            <w:pPr>
              <w:pStyle w:val="TableParagraph"/>
              <w:spacing w:line="236" w:lineRule="exact"/>
              <w:ind w:left="89" w:right="0"/>
              <w:jc w:val="left"/>
              <w:rPr>
                <w:rFonts w:ascii="Arial" w:hAnsi="Arial" w:cs="Arial" w:eastAsia="Arial" w:hint="default"/>
                <w:sz w:val="21"/>
                <w:szCs w:val="21"/>
              </w:rPr>
            </w:pPr>
            <w:r>
              <w:rPr>
                <w:rFonts w:ascii="Arial"/>
                <w:sz w:val="21"/>
              </w:rPr>
              <w:t>100.0%</w:t>
            </w:r>
          </w:p>
        </w:tc>
        <w:tc>
          <w:tcPr>
            <w:tcW w:w="2123"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left="233" w:right="0"/>
              <w:jc w:val="left"/>
              <w:rPr>
                <w:rFonts w:ascii="Arial" w:hAnsi="Arial" w:cs="Arial" w:eastAsia="Arial" w:hint="default"/>
                <w:sz w:val="21"/>
                <w:szCs w:val="21"/>
              </w:rPr>
            </w:pPr>
            <w:r>
              <w:rPr>
                <w:rFonts w:ascii="Arial"/>
                <w:sz w:val="21"/>
              </w:rPr>
              <w:t>(28,133)</w:t>
            </w:r>
          </w:p>
        </w:tc>
      </w:tr>
      <w:tr>
        <w:trPr>
          <w:trHeight w:val="754" w:hRule="exact"/>
        </w:trPr>
        <w:tc>
          <w:tcPr>
            <w:tcW w:w="708" w:type="dxa"/>
            <w:tcBorders>
              <w:top w:val="single" w:sz="1" w:space="0" w:color="FFFF99"/>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Arial" w:hAnsi="Arial" w:cs="Arial" w:eastAsia="Arial" w:hint="default"/>
                <w:sz w:val="24"/>
                <w:szCs w:val="24"/>
              </w:rPr>
            </w:pPr>
            <w:r>
              <w:rPr>
                <w:rFonts w:ascii="Arial"/>
                <w:sz w:val="24"/>
              </w:rPr>
              <w:t>(d)</w:t>
            </w:r>
          </w:p>
        </w:tc>
        <w:tc>
          <w:tcPr>
            <w:tcW w:w="4301"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本年度实际核销的应收账款分析如下：</w:t>
            </w:r>
          </w:p>
        </w:tc>
        <w:tc>
          <w:tcPr>
            <w:tcW w:w="310" w:type="dxa"/>
            <w:tcBorders>
              <w:top w:val="single" w:sz="12" w:space="0" w:color="000000"/>
              <w:left w:val="nil" w:sz="6" w:space="0" w:color="auto"/>
              <w:bottom w:val="nil" w:sz="6" w:space="0" w:color="auto"/>
              <w:right w:val="nil" w:sz="6" w:space="0" w:color="auto"/>
            </w:tcBorders>
          </w:tcPr>
          <w:p>
            <w:pPr/>
          </w:p>
        </w:tc>
        <w:tc>
          <w:tcPr>
            <w:tcW w:w="1059" w:type="dxa"/>
            <w:tcBorders>
              <w:top w:val="single" w:sz="12" w:space="0" w:color="000000"/>
              <w:left w:val="nil" w:sz="6" w:space="0" w:color="auto"/>
              <w:bottom w:val="nil" w:sz="6" w:space="0" w:color="auto"/>
              <w:right w:val="nil" w:sz="6" w:space="0" w:color="auto"/>
            </w:tcBorders>
          </w:tcPr>
          <w:p>
            <w:pPr/>
          </w:p>
        </w:tc>
        <w:tc>
          <w:tcPr>
            <w:tcW w:w="975" w:type="dxa"/>
            <w:tcBorders>
              <w:top w:val="single" w:sz="12" w:space="0" w:color="000000"/>
              <w:left w:val="nil" w:sz="6" w:space="0" w:color="auto"/>
              <w:bottom w:val="nil" w:sz="6" w:space="0" w:color="auto"/>
              <w:right w:val="nil" w:sz="6" w:space="0" w:color="auto"/>
            </w:tcBorders>
          </w:tcPr>
          <w:p>
            <w:pPr/>
          </w:p>
        </w:tc>
        <w:tc>
          <w:tcPr>
            <w:tcW w:w="1040" w:type="dxa"/>
            <w:tcBorders>
              <w:top w:val="single" w:sz="12" w:space="0" w:color="000000"/>
              <w:left w:val="nil" w:sz="6" w:space="0" w:color="auto"/>
              <w:bottom w:val="nil" w:sz="6" w:space="0" w:color="auto"/>
              <w:right w:val="nil" w:sz="6" w:space="0" w:color="auto"/>
            </w:tcBorders>
          </w:tcPr>
          <w:p>
            <w:pPr/>
          </w:p>
        </w:tc>
        <w:tc>
          <w:tcPr>
            <w:tcW w:w="1100" w:type="dxa"/>
            <w:tcBorders>
              <w:top w:val="single" w:sz="12" w:space="0" w:color="000000"/>
              <w:left w:val="nil" w:sz="6" w:space="0" w:color="auto"/>
              <w:bottom w:val="nil" w:sz="6" w:space="0" w:color="auto"/>
              <w:right w:val="nil" w:sz="6" w:space="0" w:color="auto"/>
            </w:tcBorders>
          </w:tcPr>
          <w:p>
            <w:pPr/>
          </w:p>
        </w:tc>
        <w:tc>
          <w:tcPr>
            <w:tcW w:w="1023" w:type="dxa"/>
            <w:tcBorders>
              <w:top w:val="single" w:sz="12" w:space="0" w:color="000000"/>
              <w:left w:val="nil" w:sz="6" w:space="0" w:color="auto"/>
              <w:bottom w:val="nil" w:sz="6" w:space="0" w:color="auto"/>
              <w:right w:val="nil" w:sz="6" w:space="0" w:color="auto"/>
            </w:tcBorders>
          </w:tcPr>
          <w:p>
            <w:pPr/>
          </w:p>
        </w:tc>
      </w:tr>
      <w:tr>
        <w:trPr>
          <w:trHeight w:val="900" w:hRule="exact"/>
        </w:trPr>
        <w:tc>
          <w:tcPr>
            <w:tcW w:w="708"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9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211" w:right="0"/>
              <w:jc w:val="left"/>
              <w:rPr>
                <w:rFonts w:ascii="宋体" w:hAnsi="宋体" w:cs="宋体" w:eastAsia="宋体" w:hint="default"/>
                <w:sz w:val="24"/>
                <w:szCs w:val="24"/>
              </w:rPr>
            </w:pPr>
            <w:r>
              <w:rPr>
                <w:rFonts w:ascii="宋体" w:hAnsi="宋体" w:cs="宋体" w:eastAsia="宋体" w:hint="default"/>
                <w:sz w:val="24"/>
                <w:szCs w:val="24"/>
              </w:rPr>
              <w:t>应收账款性质</w:t>
            </w:r>
          </w:p>
        </w:tc>
        <w:tc>
          <w:tcPr>
            <w:tcW w:w="13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47"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20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601" w:right="0"/>
              <w:jc w:val="left"/>
              <w:rPr>
                <w:rFonts w:ascii="宋体" w:hAnsi="宋体" w:cs="宋体" w:eastAsia="宋体" w:hint="default"/>
                <w:sz w:val="24"/>
                <w:szCs w:val="24"/>
              </w:rPr>
            </w:pPr>
            <w:r>
              <w:rPr>
                <w:rFonts w:ascii="宋体" w:hAnsi="宋体" w:cs="宋体" w:eastAsia="宋体" w:hint="default"/>
                <w:sz w:val="24"/>
                <w:szCs w:val="24"/>
              </w:rPr>
              <w:t>核销原因</w:t>
            </w:r>
          </w:p>
        </w:tc>
        <w:tc>
          <w:tcPr>
            <w:tcW w:w="2123"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0"/>
              <w:ind w:left="778" w:right="305" w:hanging="164"/>
              <w:jc w:val="left"/>
              <w:rPr>
                <w:rFonts w:ascii="宋体" w:hAnsi="宋体" w:cs="宋体" w:eastAsia="宋体" w:hint="default"/>
                <w:sz w:val="24"/>
                <w:szCs w:val="24"/>
              </w:rPr>
            </w:pPr>
            <w:r>
              <w:rPr>
                <w:rFonts w:ascii="宋体" w:hAnsi="宋体" w:cs="宋体" w:eastAsia="宋体" w:hint="default"/>
                <w:sz w:val="24"/>
                <w:szCs w:val="24"/>
              </w:rPr>
              <w:t>是否因关联 交易产生</w:t>
            </w:r>
          </w:p>
        </w:tc>
      </w:tr>
      <w:tr>
        <w:trPr>
          <w:trHeight w:val="453" w:hRule="exact"/>
        </w:trPr>
        <w:tc>
          <w:tcPr>
            <w:tcW w:w="708" w:type="dxa"/>
            <w:tcBorders>
              <w:top w:val="nil" w:sz="6" w:space="0" w:color="auto"/>
              <w:left w:val="nil" w:sz="6" w:space="0" w:color="auto"/>
              <w:bottom w:val="single" w:sz="1" w:space="0" w:color="FFFF99"/>
              <w:right w:val="nil" w:sz="6" w:space="0" w:color="auto"/>
            </w:tcBorders>
          </w:tcPr>
          <w:p>
            <w:pPr/>
          </w:p>
        </w:tc>
        <w:tc>
          <w:tcPr>
            <w:tcW w:w="2374" w:type="dxa"/>
            <w:gridSpan w:val="2"/>
            <w:tcBorders>
              <w:top w:val="nil" w:sz="6" w:space="0" w:color="auto"/>
              <w:left w:val="nil" w:sz="6" w:space="0" w:color="auto"/>
              <w:bottom w:val="single" w:sz="1" w:space="0" w:color="FFFF99"/>
              <w:right w:val="nil" w:sz="6" w:space="0" w:color="auto"/>
            </w:tcBorders>
          </w:tcPr>
          <w:p>
            <w:pPr>
              <w:pStyle w:val="TableParagraph"/>
              <w:spacing w:line="240" w:lineRule="auto" w:before="100"/>
              <w:ind w:left="120" w:right="0"/>
              <w:jc w:val="left"/>
              <w:rPr>
                <w:rFonts w:ascii="Arial" w:hAnsi="Arial" w:cs="Arial" w:eastAsia="Arial"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w:t>
            </w:r>
            <w:r>
              <w:rPr>
                <w:rFonts w:ascii="宋体" w:hAnsi="宋体" w:cs="宋体" w:eastAsia="宋体" w:hint="default"/>
                <w:sz w:val="24"/>
                <w:szCs w:val="24"/>
              </w:rPr>
              <w:t>单笔金额较小</w:t>
            </w:r>
            <w:r>
              <w:rPr>
                <w:rFonts w:ascii="Arial" w:hAnsi="Arial" w:cs="Arial" w:eastAsia="Arial" w:hint="default"/>
                <w:sz w:val="24"/>
                <w:szCs w:val="24"/>
              </w:rPr>
              <w:t>)</w:t>
            </w:r>
          </w:p>
        </w:tc>
        <w:tc>
          <w:tcPr>
            <w:tcW w:w="192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00"/>
              <w:ind w:left="787" w:right="0"/>
              <w:jc w:val="left"/>
              <w:rPr>
                <w:rFonts w:ascii="宋体" w:hAnsi="宋体" w:cs="宋体" w:eastAsia="宋体" w:hint="default"/>
                <w:sz w:val="24"/>
                <w:szCs w:val="24"/>
              </w:rPr>
            </w:pPr>
            <w:r>
              <w:rPr>
                <w:rFonts w:ascii="宋体" w:hAnsi="宋体" w:cs="宋体" w:eastAsia="宋体" w:hint="default"/>
                <w:sz w:val="24"/>
                <w:szCs w:val="24"/>
              </w:rPr>
              <w:t>应收货款</w:t>
            </w:r>
          </w:p>
        </w:tc>
        <w:tc>
          <w:tcPr>
            <w:tcW w:w="310" w:type="dxa"/>
            <w:tcBorders>
              <w:top w:val="nil" w:sz="6" w:space="0" w:color="auto"/>
              <w:left w:val="nil" w:sz="6" w:space="0" w:color="auto"/>
              <w:bottom w:val="single" w:sz="12" w:space="0" w:color="000000"/>
              <w:right w:val="nil" w:sz="6" w:space="0" w:color="auto"/>
            </w:tcBorders>
          </w:tcPr>
          <w:p>
            <w:pPr/>
          </w:p>
        </w:tc>
        <w:tc>
          <w:tcPr>
            <w:tcW w:w="1059" w:type="dxa"/>
            <w:tcBorders>
              <w:top w:val="nil" w:sz="6" w:space="0" w:color="auto"/>
              <w:left w:val="nil" w:sz="6" w:space="0" w:color="auto"/>
              <w:bottom w:val="single" w:sz="12" w:space="0" w:color="000000"/>
              <w:right w:val="nil" w:sz="6" w:space="0" w:color="auto"/>
            </w:tcBorders>
          </w:tcPr>
          <w:p>
            <w:pPr>
              <w:pStyle w:val="TableParagraph"/>
              <w:spacing w:line="240" w:lineRule="auto" w:before="174"/>
              <w:ind w:left="321" w:right="0"/>
              <w:jc w:val="left"/>
              <w:rPr>
                <w:rFonts w:ascii="Arial" w:hAnsi="Arial" w:cs="Arial" w:eastAsia="Arial" w:hint="default"/>
                <w:sz w:val="24"/>
                <w:szCs w:val="24"/>
              </w:rPr>
            </w:pPr>
            <w:r>
              <w:rPr>
                <w:rFonts w:ascii="Arial"/>
                <w:sz w:val="24"/>
              </w:rPr>
              <w:t>1,413</w:t>
            </w:r>
          </w:p>
        </w:tc>
        <w:tc>
          <w:tcPr>
            <w:tcW w:w="3116" w:type="dxa"/>
            <w:gridSpan w:val="3"/>
            <w:tcBorders>
              <w:top w:val="nil" w:sz="6" w:space="0" w:color="auto"/>
              <w:left w:val="nil" w:sz="6" w:space="0" w:color="auto"/>
              <w:bottom w:val="single" w:sz="1" w:space="0" w:color="FFFF99"/>
              <w:right w:val="nil" w:sz="6" w:space="0" w:color="auto"/>
            </w:tcBorders>
          </w:tcPr>
          <w:p>
            <w:pPr>
              <w:pStyle w:val="TableParagraph"/>
              <w:spacing w:line="240" w:lineRule="auto" w:before="100"/>
              <w:ind w:left="383" w:right="0"/>
              <w:jc w:val="lef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023" w:type="dxa"/>
            <w:tcBorders>
              <w:top w:val="nil" w:sz="6" w:space="0" w:color="auto"/>
              <w:left w:val="nil" w:sz="6" w:space="0" w:color="auto"/>
              <w:bottom w:val="single" w:sz="1" w:space="0" w:color="FFFF99"/>
              <w:right w:val="nil" w:sz="6" w:space="0" w:color="auto"/>
            </w:tcBorders>
          </w:tcPr>
          <w:p>
            <w:pPr>
              <w:pStyle w:val="TableParagraph"/>
              <w:spacing w:line="240" w:lineRule="auto" w:before="100"/>
              <w:ind w:left="81"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7"/>
        <w:rPr>
          <w:rFonts w:ascii="Times New Roman" w:hAnsi="Times New Roman" w:cs="Times New Roman" w:eastAsia="Times New Roman"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701"/>
        <w:gridCol w:w="2862"/>
        <w:gridCol w:w="2217"/>
        <w:gridCol w:w="1360"/>
        <w:gridCol w:w="1445"/>
        <w:gridCol w:w="1659"/>
      </w:tblGrid>
      <w:tr>
        <w:trPr>
          <w:trHeight w:val="72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(e)</w:t>
            </w:r>
          </w:p>
        </w:tc>
        <w:tc>
          <w:tcPr>
            <w:tcW w:w="9542" w:type="dxa"/>
            <w:gridSpan w:val="5"/>
            <w:tcBorders>
              <w:top w:val="nil" w:sz="6" w:space="0" w:color="auto"/>
              <w:left w:val="nil" w:sz="6" w:space="0" w:color="auto"/>
              <w:bottom w:val="nil" w:sz="6" w:space="0" w:color="auto"/>
              <w:right w:val="nil" w:sz="6" w:space="0" w:color="auto"/>
            </w:tcBorders>
          </w:tcPr>
          <w:p>
            <w:pPr>
              <w:pStyle w:val="TableParagraph"/>
              <w:spacing w:line="253" w:lineRule="exact"/>
              <w:ind w:left="2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5"/>
                <w:sz w:val="24"/>
                <w:szCs w:val="24"/>
              </w:rPr>
              <w:t>2011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日及</w:t>
            </w:r>
            <w:r>
              <w:rPr>
                <w:rFonts w:ascii="宋体" w:hAnsi="宋体" w:cs="宋体" w:eastAsia="宋体" w:hint="default"/>
                <w:spacing w:val="-59"/>
                <w:sz w:val="24"/>
                <w:szCs w:val="24"/>
              </w:rPr>
              <w:t> </w:t>
            </w:r>
            <w:r>
              <w:rPr>
                <w:rFonts w:ascii="Arial" w:hAnsi="Arial" w:cs="Arial" w:eastAsia="Arial" w:hint="default"/>
                <w:sz w:val="24"/>
                <w:szCs w:val="24"/>
              </w:rPr>
              <w:t>2010</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日，应收账款中无持有本公司</w:t>
            </w:r>
            <w:r>
              <w:rPr>
                <w:rFonts w:ascii="宋体" w:hAnsi="宋体" w:cs="宋体" w:eastAsia="宋体" w:hint="default"/>
                <w:spacing w:val="-58"/>
                <w:sz w:val="24"/>
                <w:szCs w:val="24"/>
              </w:rPr>
              <w:t> </w:t>
            </w:r>
            <w:r>
              <w:rPr>
                <w:rFonts w:ascii="Arial" w:hAnsi="Arial" w:cs="Arial" w:eastAsia="Arial" w:hint="default"/>
                <w:sz w:val="24"/>
                <w:szCs w:val="24"/>
              </w:rPr>
              <w:t>5%(</w:t>
            </w:r>
            <w:r>
              <w:rPr>
                <w:rFonts w:ascii="宋体" w:hAnsi="宋体" w:cs="宋体" w:eastAsia="宋体" w:hint="default"/>
                <w:sz w:val="24"/>
                <w:szCs w:val="24"/>
              </w:rPr>
              <w:t>含</w:t>
            </w:r>
            <w:r>
              <w:rPr>
                <w:rFonts w:ascii="宋体" w:hAnsi="宋体" w:cs="宋体" w:eastAsia="宋体" w:hint="default"/>
                <w:spacing w:val="-59"/>
                <w:sz w:val="24"/>
                <w:szCs w:val="24"/>
              </w:rPr>
              <w:t> </w:t>
            </w:r>
            <w:r>
              <w:rPr>
                <w:rFonts w:ascii="Arial" w:hAnsi="Arial" w:cs="Arial" w:eastAsia="Arial" w:hint="default"/>
                <w:sz w:val="24"/>
                <w:szCs w:val="24"/>
              </w:rPr>
              <w:t>5%)</w:t>
            </w:r>
            <w:r>
              <w:rPr>
                <w:rFonts w:ascii="宋体" w:hAnsi="宋体" w:cs="宋体" w:eastAsia="宋体" w:hint="default"/>
                <w:sz w:val="24"/>
                <w:szCs w:val="24"/>
              </w:rPr>
              <w:t>以</w:t>
            </w:r>
          </w:p>
          <w:p>
            <w:pPr>
              <w:pStyle w:val="TableParagraph"/>
              <w:spacing w:line="304" w:lineRule="exact"/>
              <w:ind w:left="207" w:right="0"/>
              <w:jc w:val="left"/>
              <w:rPr>
                <w:rFonts w:ascii="宋体" w:hAnsi="宋体" w:cs="宋体" w:eastAsia="宋体" w:hint="default"/>
                <w:sz w:val="24"/>
                <w:szCs w:val="24"/>
              </w:rPr>
            </w:pPr>
            <w:r>
              <w:rPr>
                <w:rFonts w:ascii="宋体" w:hAnsi="宋体" w:cs="宋体" w:eastAsia="宋体" w:hint="default"/>
                <w:sz w:val="24"/>
                <w:szCs w:val="24"/>
              </w:rPr>
              <w:t>上表决权股份的股东的欠款。</w:t>
            </w:r>
          </w:p>
        </w:tc>
      </w:tr>
      <w:tr>
        <w:trPr>
          <w:trHeight w:val="59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0"/>
              <w:jc w:val="center"/>
              <w:rPr>
                <w:rFonts w:ascii="Arial" w:hAnsi="Arial" w:cs="Arial" w:eastAsia="Arial" w:hint="default"/>
                <w:sz w:val="24"/>
                <w:szCs w:val="24"/>
              </w:rPr>
            </w:pPr>
            <w:r>
              <w:rPr>
                <w:rFonts w:ascii="Arial"/>
                <w:sz w:val="24"/>
              </w:rPr>
              <w:t>(f)</w:t>
            </w:r>
          </w:p>
        </w:tc>
        <w:tc>
          <w:tcPr>
            <w:tcW w:w="643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2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日，余额前五名的应收账款分析如下：</w:t>
            </w:r>
          </w:p>
        </w:tc>
        <w:tc>
          <w:tcPr>
            <w:tcW w:w="144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r>
      <w:tr>
        <w:trPr>
          <w:trHeight w:val="894"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494" w:right="0"/>
              <w:jc w:val="left"/>
              <w:rPr>
                <w:rFonts w:ascii="宋体" w:hAnsi="宋体" w:cs="宋体" w:eastAsia="宋体" w:hint="default"/>
                <w:sz w:val="24"/>
                <w:szCs w:val="24"/>
              </w:rPr>
            </w:pPr>
            <w:r>
              <w:rPr>
                <w:rFonts w:ascii="宋体" w:hAnsi="宋体" w:cs="宋体" w:eastAsia="宋体" w:hint="default"/>
                <w:sz w:val="24"/>
                <w:szCs w:val="24"/>
              </w:rPr>
              <w:t>与本集团关系</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226"/>
              <w:jc w:val="right"/>
              <w:rPr>
                <w:rFonts w:ascii="宋体" w:hAnsi="宋体" w:cs="宋体" w:eastAsia="宋体" w:hint="default"/>
                <w:sz w:val="24"/>
                <w:szCs w:val="24"/>
              </w:rPr>
            </w:pPr>
            <w:r>
              <w:rPr>
                <w:rFonts w:ascii="宋体" w:hAnsi="宋体" w:cs="宋体" w:eastAsia="宋体" w:hint="default"/>
                <w:sz w:val="24"/>
                <w:szCs w:val="24"/>
              </w:rPr>
              <w:t>金额</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707" w:right="0"/>
              <w:jc w:val="left"/>
              <w:rPr>
                <w:rFonts w:ascii="宋体" w:hAnsi="宋体" w:cs="宋体" w:eastAsia="宋体" w:hint="default"/>
                <w:sz w:val="24"/>
                <w:szCs w:val="24"/>
              </w:rPr>
            </w:pPr>
            <w:r>
              <w:rPr>
                <w:rFonts w:ascii="宋体" w:hAnsi="宋体" w:cs="宋体" w:eastAsia="宋体" w:hint="default"/>
                <w:sz w:val="24"/>
                <w:szCs w:val="24"/>
              </w:rPr>
              <w:t>年限</w:t>
            </w:r>
          </w:p>
        </w:tc>
        <w:tc>
          <w:tcPr>
            <w:tcW w:w="1659"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497" w:right="199" w:hanging="240"/>
              <w:jc w:val="left"/>
              <w:rPr>
                <w:rFonts w:ascii="宋体" w:hAnsi="宋体" w:cs="宋体" w:eastAsia="宋体" w:hint="default"/>
                <w:sz w:val="24"/>
                <w:szCs w:val="24"/>
              </w:rPr>
            </w:pPr>
            <w:r>
              <w:rPr>
                <w:rFonts w:ascii="宋体" w:hAnsi="宋体" w:cs="宋体" w:eastAsia="宋体" w:hint="default"/>
                <w:sz w:val="24"/>
                <w:szCs w:val="24"/>
              </w:rPr>
              <w:t>占应收账款 总额比例</w:t>
            </w:r>
          </w:p>
        </w:tc>
      </w:tr>
      <w:tr>
        <w:trPr>
          <w:trHeight w:val="465"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宋体" w:hAnsi="宋体" w:cs="宋体" w:eastAsia="宋体" w:hint="default"/>
                <w:sz w:val="24"/>
                <w:szCs w:val="24"/>
              </w:rPr>
              <w:t>北京市财政局</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14"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82" w:right="0"/>
              <w:jc w:val="left"/>
              <w:rPr>
                <w:rFonts w:ascii="Arial" w:hAnsi="Arial" w:cs="Arial" w:eastAsia="Arial" w:hint="default"/>
                <w:sz w:val="24"/>
                <w:szCs w:val="24"/>
              </w:rPr>
            </w:pPr>
            <w:r>
              <w:rPr>
                <w:rFonts w:ascii="Arial"/>
                <w:spacing w:val="-3"/>
                <w:sz w:val="24"/>
              </w:rPr>
              <w:t>117,856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8"/>
              <w:jc w:val="right"/>
              <w:rPr>
                <w:rFonts w:ascii="Arial" w:hAnsi="Arial" w:cs="Arial" w:eastAsia="Arial" w:hint="default"/>
                <w:sz w:val="24"/>
                <w:szCs w:val="24"/>
              </w:rPr>
            </w:pPr>
            <w:r>
              <w:rPr>
                <w:rFonts w:ascii="Arial"/>
                <w:sz w:val="24"/>
              </w:rPr>
              <w:t>6.3%</w:t>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Style w:val="TableParagraph"/>
              <w:spacing w:line="261" w:lineRule="exact"/>
              <w:ind w:left="207" w:right="0"/>
              <w:jc w:val="left"/>
              <w:rPr>
                <w:rFonts w:ascii="宋体" w:hAnsi="宋体" w:cs="宋体" w:eastAsia="宋体" w:hint="default"/>
                <w:sz w:val="24"/>
                <w:szCs w:val="24"/>
              </w:rPr>
            </w:pPr>
            <w:r>
              <w:rPr>
                <w:rFonts w:ascii="宋体" w:hAnsi="宋体" w:cs="宋体" w:eastAsia="宋体" w:hint="default"/>
                <w:sz w:val="24"/>
                <w:szCs w:val="24"/>
              </w:rPr>
              <w:t>天津市财政局</w:t>
            </w:r>
          </w:p>
        </w:tc>
        <w:tc>
          <w:tcPr>
            <w:tcW w:w="2217" w:type="dxa"/>
            <w:tcBorders>
              <w:top w:val="nil" w:sz="6" w:space="0" w:color="auto"/>
              <w:left w:val="nil" w:sz="6" w:space="0" w:color="auto"/>
              <w:bottom w:val="nil" w:sz="6" w:space="0" w:color="auto"/>
              <w:right w:val="nil" w:sz="6" w:space="0" w:color="auto"/>
            </w:tcBorders>
          </w:tcPr>
          <w:p>
            <w:pPr>
              <w:pStyle w:val="TableParagraph"/>
              <w:spacing w:line="261" w:lineRule="exact"/>
              <w:ind w:left="1214"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7" w:right="0"/>
              <w:jc w:val="left"/>
              <w:rPr>
                <w:rFonts w:ascii="Arial" w:hAnsi="Arial" w:cs="Arial" w:eastAsia="Arial" w:hint="default"/>
                <w:sz w:val="24"/>
                <w:szCs w:val="24"/>
              </w:rPr>
            </w:pPr>
            <w:r>
              <w:rPr>
                <w:rFonts w:ascii="Arial"/>
                <w:sz w:val="24"/>
              </w:rPr>
              <w:t>93,659</w:t>
            </w:r>
          </w:p>
        </w:tc>
        <w:tc>
          <w:tcPr>
            <w:tcW w:w="1445" w:type="dxa"/>
            <w:tcBorders>
              <w:top w:val="nil" w:sz="6" w:space="0" w:color="auto"/>
              <w:left w:val="nil" w:sz="6" w:space="0" w:color="auto"/>
              <w:bottom w:val="nil" w:sz="6" w:space="0" w:color="auto"/>
              <w:right w:val="nil" w:sz="6" w:space="0" w:color="auto"/>
            </w:tcBorders>
          </w:tcPr>
          <w:p>
            <w:pPr>
              <w:pStyle w:val="TableParagraph"/>
              <w:spacing w:line="261" w:lineRule="exact"/>
              <w:ind w:left="22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z w:val="24"/>
              </w:rPr>
              <w:t>5.0%</w:t>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Style w:val="TableParagraph"/>
              <w:spacing w:line="261" w:lineRule="exact"/>
              <w:ind w:left="207" w:right="0"/>
              <w:jc w:val="left"/>
              <w:rPr>
                <w:rFonts w:ascii="宋体" w:hAnsi="宋体" w:cs="宋体" w:eastAsia="宋体" w:hint="default"/>
                <w:sz w:val="24"/>
                <w:szCs w:val="24"/>
              </w:rPr>
            </w:pPr>
            <w:r>
              <w:rPr>
                <w:rFonts w:ascii="宋体" w:hAnsi="宋体" w:cs="宋体" w:eastAsia="宋体" w:hint="default"/>
                <w:sz w:val="24"/>
                <w:szCs w:val="24"/>
              </w:rPr>
              <w:t>重庆市财政局</w:t>
            </w:r>
          </w:p>
        </w:tc>
        <w:tc>
          <w:tcPr>
            <w:tcW w:w="2217" w:type="dxa"/>
            <w:tcBorders>
              <w:top w:val="nil" w:sz="6" w:space="0" w:color="auto"/>
              <w:left w:val="nil" w:sz="6" w:space="0" w:color="auto"/>
              <w:bottom w:val="nil" w:sz="6" w:space="0" w:color="auto"/>
              <w:right w:val="nil" w:sz="6" w:space="0" w:color="auto"/>
            </w:tcBorders>
          </w:tcPr>
          <w:p>
            <w:pPr>
              <w:pStyle w:val="TableParagraph"/>
              <w:spacing w:line="261" w:lineRule="exact"/>
              <w:ind w:left="1214"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7" w:right="0"/>
              <w:jc w:val="left"/>
              <w:rPr>
                <w:rFonts w:ascii="Arial" w:hAnsi="Arial" w:cs="Arial" w:eastAsia="Arial" w:hint="default"/>
                <w:sz w:val="24"/>
                <w:szCs w:val="24"/>
              </w:rPr>
            </w:pPr>
            <w:r>
              <w:rPr>
                <w:rFonts w:ascii="Arial"/>
                <w:sz w:val="24"/>
              </w:rPr>
              <w:t>56,750</w:t>
            </w:r>
          </w:p>
        </w:tc>
        <w:tc>
          <w:tcPr>
            <w:tcW w:w="1445" w:type="dxa"/>
            <w:tcBorders>
              <w:top w:val="nil" w:sz="6" w:space="0" w:color="auto"/>
              <w:left w:val="nil" w:sz="6" w:space="0" w:color="auto"/>
              <w:bottom w:val="nil" w:sz="6" w:space="0" w:color="auto"/>
              <w:right w:val="nil" w:sz="6" w:space="0" w:color="auto"/>
            </w:tcBorders>
          </w:tcPr>
          <w:p>
            <w:pPr>
              <w:pStyle w:val="TableParagraph"/>
              <w:spacing w:line="261" w:lineRule="exact"/>
              <w:ind w:left="22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z w:val="24"/>
              </w:rPr>
              <w:t>3.0%</w:t>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Style w:val="TableParagraph"/>
              <w:spacing w:line="261" w:lineRule="exact"/>
              <w:ind w:left="207" w:right="0"/>
              <w:jc w:val="left"/>
              <w:rPr>
                <w:rFonts w:ascii="宋体" w:hAnsi="宋体" w:cs="宋体" w:eastAsia="宋体" w:hint="default"/>
                <w:sz w:val="24"/>
                <w:szCs w:val="24"/>
              </w:rPr>
            </w:pPr>
            <w:r>
              <w:rPr>
                <w:rFonts w:ascii="宋体" w:hAnsi="宋体" w:cs="宋体" w:eastAsia="宋体" w:hint="default"/>
                <w:sz w:val="24"/>
                <w:szCs w:val="24"/>
              </w:rPr>
              <w:t>成都市财政局</w:t>
            </w:r>
          </w:p>
        </w:tc>
        <w:tc>
          <w:tcPr>
            <w:tcW w:w="2217" w:type="dxa"/>
            <w:tcBorders>
              <w:top w:val="nil" w:sz="6" w:space="0" w:color="auto"/>
              <w:left w:val="nil" w:sz="6" w:space="0" w:color="auto"/>
              <w:bottom w:val="nil" w:sz="6" w:space="0" w:color="auto"/>
              <w:right w:val="nil" w:sz="6" w:space="0" w:color="auto"/>
            </w:tcBorders>
          </w:tcPr>
          <w:p>
            <w:pPr>
              <w:pStyle w:val="TableParagraph"/>
              <w:spacing w:line="261" w:lineRule="exact"/>
              <w:ind w:left="1214" w:right="0"/>
              <w:jc w:val="left"/>
              <w:rPr>
                <w:rFonts w:ascii="宋体" w:hAnsi="宋体" w:cs="宋体" w:eastAsia="宋体" w:hint="default"/>
                <w:sz w:val="24"/>
                <w:szCs w:val="24"/>
              </w:rPr>
            </w:pPr>
            <w:r>
              <w:rPr>
                <w:rFonts w:ascii="宋体" w:hAnsi="宋体" w:cs="宋体" w:eastAsia="宋体" w:hint="default"/>
                <w:sz w:val="24"/>
                <w:szCs w:val="24"/>
              </w:rPr>
              <w:t>第三方</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7" w:right="0"/>
              <w:jc w:val="left"/>
              <w:rPr>
                <w:rFonts w:ascii="Arial" w:hAnsi="Arial" w:cs="Arial" w:eastAsia="Arial" w:hint="default"/>
                <w:sz w:val="24"/>
                <w:szCs w:val="24"/>
              </w:rPr>
            </w:pPr>
            <w:r>
              <w:rPr>
                <w:rFonts w:ascii="Arial"/>
                <w:sz w:val="24"/>
              </w:rPr>
              <w:t>51,830</w:t>
            </w:r>
          </w:p>
        </w:tc>
        <w:tc>
          <w:tcPr>
            <w:tcW w:w="1445" w:type="dxa"/>
            <w:tcBorders>
              <w:top w:val="nil" w:sz="6" w:space="0" w:color="auto"/>
              <w:left w:val="nil" w:sz="6" w:space="0" w:color="auto"/>
              <w:bottom w:val="nil" w:sz="6" w:space="0" w:color="auto"/>
              <w:right w:val="nil" w:sz="6" w:space="0" w:color="auto"/>
            </w:tcBorders>
          </w:tcPr>
          <w:p>
            <w:pPr>
              <w:pStyle w:val="TableParagraph"/>
              <w:spacing w:line="261" w:lineRule="exact"/>
              <w:ind w:left="22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z w:val="24"/>
              </w:rPr>
              <w:t>2.8%</w:t>
            </w:r>
          </w:p>
        </w:tc>
      </w:tr>
      <w:tr>
        <w:trPr>
          <w:trHeight w:val="315"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Style w:val="TableParagraph"/>
              <w:spacing w:line="261" w:lineRule="exact"/>
              <w:ind w:left="207" w:right="0"/>
              <w:jc w:val="left"/>
              <w:rPr>
                <w:rFonts w:ascii="宋体" w:hAnsi="宋体" w:cs="宋体" w:eastAsia="宋体" w:hint="default"/>
                <w:sz w:val="24"/>
                <w:szCs w:val="24"/>
              </w:rPr>
            </w:pPr>
            <w:r>
              <w:rPr>
                <w:rFonts w:ascii="宋体" w:hAnsi="宋体" w:cs="宋体" w:eastAsia="宋体" w:hint="default"/>
                <w:sz w:val="24"/>
                <w:szCs w:val="24"/>
              </w:rPr>
              <w:t>上海市财政局</w:t>
            </w:r>
          </w:p>
        </w:tc>
        <w:tc>
          <w:tcPr>
            <w:tcW w:w="2217" w:type="dxa"/>
            <w:tcBorders>
              <w:top w:val="nil" w:sz="6" w:space="0" w:color="auto"/>
              <w:left w:val="nil" w:sz="6" w:space="0" w:color="auto"/>
              <w:bottom w:val="nil" w:sz="6" w:space="0" w:color="auto"/>
              <w:right w:val="nil" w:sz="6" w:space="0" w:color="auto"/>
            </w:tcBorders>
          </w:tcPr>
          <w:p>
            <w:pPr>
              <w:pStyle w:val="TableParagraph"/>
              <w:tabs>
                <w:tab w:pos="2614" w:val="left" w:leader="none"/>
              </w:tabs>
              <w:spacing w:line="260" w:lineRule="exact"/>
              <w:ind w:left="1214" w:right="-398"/>
              <w:jc w:val="left"/>
              <w:rPr>
                <w:rFonts w:ascii="Arial" w:hAnsi="Arial" w:cs="Arial" w:eastAsia="Arial" w:hint="default"/>
                <w:sz w:val="24"/>
                <w:szCs w:val="24"/>
              </w:rPr>
            </w:pPr>
            <w:r>
              <w:rPr>
                <w:rFonts w:ascii="宋体" w:hAnsi="宋体" w:cs="宋体" w:eastAsia="宋体" w:hint="default"/>
                <w:position w:val="2"/>
                <w:sz w:val="24"/>
                <w:szCs w:val="24"/>
              </w:rPr>
              <w:t>第三方</w:t>
            </w:r>
            <w:r>
              <w:rPr>
                <w:rFonts w:ascii="宋体" w:hAnsi="宋体" w:cs="宋体" w:eastAsia="宋体" w:hint="default"/>
                <w:spacing w:val="-14"/>
                <w:position w:val="2"/>
                <w:sz w:val="24"/>
                <w:szCs w:val="24"/>
              </w:rPr>
              <w:t> </w:t>
            </w:r>
            <w:r>
              <w:rPr>
                <w:rFonts w:ascii="Arial" w:hAnsi="Arial" w:cs="Arial" w:eastAsia="Arial" w:hint="default"/>
                <w:spacing w:val="-14"/>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360"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1"/>
              <w:ind w:right="118"/>
              <w:jc w:val="right"/>
              <w:rPr>
                <w:rFonts w:ascii="Arial" w:hAnsi="Arial" w:cs="Arial" w:eastAsia="Arial" w:hint="default"/>
                <w:sz w:val="24"/>
                <w:szCs w:val="24"/>
              </w:rPr>
            </w:pPr>
            <w:r>
              <w:rPr>
                <w:rFonts w:ascii="Arial"/>
                <w:w w:val="99"/>
                <w:sz w:val="24"/>
              </w:rPr>
            </w:r>
            <w:r>
              <w:rPr>
                <w:rFonts w:ascii="Arial"/>
                <w:spacing w:val="-1"/>
                <w:sz w:val="24"/>
                <w:u w:val="single" w:color="000000"/>
              </w:rPr>
              <w:t>49,378</w:t>
              <w:tab/>
            </w:r>
            <w:r>
              <w:rPr>
                <w:rFonts w:ascii="Arial"/>
                <w:spacing w:val="-1"/>
                <w:sz w:val="24"/>
              </w:rPr>
            </w:r>
          </w:p>
        </w:tc>
        <w:tc>
          <w:tcPr>
            <w:tcW w:w="1445" w:type="dxa"/>
            <w:tcBorders>
              <w:top w:val="nil" w:sz="6" w:space="0" w:color="auto"/>
              <w:left w:val="nil" w:sz="6" w:space="0" w:color="auto"/>
              <w:bottom w:val="nil" w:sz="6" w:space="0" w:color="auto"/>
              <w:right w:val="nil" w:sz="6" w:space="0" w:color="auto"/>
            </w:tcBorders>
          </w:tcPr>
          <w:p>
            <w:pPr>
              <w:pStyle w:val="TableParagraph"/>
              <w:tabs>
                <w:tab w:pos="2354" w:val="left" w:leader="none"/>
              </w:tabs>
              <w:spacing w:line="260" w:lineRule="exact"/>
              <w:ind w:left="227" w:right="-910"/>
              <w:jc w:val="left"/>
              <w:rPr>
                <w:rFonts w:ascii="Arial" w:hAnsi="Arial" w:cs="Arial" w:eastAsia="Arial" w:hint="default"/>
                <w:sz w:val="24"/>
                <w:szCs w:val="24"/>
              </w:rPr>
            </w:pPr>
            <w:r>
              <w:rPr>
                <w:rFonts w:ascii="宋体" w:hAnsi="宋体" w:cs="宋体" w:eastAsia="宋体" w:hint="default"/>
                <w:position w:val="2"/>
                <w:sz w:val="24"/>
                <w:szCs w:val="24"/>
              </w:rPr>
              <w:t>一年以内</w:t>
            </w:r>
            <w:r>
              <w:rPr>
                <w:rFonts w:ascii="宋体" w:hAnsi="宋体" w:cs="宋体" w:eastAsia="宋体" w:hint="default"/>
                <w:spacing w:val="-12"/>
                <w:position w:val="2"/>
                <w:sz w:val="24"/>
                <w:szCs w:val="24"/>
              </w:rPr>
              <w:t> </w:t>
            </w:r>
            <w:r>
              <w:rPr>
                <w:rFonts w:ascii="Arial" w:hAnsi="Arial" w:cs="Arial" w:eastAsia="Arial" w:hint="default"/>
                <w:spacing w:val="-12"/>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59"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21"/>
              <w:ind w:right="91"/>
              <w:jc w:val="right"/>
              <w:rPr>
                <w:rFonts w:ascii="Arial" w:hAnsi="Arial" w:cs="Arial" w:eastAsia="Arial" w:hint="default"/>
                <w:sz w:val="24"/>
                <w:szCs w:val="24"/>
              </w:rPr>
            </w:pPr>
            <w:r>
              <w:rPr>
                <w:rFonts w:ascii="Arial"/>
                <w:w w:val="99"/>
                <w:sz w:val="24"/>
              </w:rPr>
            </w:r>
            <w:r>
              <w:rPr>
                <w:rFonts w:ascii="Arial"/>
                <w:sz w:val="24"/>
                <w:u w:val="single" w:color="000000"/>
              </w:rPr>
              <w:t>2.6%</w:t>
              <w:tab/>
            </w:r>
            <w:r>
              <w:rPr>
                <w:rFonts w:ascii="Arial"/>
                <w:sz w:val="24"/>
              </w:rPr>
            </w:r>
          </w:p>
        </w:tc>
      </w:tr>
      <w:tr>
        <w:trPr>
          <w:trHeight w:val="264" w:hRule="exact"/>
        </w:trPr>
        <w:tc>
          <w:tcPr>
            <w:tcW w:w="701" w:type="dxa"/>
            <w:tcBorders>
              <w:top w:val="nil" w:sz="6" w:space="0" w:color="auto"/>
              <w:left w:val="nil" w:sz="6" w:space="0" w:color="auto"/>
              <w:bottom w:val="nil" w:sz="6" w:space="0" w:color="auto"/>
              <w:right w:val="nil" w:sz="6" w:space="0" w:color="auto"/>
            </w:tcBorders>
          </w:tcPr>
          <w:p>
            <w:pPr/>
          </w:p>
        </w:tc>
        <w:tc>
          <w:tcPr>
            <w:tcW w:w="2862" w:type="dxa"/>
            <w:tcBorders>
              <w:top w:val="nil" w:sz="6" w:space="0" w:color="auto"/>
              <w:left w:val="nil" w:sz="6" w:space="0" w:color="auto"/>
              <w:bottom w:val="nil" w:sz="6" w:space="0" w:color="auto"/>
              <w:right w:val="nil" w:sz="6" w:space="0" w:color="auto"/>
            </w:tcBorders>
          </w:tcPr>
          <w:p>
            <w:pPr/>
          </w:p>
        </w:tc>
        <w:tc>
          <w:tcPr>
            <w:tcW w:w="2217"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Style w:val="TableParagraph"/>
              <w:tabs>
                <w:tab w:pos="265" w:val="left" w:leader="none"/>
                <w:tab w:pos="1239" w:val="left" w:leader="none"/>
              </w:tabs>
              <w:spacing w:line="269" w:lineRule="exact"/>
              <w:ind w:left="-177" w:right="11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369,473</w:t>
              <w:tab/>
            </w:r>
            <w:r>
              <w:rPr>
                <w:rFonts w:ascii="Arial"/>
                <w:spacing w:val="-1"/>
                <w:sz w:val="24"/>
              </w:rPr>
            </w:r>
          </w:p>
        </w:tc>
        <w:tc>
          <w:tcPr>
            <w:tcW w:w="144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tabs>
                <w:tab w:pos="775" w:val="left" w:leader="none"/>
                <w:tab w:pos="1565" w:val="left" w:leader="none"/>
              </w:tabs>
              <w:spacing w:line="269" w:lineRule="exact"/>
              <w:ind w:left="-149" w:right="9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19.7%</w:t>
              <w:tab/>
            </w:r>
            <w:r>
              <w:rPr>
                <w:rFonts w:ascii="Arial"/>
                <w:sz w:val="24"/>
              </w:rPr>
            </w:r>
          </w:p>
        </w:tc>
      </w:tr>
    </w:tbl>
    <w:p>
      <w:pPr>
        <w:spacing w:after="0" w:line="269" w:lineRule="exact"/>
        <w:jc w:val="right"/>
        <w:rPr>
          <w:rFonts w:ascii="Arial" w:hAnsi="Arial" w:cs="Arial" w:eastAsia="Arial"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p>
      <w:pPr>
        <w:spacing w:line="20" w:lineRule="exact"/>
        <w:ind w:left="7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39"/>
        <w:gridCol w:w="3845"/>
      </w:tblGrid>
      <w:tr>
        <w:trPr>
          <w:trHeight w:val="517"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Arial" w:hAnsi="Arial" w:cs="Arial" w:eastAsia="Arial" w:hint="default"/>
                <w:sz w:val="24"/>
                <w:szCs w:val="24"/>
              </w:rPr>
            </w:pPr>
            <w:r>
              <w:rPr>
                <w:rFonts w:ascii="Arial"/>
                <w:sz w:val="24"/>
              </w:rPr>
              <w:t>(4)</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9" w:right="0"/>
              <w:jc w:val="left"/>
              <w:rPr>
                <w:rFonts w:ascii="Arial" w:hAnsi="Arial" w:cs="Arial" w:eastAsia="Arial" w:hint="default"/>
                <w:sz w:val="24"/>
                <w:szCs w:val="24"/>
              </w:rPr>
            </w:pP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11" w:hRule="exact"/>
        </w:trPr>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Arial" w:hAnsi="Arial" w:cs="Arial" w:eastAsia="Arial" w:hint="default"/>
                <w:sz w:val="24"/>
                <w:szCs w:val="24"/>
              </w:rPr>
            </w:pPr>
            <w:r>
              <w:rPr>
                <w:rFonts w:ascii="Arial"/>
                <w:sz w:val="24"/>
              </w:rPr>
              <w:t>(g)</w:t>
            </w:r>
          </w:p>
        </w:tc>
        <w:tc>
          <w:tcPr>
            <w:tcW w:w="384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9" w:right="0"/>
              <w:jc w:val="left"/>
              <w:rPr>
                <w:rFonts w:ascii="宋体" w:hAnsi="宋体" w:cs="宋体" w:eastAsia="宋体" w:hint="default"/>
                <w:sz w:val="24"/>
                <w:szCs w:val="24"/>
              </w:rPr>
            </w:pPr>
            <w:r>
              <w:rPr>
                <w:rFonts w:ascii="宋体" w:hAnsi="宋体" w:cs="宋体" w:eastAsia="宋体" w:hint="default"/>
                <w:sz w:val="24"/>
                <w:szCs w:val="24"/>
              </w:rPr>
              <w:t>应收关联方的应收账款分析如下：</w:t>
            </w:r>
          </w:p>
        </w:tc>
      </w:tr>
    </w:tbl>
    <w:p>
      <w:pPr>
        <w:spacing w:line="240" w:lineRule="auto" w:before="7"/>
        <w:rPr>
          <w:rFonts w:ascii="Times New Roman" w:hAnsi="Times New Roman" w:cs="Times New Roman" w:eastAsia="Times New Roman" w:hint="default"/>
          <w:sz w:val="12"/>
          <w:szCs w:val="12"/>
        </w:rPr>
      </w:pPr>
    </w:p>
    <w:p>
      <w:pPr>
        <w:tabs>
          <w:tab w:pos="4540" w:val="left" w:leader="none"/>
          <w:tab w:pos="7723" w:val="left" w:leader="none"/>
        </w:tabs>
        <w:spacing w:before="36"/>
        <w:ind w:left="2399" w:right="0" w:firstLine="0"/>
        <w:jc w:val="left"/>
        <w:rPr>
          <w:rFonts w:ascii="宋体" w:hAnsi="宋体" w:cs="宋体" w:eastAsia="宋体" w:hint="default"/>
          <w:sz w:val="21"/>
          <w:szCs w:val="21"/>
        </w:rPr>
      </w:pPr>
      <w:r>
        <w:rPr/>
        <w:pict>
          <v:group style="position:absolute;margin-left:246.889999pt;margin-top:17.183664pt;width:148.950pt;height:1.45pt;mso-position-horizontal-relative:page;mso-position-vertical-relative:paragraph;z-index:-1359448" coordorigin="4938,344" coordsize="2979,29">
            <v:group style="position:absolute;left:4952;top:358;width:824;height:2" coordorigin="4952,358" coordsize="824,2">
              <v:shape style="position:absolute;left:4952;top:358;width:824;height:2" coordorigin="4952,358" coordsize="824,0" path="m4952,358l5775,358e" filled="false" stroked="true" strokeweight="1.44pt" strokecolor="#000000">
                <v:path arrowok="t"/>
              </v:shape>
            </v:group>
            <v:group style="position:absolute;left:5775;top:358;width:29;height:2" coordorigin="5775,358" coordsize="29,2">
              <v:shape style="position:absolute;left:5775;top:358;width:29;height:2" coordorigin="5775,358" coordsize="29,0" path="m5775,358l5804,358e" filled="false" stroked="true" strokeweight="1.44pt" strokecolor="#000000">
                <v:path arrowok="t"/>
              </v:shape>
            </v:group>
            <v:group style="position:absolute;left:5804;top:358;width:1023;height:2" coordorigin="5804,358" coordsize="1023,2">
              <v:shape style="position:absolute;left:5804;top:358;width:1023;height:2" coordorigin="5804,358" coordsize="1023,0" path="m5804,358l6827,358e" filled="false" stroked="true" strokeweight="1.44pt" strokecolor="#000000">
                <v:path arrowok="t"/>
              </v:shape>
            </v:group>
            <v:group style="position:absolute;left:6827;top:358;width:29;height:2" coordorigin="6827,358" coordsize="29,2">
              <v:shape style="position:absolute;left:6827;top:358;width:29;height:2" coordorigin="6827,358" coordsize="29,0" path="m6827,358l6856,358e" filled="false" stroked="true" strokeweight="1.44pt" strokecolor="#000000">
                <v:path arrowok="t"/>
              </v:shape>
            </v:group>
            <v:group style="position:absolute;left:6856;top:358;width:255;height:2" coordorigin="6856,358" coordsize="255,2">
              <v:shape style="position:absolute;left:6856;top:358;width:255;height:2" coordorigin="6856,358" coordsize="255,0" path="m6856,358l7110,358e" filled="false" stroked="true" strokeweight="1.44pt" strokecolor="#000000">
                <v:path arrowok="t"/>
              </v:shape>
            </v:group>
            <v:group style="position:absolute;left:7110;top:358;width:29;height:2" coordorigin="7110,358" coordsize="29,2">
              <v:shape style="position:absolute;left:7110;top:358;width:29;height:2" coordorigin="7110,358" coordsize="29,0" path="m7110,358l7139,358e" filled="false" stroked="true" strokeweight="1.44pt" strokecolor="#000000">
                <v:path arrowok="t"/>
              </v:shape>
            </v:group>
            <v:group style="position:absolute;left:7139;top:358;width:764;height:2" coordorigin="7139,358" coordsize="764,2">
              <v:shape style="position:absolute;left:7139;top:358;width:764;height:2" coordorigin="7139,358" coordsize="764,0" path="m7139,358l7902,358e" filled="false" stroked="true" strokeweight="1.44pt" strokecolor="#000000">
                <v:path arrowok="t"/>
              </v:shape>
            </v:group>
            <w10:wrap type="none"/>
          </v:group>
        </w:pict>
      </w:r>
      <w:r>
        <w:rPr/>
        <w:pict>
          <v:group style="position:absolute;margin-left:406.149994pt;margin-top:17.183664pt;width:149.35pt;height:1.45pt;mso-position-horizontal-relative:page;mso-position-vertical-relative:paragraph;z-index:-1359424" coordorigin="8123,344" coordsize="2987,29">
            <v:group style="position:absolute;left:8137;top:358;width:817;height:2" coordorigin="8137,358" coordsize="817,2">
              <v:shape style="position:absolute;left:8137;top:358;width:817;height:2" coordorigin="8137,358" coordsize="817,0" path="m8137,358l8954,358e" filled="false" stroked="true" strokeweight="1.44pt" strokecolor="#000000">
                <v:path arrowok="t"/>
              </v:shape>
            </v:group>
            <v:group style="position:absolute;left:8954;top:358;width:29;height:2" coordorigin="8954,358" coordsize="29,2">
              <v:shape style="position:absolute;left:8954;top:358;width:29;height:2" coordorigin="8954,358" coordsize="29,0" path="m8954,358l8983,358e" filled="false" stroked="true" strokeweight="1.44pt" strokecolor="#000000">
                <v:path arrowok="t"/>
              </v:shape>
            </v:group>
            <v:group style="position:absolute;left:8983;top:358;width:1102;height:2" coordorigin="8983,358" coordsize="1102,2">
              <v:shape style="position:absolute;left:8983;top:358;width:1102;height:2" coordorigin="8983,358" coordsize="1102,0" path="m8983,358l10084,358e" filled="false" stroked="true" strokeweight="1.44pt" strokecolor="#000000">
                <v:path arrowok="t"/>
              </v:shape>
            </v:group>
            <v:group style="position:absolute;left:10084;top:358;width:29;height:2" coordorigin="10084,358" coordsize="29,2">
              <v:shape style="position:absolute;left:10084;top:358;width:29;height:2" coordorigin="10084,358" coordsize="29,0" path="m10084,358l10113,358e" filled="false" stroked="true" strokeweight="1.44pt" strokecolor="#000000">
                <v:path arrowok="t"/>
              </v:shape>
            </v:group>
            <v:group style="position:absolute;left:10113;top:358;width:209;height:2" coordorigin="10113,358" coordsize="209,2">
              <v:shape style="position:absolute;left:10113;top:358;width:209;height:2" coordorigin="10113,358" coordsize="209,0" path="m10113,358l10322,358e" filled="false" stroked="true" strokeweight="1.44pt" strokecolor="#000000">
                <v:path arrowok="t"/>
              </v:shape>
            </v:group>
            <v:group style="position:absolute;left:10322;top:358;width:29;height:2" coordorigin="10322,358" coordsize="29,2">
              <v:shape style="position:absolute;left:10322;top:358;width:29;height:2" coordorigin="10322,358" coordsize="29,0" path="m10322,358l10351,358e" filled="false" stroked="true" strokeweight="1.44pt" strokecolor="#000000">
                <v:path arrowok="t"/>
              </v:shape>
            </v:group>
            <v:group style="position:absolute;left:10351;top:358;width:744;height:2" coordorigin="10351,358" coordsize="744,2">
              <v:shape style="position:absolute;left:10351;top:358;width:744;height:2" coordorigin="10351,358" coordsize="744,0" path="m10351,358l11095,358e" filled="false" stroked="true" strokeweight="1.44pt" strokecolor="#000000">
                <v:path arrowok="t"/>
              </v:shape>
            </v:group>
            <w10:wrap type="none"/>
          </v:group>
        </w:pict>
      </w:r>
      <w:r>
        <w:rPr>
          <w:rFonts w:ascii="宋体" w:hAnsi="宋体" w:cs="宋体" w:eastAsia="宋体" w:hint="default"/>
          <w:spacing w:val="-1"/>
          <w:sz w:val="21"/>
          <w:szCs w:val="21"/>
        </w:rPr>
        <w:t>与本集团关系</w:t>
        <w:tab/>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pacing w:val="-2"/>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w:t>
        <w:tab/>
      </w:r>
      <w:r>
        <w:rPr>
          <w:rFonts w:ascii="Arial" w:hAnsi="Arial" w:cs="Arial" w:eastAsia="Arial" w:hint="default"/>
          <w:spacing w:val="-1"/>
          <w:sz w:val="21"/>
          <w:szCs w:val="21"/>
        </w:rPr>
        <w:t>2010</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pacing w:val="-2"/>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50"/>
          <w:pgMar w:header="1474" w:footer="956" w:top="2960" w:bottom="1140" w:left="980" w:right="0"/>
        </w:sectPr>
      </w:pPr>
    </w:p>
    <w:p>
      <w:pPr>
        <w:tabs>
          <w:tab w:pos="6314" w:val="left" w:leader="none"/>
        </w:tabs>
        <w:spacing w:before="12"/>
        <w:ind w:left="4783" w:right="0" w:hanging="610"/>
        <w:jc w:val="righ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92"/>
          <w:sz w:val="21"/>
          <w:szCs w:val="21"/>
        </w:rPr>
        <w:t> </w:t>
      </w:r>
      <w:r>
        <w:rPr>
          <w:rFonts w:ascii="宋体" w:hAnsi="宋体" w:cs="宋体" w:eastAsia="宋体" w:hint="default"/>
          <w:spacing w:val="-1"/>
          <w:sz w:val="21"/>
          <w:szCs w:val="21"/>
        </w:rPr>
        <w:t>占应收账款</w:t>
        <w:tab/>
      </w:r>
      <w:r>
        <w:rPr>
          <w:rFonts w:ascii="宋体" w:hAnsi="宋体" w:cs="宋体" w:eastAsia="宋体" w:hint="default"/>
          <w:sz w:val="21"/>
          <w:szCs w:val="21"/>
        </w:rPr>
        <w:t>坏账</w:t>
      </w:r>
      <w:r>
        <w:rPr>
          <w:rFonts w:ascii="宋体" w:hAnsi="宋体" w:cs="宋体" w:eastAsia="宋体" w:hint="default"/>
          <w:w w:val="100"/>
          <w:sz w:val="21"/>
          <w:szCs w:val="21"/>
        </w:rPr>
        <w:t> </w:t>
      </w:r>
      <w:r>
        <w:rPr>
          <w:rFonts w:ascii="宋体" w:hAnsi="宋体" w:cs="宋体" w:eastAsia="宋体" w:hint="default"/>
          <w:spacing w:val="-1"/>
          <w:sz w:val="21"/>
          <w:szCs w:val="21"/>
        </w:rPr>
        <w:t>总额的比例</w:t>
        <w:tab/>
      </w:r>
      <w:r>
        <w:rPr>
          <w:rFonts w:ascii="宋体" w:hAnsi="宋体" w:cs="宋体" w:eastAsia="宋体" w:hint="default"/>
          <w:sz w:val="21"/>
          <w:szCs w:val="21"/>
        </w:rPr>
        <w:t>准备</w:t>
      </w:r>
    </w:p>
    <w:p>
      <w:pPr>
        <w:spacing w:before="28"/>
        <w:ind w:left="0" w:right="1263" w:firstLine="0"/>
        <w:jc w:val="right"/>
        <w:rPr>
          <w:rFonts w:ascii="Arial" w:hAnsi="Arial" w:cs="Arial" w:eastAsia="Arial" w:hint="default"/>
          <w:sz w:val="21"/>
          <w:szCs w:val="21"/>
        </w:rPr>
      </w:pPr>
      <w:r>
        <w:rPr>
          <w:rFonts w:ascii="Arial"/>
          <w:spacing w:val="-1"/>
          <w:sz w:val="21"/>
        </w:rPr>
        <w:t>(%)</w:t>
      </w:r>
      <w:r>
        <w:rPr>
          <w:rFonts w:ascii="Arial"/>
          <w:sz w:val="21"/>
        </w:rPr>
      </w:r>
    </w:p>
    <w:p>
      <w:pPr>
        <w:tabs>
          <w:tab w:pos="1210" w:val="left" w:leader="none"/>
          <w:tab w:pos="2739" w:val="left" w:leader="none"/>
        </w:tabs>
        <w:spacing w:before="12"/>
        <w:ind w:left="1210" w:right="984" w:hanging="632"/>
        <w:jc w:val="left"/>
        <w:rPr>
          <w:rFonts w:ascii="宋体" w:hAnsi="宋体" w:cs="宋体" w:eastAsia="宋体" w:hint="default"/>
          <w:sz w:val="21"/>
          <w:szCs w:val="21"/>
        </w:rPr>
      </w:pPr>
      <w:r>
        <w:rPr/>
        <w:br w:type="column"/>
      </w:r>
      <w:r>
        <w:rPr>
          <w:rFonts w:ascii="宋体" w:hAnsi="宋体" w:cs="宋体" w:eastAsia="宋体" w:hint="default"/>
          <w:sz w:val="21"/>
          <w:szCs w:val="21"/>
        </w:rPr>
        <w:t>金额</w:t>
        <w:tab/>
      </w:r>
      <w:r>
        <w:rPr>
          <w:rFonts w:ascii="宋体" w:hAnsi="宋体" w:cs="宋体" w:eastAsia="宋体" w:hint="default"/>
          <w:spacing w:val="-1"/>
          <w:sz w:val="21"/>
          <w:szCs w:val="21"/>
        </w:rPr>
        <w:t>占应收账款</w:t>
        <w:tab/>
      </w:r>
      <w:r>
        <w:rPr>
          <w:rFonts w:ascii="宋体" w:hAnsi="宋体" w:cs="宋体" w:eastAsia="宋体" w:hint="default"/>
          <w:sz w:val="21"/>
          <w:szCs w:val="21"/>
        </w:rPr>
        <w:t>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总额的比例</w:t>
        <w:tab/>
      </w:r>
      <w:r>
        <w:rPr>
          <w:rFonts w:ascii="宋体" w:hAnsi="宋体" w:cs="宋体" w:eastAsia="宋体" w:hint="default"/>
          <w:sz w:val="21"/>
          <w:szCs w:val="21"/>
        </w:rPr>
        <w:t>准备</w:t>
      </w:r>
    </w:p>
    <w:p>
      <w:pPr>
        <w:spacing w:before="28"/>
        <w:ind w:left="1554" w:right="2227" w:firstLine="0"/>
        <w:jc w:val="center"/>
        <w:rPr>
          <w:rFonts w:ascii="Arial" w:hAnsi="Arial" w:cs="Arial" w:eastAsia="Arial" w:hint="default"/>
          <w:sz w:val="21"/>
          <w:szCs w:val="21"/>
        </w:rPr>
      </w:pPr>
      <w:r>
        <w:rPr>
          <w:rFonts w:ascii="Arial"/>
          <w:sz w:val="21"/>
        </w:rPr>
        <w:t>(%)</w:t>
      </w:r>
    </w:p>
    <w:p>
      <w:pPr>
        <w:spacing w:after="0"/>
        <w:jc w:val="center"/>
        <w:rPr>
          <w:rFonts w:ascii="Arial" w:hAnsi="Arial" w:cs="Arial" w:eastAsia="Arial" w:hint="default"/>
          <w:sz w:val="21"/>
          <w:szCs w:val="21"/>
        </w:rPr>
        <w:sectPr>
          <w:type w:val="continuous"/>
          <w:pgSz w:w="11910" w:h="16850"/>
          <w:pgMar w:top="980" w:bottom="1100" w:left="980" w:right="0"/>
          <w:cols w:num="2" w:equalWidth="0">
            <w:col w:w="6738" w:space="40"/>
            <w:col w:w="4152"/>
          </w:cols>
        </w:sectPr>
      </w:pPr>
    </w:p>
    <w:p>
      <w:pPr>
        <w:spacing w:line="240" w:lineRule="auto" w:before="3"/>
        <w:rPr>
          <w:rFonts w:ascii="Arial" w:hAnsi="Arial" w:cs="Arial" w:eastAsia="Arial" w:hint="default"/>
          <w:sz w:val="15"/>
          <w:szCs w:val="15"/>
        </w:rPr>
      </w:pPr>
    </w:p>
    <w:p>
      <w:pPr>
        <w:spacing w:after="0" w:line="240" w:lineRule="auto"/>
        <w:rPr>
          <w:rFonts w:ascii="Arial" w:hAnsi="Arial" w:cs="Arial" w:eastAsia="Arial" w:hint="default"/>
          <w:sz w:val="15"/>
          <w:szCs w:val="15"/>
        </w:rPr>
        <w:sectPr>
          <w:type w:val="continuous"/>
          <w:pgSz w:w="11910" w:h="16850"/>
          <w:pgMar w:top="980" w:bottom="1100" w:left="980" w:right="0"/>
        </w:sectPr>
      </w:pPr>
    </w:p>
    <w:p>
      <w:pPr>
        <w:spacing w:before="36"/>
        <w:ind w:left="1038" w:right="-10" w:hanging="176"/>
        <w:jc w:val="left"/>
        <w:rPr>
          <w:rFonts w:ascii="宋体" w:hAnsi="宋体" w:cs="宋体" w:eastAsia="宋体" w:hint="default"/>
          <w:sz w:val="21"/>
          <w:szCs w:val="21"/>
        </w:rPr>
      </w:pPr>
      <w:r>
        <w:rPr>
          <w:rFonts w:ascii="宋体" w:hAnsi="宋体" w:cs="宋体" w:eastAsia="宋体" w:hint="default"/>
          <w:spacing w:val="-1"/>
          <w:sz w:val="21"/>
          <w:szCs w:val="21"/>
        </w:rPr>
        <w:t>银河国际购物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广场</w:t>
      </w:r>
    </w:p>
    <w:p>
      <w:pPr>
        <w:spacing w:before="36"/>
        <w:ind w:left="521" w:right="809" w:firstLine="0"/>
        <w:jc w:val="left"/>
        <w:rPr>
          <w:rFonts w:ascii="宋体" w:hAnsi="宋体" w:cs="宋体" w:eastAsia="宋体" w:hint="default"/>
          <w:sz w:val="21"/>
          <w:szCs w:val="21"/>
        </w:rPr>
      </w:pPr>
      <w:r>
        <w:rPr/>
        <w:br w:type="column"/>
      </w:r>
      <w:r>
        <w:rPr>
          <w:rFonts w:ascii="宋体" w:hAnsi="宋体" w:cs="宋体" w:eastAsia="宋体" w:hint="default"/>
          <w:sz w:val="21"/>
          <w:szCs w:val="21"/>
        </w:rPr>
        <w:t>苏宁电器集团</w:t>
      </w:r>
    </w:p>
    <w:p>
      <w:pPr>
        <w:tabs>
          <w:tab w:pos="2170" w:val="left" w:leader="none"/>
          <w:tab w:pos="2977" w:val="left" w:leader="none"/>
          <w:tab w:pos="3963" w:val="left" w:leader="none"/>
          <w:tab w:pos="4578" w:val="left" w:leader="none"/>
          <w:tab w:pos="4991" w:val="left" w:leader="none"/>
          <w:tab w:pos="5631" w:val="left" w:leader="none"/>
          <w:tab w:pos="6760" w:val="left" w:leader="none"/>
          <w:tab w:pos="7175" w:val="left" w:leader="none"/>
          <w:tab w:pos="7770" w:val="left" w:leader="none"/>
          <w:tab w:pos="7931" w:val="left" w:leader="none"/>
        </w:tabs>
        <w:spacing w:line="249" w:lineRule="auto" w:before="0"/>
        <w:ind w:left="2170" w:right="809" w:hanging="2036"/>
        <w:jc w:val="left"/>
        <w:rPr>
          <w:rFonts w:ascii="Arial" w:hAnsi="Arial" w:cs="Arial" w:eastAsia="Arial" w:hint="default"/>
          <w:sz w:val="21"/>
          <w:szCs w:val="21"/>
        </w:rPr>
      </w:pPr>
      <w:r>
        <w:rPr>
          <w:rFonts w:ascii="宋体" w:hAnsi="宋体" w:cs="宋体" w:eastAsia="宋体" w:hint="default"/>
          <w:spacing w:val="-3"/>
          <w:position w:val="1"/>
          <w:sz w:val="21"/>
          <w:szCs w:val="21"/>
        </w:rPr>
        <w:t>有限公司之子公司</w:t>
      </w:r>
      <w:r>
        <w:rPr>
          <w:rFonts w:ascii="Arial" w:hAnsi="Arial" w:cs="Arial" w:eastAsia="Arial" w:hint="default"/>
          <w:spacing w:val="-3"/>
          <w:sz w:val="21"/>
          <w:szCs w:val="21"/>
        </w:rPr>
      </w:r>
      <w:r>
        <w:rPr>
          <w:rFonts w:ascii="Arial" w:hAnsi="Arial" w:cs="Arial" w:eastAsia="Arial" w:hint="default"/>
          <w:spacing w:val="-3"/>
          <w:sz w:val="21"/>
          <w:szCs w:val="21"/>
          <w:u w:val="single" w:color="000000"/>
        </w:rPr>
        <w:t> </w:t>
        <w:tab/>
      </w:r>
      <w:r>
        <w:rPr>
          <w:rFonts w:ascii="Arial" w:hAnsi="Arial" w:cs="Arial" w:eastAsia="Arial" w:hint="default"/>
          <w:sz w:val="21"/>
          <w:szCs w:val="21"/>
          <w:u w:val="single" w:color="000000"/>
        </w:rPr>
        <w:t>194</w:t>
        <w:tab/>
      </w:r>
      <w:r>
        <w:rPr>
          <w:rFonts w:ascii="Arial" w:hAnsi="Arial" w:cs="Arial" w:eastAsia="Arial" w:hint="default"/>
          <w:spacing w:val="-1"/>
          <w:sz w:val="21"/>
          <w:szCs w:val="21"/>
          <w:u w:val="single" w:color="000000"/>
        </w:rPr>
        <w:t>0.01%</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 </w:t>
        <w:tab/>
      </w:r>
      <w:r>
        <w:rPr>
          <w:rFonts w:ascii="Arial" w:hAnsi="Arial" w:cs="Arial" w:eastAsia="Arial" w:hint="default"/>
          <w:sz w:val="21"/>
          <w:szCs w:val="21"/>
          <w:u w:val="single" w:color="000000"/>
        </w:rPr>
        <w:t>-</w:t>
      </w:r>
      <w:r>
        <w:rPr>
          <w:rFonts w:ascii="Arial" w:hAnsi="Arial" w:cs="Arial" w:eastAsia="Arial" w:hint="default"/>
          <w:sz w:val="21"/>
          <w:szCs w:val="21"/>
        </w:rPr>
        <w:tab/>
      </w:r>
      <w:r>
        <w:rPr>
          <w:rFonts w:ascii="Arial" w:hAnsi="Arial" w:cs="Arial" w:eastAsia="Arial" w:hint="default"/>
          <w:sz w:val="21"/>
          <w:szCs w:val="21"/>
          <w:u w:val="single" w:color="000000"/>
        </w:rPr>
        <w:t> </w:t>
        <w:tab/>
        <w:t>-</w:t>
        <w:tab/>
        <w:t>-</w:t>
      </w:r>
      <w:r>
        <w:rPr>
          <w:rFonts w:ascii="Arial" w:hAnsi="Arial" w:cs="Arial" w:eastAsia="Arial" w:hint="default"/>
          <w:sz w:val="21"/>
          <w:szCs w:val="21"/>
        </w:rPr>
        <w:tab/>
      </w:r>
      <w:r>
        <w:rPr>
          <w:rFonts w:ascii="Arial" w:hAnsi="Arial" w:cs="Arial" w:eastAsia="Arial" w:hint="default"/>
          <w:sz w:val="21"/>
          <w:szCs w:val="21"/>
          <w:u w:val="single" w:color="000000"/>
        </w:rPr>
        <w:t> </w:t>
        <w:tab/>
        <w:t>-</w:t>
        <w:tab/>
      </w:r>
      <w:r>
        <w:rPr>
          <w:rFonts w:ascii="Arial" w:hAnsi="Arial" w:cs="Arial" w:eastAsia="Arial" w:hint="default"/>
          <w:w w:val="29"/>
          <w:sz w:val="21"/>
          <w:szCs w:val="21"/>
          <w:u w:val="single" w:color="000000"/>
        </w:rPr>
        <w:t> </w:t>
      </w:r>
      <w:r>
        <w:rPr>
          <w:rFonts w:ascii="Arial" w:hAnsi="Arial" w:cs="Arial" w:eastAsia="Arial" w:hint="default"/>
          <w:sz w:val="21"/>
          <w:szCs w:val="21"/>
          <w:u w:val="single" w:color="000000"/>
        </w:rPr>
      </w:r>
      <w:r>
        <w:rPr>
          <w:rFonts w:ascii="Arial" w:hAnsi="Arial" w:cs="Arial" w:eastAsia="Arial" w:hint="default"/>
          <w:sz w:val="21"/>
          <w:szCs w:val="21"/>
        </w:rPr>
      </w:r>
      <w:r>
        <w:rPr>
          <w:rFonts w:ascii="Arial" w:hAnsi="Arial" w:cs="Arial" w:eastAsia="Arial" w:hint="default"/>
          <w:sz w:val="21"/>
          <w:szCs w:val="21"/>
        </w:rPr>
        <w:t> 194</w:t>
        <w:tab/>
      </w:r>
      <w:r>
        <w:rPr>
          <w:rFonts w:ascii="Arial" w:hAnsi="Arial" w:cs="Arial" w:eastAsia="Arial" w:hint="default"/>
          <w:spacing w:val="-1"/>
          <w:sz w:val="21"/>
          <w:szCs w:val="21"/>
        </w:rPr>
        <w:t>0.01%</w:t>
        <w:tab/>
        <w:tab/>
      </w:r>
      <w:r>
        <w:rPr>
          <w:rFonts w:ascii="Arial" w:hAnsi="Arial" w:cs="Arial" w:eastAsia="Arial" w:hint="default"/>
          <w:sz w:val="21"/>
          <w:szCs w:val="21"/>
        </w:rPr>
        <w:t>-</w:t>
        <w:tab/>
        <w:tab/>
        <w:t>-</w:t>
        <w:tab/>
        <w:t>-</w:t>
        <w:tab/>
        <w:tab/>
        <w:t>-</w:t>
      </w:r>
    </w:p>
    <w:p>
      <w:pPr>
        <w:spacing w:after="0" w:line="249" w:lineRule="auto"/>
        <w:jc w:val="left"/>
        <w:rPr>
          <w:rFonts w:ascii="Arial" w:hAnsi="Arial" w:cs="Arial" w:eastAsia="Arial" w:hint="default"/>
          <w:sz w:val="21"/>
          <w:szCs w:val="21"/>
        </w:rPr>
        <w:sectPr>
          <w:type w:val="continuous"/>
          <w:pgSz w:w="11910" w:h="16850"/>
          <w:pgMar w:top="980" w:bottom="1100" w:left="980" w:right="0"/>
          <w:cols w:num="2" w:equalWidth="0">
            <w:col w:w="2127" w:space="40"/>
            <w:col w:w="8763"/>
          </w:cols>
        </w:sectPr>
      </w:pPr>
    </w:p>
    <w:p>
      <w:pPr>
        <w:tabs>
          <w:tab w:pos="6115" w:val="left" w:leader="none"/>
          <w:tab w:pos="7143" w:val="left" w:leader="none"/>
          <w:tab w:pos="9327" w:val="left" w:leader="none"/>
        </w:tabs>
        <w:spacing w:line="28" w:lineRule="exact"/>
        <w:ind w:left="3957" w:right="0" w:firstLine="0"/>
        <w:rPr>
          <w:rFonts w:ascii="Arial" w:hAnsi="Arial" w:cs="Arial" w:eastAsia="Arial" w:hint="default"/>
          <w:sz w:val="2"/>
          <w:szCs w:val="2"/>
        </w:rPr>
      </w:pPr>
      <w:r>
        <w:rPr>
          <w:rFonts w:ascii="Arial"/>
          <w:position w:val="0"/>
          <w:sz w:val="2"/>
        </w:rPr>
        <w:pict>
          <v:group style="width:95.2pt;height:1.45pt;mso-position-horizontal-relative:char;mso-position-vertical-relative:line" coordorigin="0,0" coordsize="1904,29">
            <v:group style="position:absolute;left:14;top:14;width:824;height:2" coordorigin="14,14" coordsize="824,2">
              <v:shape style="position:absolute;left:14;top:14;width:824;height:2" coordorigin="14,14" coordsize="824,0" path="m14,14l838,14e" filled="false" stroked="true" strokeweight="1.44pt" strokecolor="#000000">
                <v:path arrowok="t"/>
              </v:shape>
            </v:group>
            <v:group style="position:absolute;left:838;top:14;width:29;height:2" coordorigin="838,14" coordsize="29,2">
              <v:shape style="position:absolute;left:838;top:14;width:29;height:2" coordorigin="838,14" coordsize="29,0" path="m838,14l866,14e" filled="false" stroked="true" strokeweight="1.44pt" strokecolor="#000000">
                <v:path arrowok="t"/>
              </v:shape>
            </v:group>
            <v:group style="position:absolute;left:866;top:14;width:1023;height:2" coordorigin="866,14" coordsize="1023,2">
              <v:shape style="position:absolute;left:866;top:14;width:1023;height:2" coordorigin="866,14" coordsize="1023,0" path="m866,14l1889,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41.05pt;height:1.45pt;mso-position-horizontal-relative:char;mso-position-vertical-relative:line" coordorigin="0,0" coordsize="821,29">
            <v:group style="position:absolute;left:14;top:14;width:792;height:2" coordorigin="14,14" coordsize="792,2">
              <v:shape style="position:absolute;left:14;top:14;width:792;height:2" coordorigin="14,14" coordsize="792,0" path="m14,14l806,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98.8pt;height:1.45pt;mso-position-horizontal-relative:char;mso-position-vertical-relative:line" coordorigin="0,0" coordsize="1976,29">
            <v:group style="position:absolute;left:14;top:14;width:817;height:2" coordorigin="14,14" coordsize="817,2">
              <v:shape style="position:absolute;left:14;top:14;width:817;height:2" coordorigin="14,14" coordsize="817,0" path="m14,14l831,14e" filled="false" stroked="true" strokeweight="1.44pt" strokecolor="#000000">
                <v:path arrowok="t"/>
              </v:shape>
            </v:group>
            <v:group style="position:absolute;left:831;top:14;width:29;height:2" coordorigin="831,14" coordsize="29,2">
              <v:shape style="position:absolute;left:831;top:14;width:29;height:2" coordorigin="831,14" coordsize="29,0" path="m831,14l860,14e" filled="false" stroked="true" strokeweight="1.44pt" strokecolor="#000000">
                <v:path arrowok="t"/>
              </v:shape>
            </v:group>
            <v:group style="position:absolute;left:860;top:14;width:1102;height:2" coordorigin="860,14" coordsize="1102,2">
              <v:shape style="position:absolute;left:860;top:14;width:1102;height:2" coordorigin="860,14" coordsize="1102,0" path="m860,14l1961,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41.05pt;height:1.45pt;mso-position-horizontal-relative:char;mso-position-vertical-relative:line" coordorigin="0,0" coordsize="821,29">
            <v:group style="position:absolute;left:14;top:14;width:764;height:2" coordorigin="14,14" coordsize="764,2">
              <v:shape style="position:absolute;left:14;top:14;width:764;height:2" coordorigin="14,14" coordsize="764,0" path="m14,14l778,14e" filled="false" stroked="true" strokeweight="1.44pt" strokecolor="#000000">
                <v:path arrowok="t"/>
              </v:shape>
            </v:group>
            <v:group style="position:absolute;left:778;top:14;width:29;height:2" coordorigin="778,14" coordsize="29,2">
              <v:shape style="position:absolute;left:778;top:14;width:29;height:2" coordorigin="778,14" coordsize="29,0" path="m778,14l806,14e" filled="false" stroked="true" strokeweight="1.44pt" strokecolor="#000000">
                <v:path arrowok="t"/>
              </v:shape>
            </v:group>
          </v:group>
        </w:pict>
      </w:r>
      <w:r>
        <w:rPr>
          <w:rFonts w:ascii="Arial"/>
          <w:position w:val="0"/>
          <w:sz w:val="2"/>
        </w:rPr>
      </w:r>
    </w:p>
    <w:p>
      <w:pPr>
        <w:spacing w:line="240" w:lineRule="auto" w:before="1"/>
        <w:rPr>
          <w:rFonts w:ascii="Arial" w:hAnsi="Arial" w:cs="Arial" w:eastAsia="Arial" w:hint="default"/>
          <w:sz w:val="18"/>
          <w:szCs w:val="18"/>
        </w:rPr>
      </w:pPr>
    </w:p>
    <w:p>
      <w:pPr>
        <w:pStyle w:val="BodyText"/>
        <w:tabs>
          <w:tab w:pos="856" w:val="left" w:leader="none"/>
        </w:tabs>
        <w:spacing w:line="240" w:lineRule="auto" w:before="31"/>
        <w:ind w:left="143" w:right="0"/>
        <w:jc w:val="left"/>
      </w:pPr>
      <w:r>
        <w:rPr>
          <w:rFonts w:ascii="Arial" w:hAnsi="Arial" w:cs="Arial" w:eastAsia="Arial" w:hint="default"/>
          <w:w w:val="95"/>
          <w:position w:val="2"/>
        </w:rPr>
        <w:t>(h)</w:t>
        <w:tab/>
      </w:r>
      <w:r>
        <w:rPr/>
        <w:t>应收账款中包括以下外币余额：</w:t>
      </w:r>
    </w:p>
    <w:p>
      <w:pPr>
        <w:spacing w:line="240" w:lineRule="auto" w:before="5"/>
        <w:rPr>
          <w:rFonts w:ascii="宋体" w:hAnsi="宋体" w:cs="宋体" w:eastAsia="宋体" w:hint="default"/>
          <w:sz w:val="21"/>
          <w:szCs w:val="21"/>
        </w:rPr>
      </w:pPr>
    </w:p>
    <w:p>
      <w:pPr>
        <w:tabs>
          <w:tab w:pos="5112" w:val="left" w:leader="none"/>
        </w:tabs>
        <w:spacing w:before="0"/>
        <w:ind w:left="1043" w:right="0" w:firstLine="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tabs>
          <w:tab w:pos="2668" w:val="left" w:leader="none"/>
          <w:tab w:pos="3592" w:val="left" w:leader="none"/>
          <w:tab w:pos="5184" w:val="left" w:leader="none"/>
          <w:tab w:pos="6778" w:val="left" w:leader="none"/>
          <w:tab w:pos="7625" w:val="left" w:leader="none"/>
        </w:tabs>
        <w:spacing w:before="15"/>
        <w:ind w:left="1139" w:right="0" w:firstLine="0"/>
        <w:jc w:val="center"/>
        <w:rPr>
          <w:rFonts w:ascii="宋体" w:hAnsi="宋体" w:cs="宋体" w:eastAsia="宋体" w:hint="default"/>
          <w:sz w:val="21"/>
          <w:szCs w:val="21"/>
        </w:rPr>
      </w:pPr>
      <w:r>
        <w:rPr/>
        <w:pict>
          <v:group style="position:absolute;margin-left:149.539993pt;margin-top:.993673pt;width:192.8pt;height:1.45pt;mso-position-horizontal-relative:page;mso-position-vertical-relative:paragraph;z-index:-1359400" coordorigin="2991,20" coordsize="3856,29">
            <v:group style="position:absolute;left:3005;top:34;width:1163;height:2" coordorigin="3005,34" coordsize="1163,2">
              <v:shape style="position:absolute;left:3005;top:34;width:1163;height:2" coordorigin="3005,34" coordsize="1163,0" path="m3005,34l4167,34e" filled="false" stroked="true" strokeweight="1.44pt" strokecolor="#000000">
                <v:path arrowok="t"/>
              </v:shape>
            </v:group>
            <v:group style="position:absolute;left:4167;top:34;width:29;height:2" coordorigin="4167,34" coordsize="29,2">
              <v:shape style="position:absolute;left:4167;top:34;width:29;height:2" coordorigin="4167,34" coordsize="29,0" path="m4167,34l4196,34e" filled="false" stroked="true" strokeweight="1.44pt" strokecolor="#000000">
                <v:path arrowok="t"/>
              </v:shape>
            </v:group>
            <v:group style="position:absolute;left:4196;top:34;width:228;height:2" coordorigin="4196,34" coordsize="228,2">
              <v:shape style="position:absolute;left:4196;top:34;width:228;height:2" coordorigin="4196,34" coordsize="228,0" path="m4196,34l4424,34e" filled="false" stroked="true" strokeweight="1.44pt" strokecolor="#000000">
                <v:path arrowok="t"/>
              </v:shape>
            </v:group>
            <v:group style="position:absolute;left:4424;top:34;width:29;height:2" coordorigin="4424,34" coordsize="29,2">
              <v:shape style="position:absolute;left:4424;top:34;width:29;height:2" coordorigin="4424,34" coordsize="29,0" path="m4424,34l4453,34e" filled="false" stroked="true" strokeweight="1.44pt" strokecolor="#000000">
                <v:path arrowok="t"/>
              </v:shape>
            </v:group>
            <v:group style="position:absolute;left:4453;top:34;width:824;height:2" coordorigin="4453,34" coordsize="824,2">
              <v:shape style="position:absolute;left:4453;top:34;width:824;height:2" coordorigin="4453,34" coordsize="824,0" path="m4453,34l5276,34e" filled="false" stroked="true" strokeweight="1.44pt" strokecolor="#000000">
                <v:path arrowok="t"/>
              </v:shape>
            </v:group>
            <v:group style="position:absolute;left:5276;top:34;width:29;height:2" coordorigin="5276,34" coordsize="29,2">
              <v:shape style="position:absolute;left:5276;top:34;width:29;height:2" coordorigin="5276,34" coordsize="29,0" path="m5276,34l5305,34e" filled="false" stroked="true" strokeweight="1.44pt" strokecolor="#000000">
                <v:path arrowok="t"/>
              </v:shape>
            </v:group>
            <v:group style="position:absolute;left:5305;top:34;width:252;height:2" coordorigin="5305,34" coordsize="252,2">
              <v:shape style="position:absolute;left:5305;top:34;width:252;height:2" coordorigin="5305,34" coordsize="252,0" path="m5305,34l5557,34e" filled="false" stroked="true" strokeweight="1.44pt" strokecolor="#000000">
                <v:path arrowok="t"/>
              </v:shape>
            </v:group>
            <v:group style="position:absolute;left:5557;top:34;width:29;height:2" coordorigin="5557,34" coordsize="29,2">
              <v:shape style="position:absolute;left:5557;top:34;width:29;height:2" coordorigin="5557,34" coordsize="29,0" path="m5557,34l5586,34e" filled="false" stroked="true" strokeweight="1.44pt" strokecolor="#000000">
                <v:path arrowok="t"/>
              </v:shape>
            </v:group>
            <v:group style="position:absolute;left:5586;top:34;width:1247;height:2" coordorigin="5586,34" coordsize="1247,2">
              <v:shape style="position:absolute;left:5586;top:34;width:1247;height:2" coordorigin="5586,34" coordsize="1247,0" path="m5586,34l6832,34e" filled="false" stroked="true" strokeweight="1.44pt" strokecolor="#000000">
                <v:path arrowok="t"/>
              </v:shape>
            </v:group>
            <w10:wrap type="none"/>
          </v:group>
        </w:pict>
      </w:r>
      <w:r>
        <w:rPr/>
        <w:pict>
          <v:group style="position:absolute;margin-left:355.51001pt;margin-top:.993673pt;width:188.45pt;height:1.45pt;mso-position-horizontal-relative:page;mso-position-vertical-relative:paragraph;z-index:-1359376" coordorigin="7110,20" coordsize="3769,29">
            <v:group style="position:absolute;left:7125;top:34;width:1088;height:2" coordorigin="7125,34" coordsize="1088,2">
              <v:shape style="position:absolute;left:7125;top:34;width:1088;height:2" coordorigin="7125,34" coordsize="1088,0" path="m7125,34l8212,34e" filled="false" stroked="true" strokeweight="1.44pt" strokecolor="#000000">
                <v:path arrowok="t"/>
              </v:shape>
            </v:group>
            <v:group style="position:absolute;left:8212;top:34;width:29;height:2" coordorigin="8212,34" coordsize="29,2">
              <v:shape style="position:absolute;left:8212;top:34;width:29;height:2" coordorigin="8212,34" coordsize="29,0" path="m8212,34l8241,34e" filled="false" stroked="true" strokeweight="1.44pt" strokecolor="#000000">
                <v:path arrowok="t"/>
              </v:shape>
            </v:group>
            <v:group style="position:absolute;left:8241;top:34;width:209;height:2" coordorigin="8241,34" coordsize="209,2">
              <v:shape style="position:absolute;left:8241;top:34;width:209;height:2" coordorigin="8241,34" coordsize="209,0" path="m8241,34l8449,34e" filled="false" stroked="true" strokeweight="1.44pt" strokecolor="#000000">
                <v:path arrowok="t"/>
              </v:shape>
            </v:group>
            <v:group style="position:absolute;left:8449;top:34;width:29;height:2" coordorigin="8449,34" coordsize="29,2">
              <v:shape style="position:absolute;left:8449;top:34;width:29;height:2" coordorigin="8449,34" coordsize="29,0" path="m8449,34l8478,34e" filled="false" stroked="true" strokeweight="1.44pt" strokecolor="#000000">
                <v:path arrowok="t"/>
              </v:shape>
            </v:group>
            <v:group style="position:absolute;left:8478;top:34;width:908;height:2" coordorigin="8478,34" coordsize="908,2">
              <v:shape style="position:absolute;left:8478;top:34;width:908;height:2" coordorigin="8478,34" coordsize="908,0" path="m8478,34l9386,34e" filled="false" stroked="true" strokeweight="1.44pt" strokecolor="#000000">
                <v:path arrowok="t"/>
              </v:shape>
            </v:group>
            <v:group style="position:absolute;left:9386;top:34;width:29;height:2" coordorigin="9386,34" coordsize="29,2">
              <v:shape style="position:absolute;left:9386;top:34;width:29;height:2" coordorigin="9386,34" coordsize="29,0" path="m9386,34l9415,34e" filled="false" stroked="true" strokeweight="1.44pt" strokecolor="#000000">
                <v:path arrowok="t"/>
              </v:shape>
            </v:group>
            <v:group style="position:absolute;left:9415;top:34;width:209;height:2" coordorigin="9415,34" coordsize="209,2">
              <v:shape style="position:absolute;left:9415;top:34;width:209;height:2" coordorigin="9415,34" coordsize="209,0" path="m9415,34l9624,34e" filled="false" stroked="true" strokeweight="1.44pt" strokecolor="#000000">
                <v:path arrowok="t"/>
              </v:shape>
            </v:group>
            <v:group style="position:absolute;left:9624;top:34;width:29;height:2" coordorigin="9624,34" coordsize="29,2">
              <v:shape style="position:absolute;left:9624;top:34;width:29;height:2" coordorigin="9624,34" coordsize="29,0" path="m9624,34l9652,34e" filled="false" stroked="true" strokeweight="1.44pt" strokecolor="#000000">
                <v:path arrowok="t"/>
              </v:shape>
            </v:group>
            <v:group style="position:absolute;left:9652;top:34;width:1212;height:2" coordorigin="9652,34" coordsize="1212,2">
              <v:shape style="position:absolute;left:9652;top:34;width:1212;height:2" coordorigin="9652,34" coordsize="1212,0" path="m9652,34l10864,34e" filled="false" stroked="true" strokeweight="1.44pt" strokecolor="#000000">
                <v:path arrowok="t"/>
              </v:shape>
            </v:group>
            <w10:wrap type="none"/>
          </v:group>
        </w:pict>
      </w: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tab/>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p>
      <w:pPr>
        <w:spacing w:line="240" w:lineRule="auto" w:before="9"/>
        <w:rPr>
          <w:rFonts w:ascii="宋体" w:hAnsi="宋体" w:cs="宋体" w:eastAsia="宋体" w:hint="default"/>
          <w:sz w:val="15"/>
          <w:szCs w:val="15"/>
        </w:rPr>
      </w:pPr>
    </w:p>
    <w:p>
      <w:pPr>
        <w:tabs>
          <w:tab w:pos="2589" w:val="left" w:leader="none"/>
          <w:tab w:pos="3602" w:val="left" w:leader="none"/>
          <w:tab w:pos="5234" w:val="left" w:leader="none"/>
          <w:tab w:pos="6550" w:val="left" w:leader="none"/>
          <w:tab w:pos="7678" w:val="left" w:leader="none"/>
          <w:tab w:pos="9253" w:val="left" w:leader="none"/>
        </w:tabs>
        <w:spacing w:line="287" w:lineRule="exact" w:before="38"/>
        <w:ind w:left="964" w:right="0" w:firstLine="0"/>
        <w:jc w:val="left"/>
        <w:rPr>
          <w:rFonts w:ascii="Arial" w:hAnsi="Arial" w:cs="Arial" w:eastAsia="Arial" w:hint="default"/>
          <w:sz w:val="21"/>
          <w:szCs w:val="21"/>
        </w:rPr>
      </w:pPr>
      <w:r>
        <w:rPr>
          <w:rFonts w:ascii="宋体" w:hAnsi="宋体" w:cs="宋体" w:eastAsia="宋体" w:hint="default"/>
          <w:position w:val="1"/>
          <w:sz w:val="21"/>
          <w:szCs w:val="21"/>
        </w:rPr>
        <w:t>港币</w:t>
        <w:tab/>
      </w:r>
      <w:r>
        <w:rPr>
          <w:rFonts w:ascii="Arial" w:hAnsi="Arial" w:cs="Arial" w:eastAsia="Arial" w:hint="default"/>
          <w:spacing w:val="-1"/>
          <w:sz w:val="21"/>
          <w:szCs w:val="21"/>
        </w:rPr>
        <w:t>3,139</w:t>
        <w:tab/>
        <w:t>0.8107</w:t>
        <w:tab/>
        <w:t>2,545</w:t>
        <w:tab/>
        <w:t>7,127</w:t>
        <w:tab/>
        <w:t>0.8509</w:t>
        <w:tab/>
        <w:t>6,064</w:t>
      </w:r>
    </w:p>
    <w:p>
      <w:pPr>
        <w:tabs>
          <w:tab w:pos="2344" w:val="left" w:leader="none"/>
          <w:tab w:pos="3636" w:val="left" w:leader="none"/>
          <w:tab w:pos="4576" w:val="left" w:leader="none"/>
          <w:tab w:pos="5116" w:val="left" w:leader="none"/>
          <w:tab w:pos="7006" w:val="left" w:leader="none"/>
          <w:tab w:pos="8252" w:val="left" w:leader="none"/>
          <w:tab w:pos="8643" w:val="left" w:leader="none"/>
          <w:tab w:pos="9937" w:val="left" w:leader="none"/>
        </w:tabs>
        <w:spacing w:line="287" w:lineRule="exact" w:before="0"/>
        <w:ind w:left="964" w:right="0" w:firstLine="0"/>
        <w:jc w:val="left"/>
        <w:rPr>
          <w:rFonts w:ascii="Arial" w:hAnsi="Arial" w:cs="Arial" w:eastAsia="Arial" w:hint="default"/>
          <w:sz w:val="21"/>
          <w:szCs w:val="21"/>
        </w:rPr>
      </w:pPr>
      <w:r>
        <w:rPr>
          <w:rFonts w:ascii="宋体" w:hAnsi="宋体" w:cs="宋体" w:eastAsia="宋体" w:hint="default"/>
          <w:position w:val="1"/>
          <w:sz w:val="21"/>
          <w:szCs w:val="21"/>
        </w:rPr>
        <w:t>日元</w:t>
        <w:tab/>
      </w:r>
      <w:r>
        <w:rPr>
          <w:rFonts w:ascii="Arial" w:hAnsi="Arial" w:cs="Arial" w:eastAsia="Arial" w:hint="default"/>
          <w:spacing w:val="-1"/>
          <w:sz w:val="21"/>
          <w:szCs w:val="21"/>
        </w:rPr>
        <w:t>469,186</w:t>
        <w:tab/>
      </w:r>
      <w:r>
        <w:rPr>
          <w:rFonts w:ascii="Arial" w:hAnsi="Arial" w:cs="Arial" w:eastAsia="Arial" w:hint="default"/>
          <w:spacing w:val="-4"/>
          <w:sz w:val="21"/>
          <w:szCs w:val="21"/>
        </w:rPr>
        <w:t>0.0811</w:t>
        <w:tab/>
      </w:r>
      <w:r>
        <w:rPr>
          <w:rFonts w:ascii="Arial" w:hAnsi="Arial" w:cs="Arial" w:eastAsia="Arial" w:hint="default"/>
          <w:spacing w:val="-4"/>
          <w:sz w:val="21"/>
          <w:szCs w:val="21"/>
          <w:u w:val="single" w:color="000000"/>
        </w:rPr>
        <w:t> </w:t>
        <w:tab/>
      </w:r>
      <w:r>
        <w:rPr>
          <w:rFonts w:ascii="Arial" w:hAnsi="Arial" w:cs="Arial" w:eastAsia="Arial" w:hint="default"/>
          <w:spacing w:val="-1"/>
          <w:sz w:val="21"/>
          <w:szCs w:val="21"/>
          <w:u w:val="single" w:color="000000"/>
        </w:rPr>
        <w:t>38,051</w:t>
      </w:r>
      <w:r>
        <w:rPr>
          <w:rFonts w:ascii="Arial" w:hAnsi="Arial" w:cs="Arial" w:eastAsia="Arial" w:hint="default"/>
          <w:spacing w:val="-1"/>
          <w:sz w:val="21"/>
          <w:szCs w:val="21"/>
        </w:rPr>
        <w:tab/>
      </w:r>
      <w:r>
        <w:rPr>
          <w:rFonts w:ascii="Arial" w:hAnsi="Arial" w:cs="Arial" w:eastAsia="Arial" w:hint="default"/>
          <w:sz w:val="21"/>
          <w:szCs w:val="21"/>
        </w:rPr>
        <w:t>-</w:t>
        <w:tab/>
        <w:t>-</w:t>
        <w:tab/>
      </w:r>
      <w:r>
        <w:rPr>
          <w:rFonts w:ascii="Arial" w:hAnsi="Arial" w:cs="Arial" w:eastAsia="Arial" w:hint="default"/>
          <w:w w:val="100"/>
          <w:sz w:val="21"/>
          <w:szCs w:val="21"/>
        </w:rPr>
      </w:r>
      <w:r>
        <w:rPr>
          <w:rFonts w:ascii="Arial" w:hAnsi="Arial" w:cs="Arial" w:eastAsia="Arial" w:hint="default"/>
          <w:w w:val="100"/>
          <w:sz w:val="21"/>
          <w:szCs w:val="21"/>
          <w:u w:val="single" w:color="000000"/>
        </w:rPr>
        <w:t> </w:t>
      </w:r>
      <w:r>
        <w:rPr>
          <w:rFonts w:ascii="Arial" w:hAnsi="Arial" w:cs="Arial" w:eastAsia="Arial" w:hint="default"/>
          <w:sz w:val="21"/>
          <w:szCs w:val="21"/>
          <w:u w:val="single" w:color="000000"/>
        </w:rPr>
        <w:tab/>
      </w:r>
      <w:r>
        <w:rPr>
          <w:rFonts w:ascii="Arial" w:hAnsi="Arial" w:cs="Arial" w:eastAsia="Arial" w:hint="default"/>
          <w:sz w:val="21"/>
          <w:szCs w:val="21"/>
        </w:rPr>
      </w:r>
    </w:p>
    <w:p>
      <w:pPr>
        <w:tabs>
          <w:tab w:pos="9253" w:val="left" w:leader="none"/>
        </w:tabs>
        <w:spacing w:before="8"/>
        <w:ind w:left="5117" w:right="0" w:firstLine="0"/>
        <w:jc w:val="left"/>
        <w:rPr>
          <w:rFonts w:ascii="Arial" w:hAnsi="Arial" w:cs="Arial" w:eastAsia="Arial" w:hint="default"/>
          <w:sz w:val="21"/>
          <w:szCs w:val="21"/>
        </w:rPr>
      </w:pPr>
      <w:r>
        <w:rPr>
          <w:rFonts w:ascii="Arial"/>
          <w:spacing w:val="-1"/>
          <w:sz w:val="21"/>
        </w:rPr>
        <w:t>40,596</w:t>
        <w:tab/>
        <w:t>6,064</w:t>
      </w:r>
    </w:p>
    <w:p>
      <w:pPr>
        <w:tabs>
          <w:tab w:pos="8614" w:val="left" w:leader="none"/>
        </w:tabs>
        <w:spacing w:line="28" w:lineRule="exact"/>
        <w:ind w:left="4548" w:right="0" w:firstLine="0"/>
        <w:rPr>
          <w:rFonts w:ascii="Arial" w:hAnsi="Arial" w:cs="Arial" w:eastAsia="Arial" w:hint="default"/>
          <w:sz w:val="2"/>
          <w:szCs w:val="2"/>
        </w:rPr>
      </w:pPr>
      <w:r>
        <w:rPr>
          <w:rFonts w:ascii="Arial"/>
          <w:position w:val="0"/>
          <w:sz w:val="2"/>
        </w:rPr>
        <w:pict>
          <v:group style="width:65.95pt;height:1.45pt;mso-position-horizontal-relative:char;mso-position-vertical-relative:line" coordorigin="0,0" coordsize="1319,29">
            <v:group style="position:absolute;left:14;top:14;width:1290;height:2" coordorigin="14,14" coordsize="1290,2">
              <v:shape style="position:absolute;left:14;top:14;width:1290;height:2" coordorigin="14,14" coordsize="1290,0" path="m14,14l1304,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64.2pt;height:1.45pt;mso-position-horizontal-relative:char;mso-position-vertical-relative:line" coordorigin="0,0" coordsize="1284,29">
            <v:group style="position:absolute;left:14;top:14;width:1256;height:2" coordorigin="14,14" coordsize="1256,2">
              <v:shape style="position:absolute;left:14;top:14;width:1256;height:2" coordorigin="14,14" coordsize="1256,0" path="m14,14l1270,14e" filled="false" stroked="true" strokeweight="1.44pt" strokecolor="#000000">
                <v:path arrowok="t"/>
              </v:shape>
            </v:group>
          </v:group>
        </w:pict>
      </w:r>
      <w:r>
        <w:rPr>
          <w:rFonts w:ascii="Arial"/>
          <w:position w:val="0"/>
          <w:sz w:val="2"/>
        </w:rPr>
      </w:r>
    </w:p>
    <w:p>
      <w:pPr>
        <w:spacing w:line="240" w:lineRule="auto" w:before="7"/>
        <w:rPr>
          <w:rFonts w:ascii="Arial" w:hAnsi="Arial" w:cs="Arial" w:eastAsia="Arial" w:hint="default"/>
          <w:sz w:val="18"/>
          <w:szCs w:val="18"/>
        </w:rPr>
      </w:pPr>
    </w:p>
    <w:p>
      <w:pPr>
        <w:tabs>
          <w:tab w:pos="839" w:val="left" w:leader="none"/>
        </w:tabs>
        <w:spacing w:before="31"/>
        <w:ind w:left="14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其他应收款和长期应收款</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844" w:val="left" w:leader="none"/>
        </w:tabs>
        <w:spacing w:line="240" w:lineRule="auto" w:before="26"/>
        <w:ind w:left="4805" w:right="0"/>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7"/>
        <w:rPr>
          <w:rFonts w:ascii="宋体" w:hAnsi="宋体" w:cs="宋体" w:eastAsia="宋体" w:hint="default"/>
          <w:sz w:val="19"/>
          <w:szCs w:val="19"/>
        </w:rPr>
      </w:pPr>
    </w:p>
    <w:p>
      <w:pPr>
        <w:pStyle w:val="BodyText"/>
        <w:tabs>
          <w:tab w:pos="5957" w:val="left" w:leader="none"/>
          <w:tab w:pos="9034" w:val="left" w:leader="none"/>
        </w:tabs>
        <w:spacing w:line="332" w:lineRule="exact" w:before="0"/>
        <w:ind w:left="856" w:right="0"/>
        <w:jc w:val="left"/>
        <w:rPr>
          <w:rFonts w:ascii="Arial" w:hAnsi="Arial" w:cs="Arial" w:eastAsia="Arial" w:hint="default"/>
        </w:rPr>
      </w:pPr>
      <w:r>
        <w:rPr>
          <w:position w:val="2"/>
        </w:rPr>
        <w:t>押金及保证金</w:t>
        <w:tab/>
      </w:r>
      <w:r>
        <w:rPr>
          <w:rFonts w:ascii="Arial" w:hAnsi="Arial" w:cs="Arial" w:eastAsia="Arial" w:hint="default"/>
          <w:spacing w:val="-1"/>
        </w:rPr>
        <w:t>545,497</w:t>
        <w:tab/>
        <w:t>289,274</w:t>
      </w:r>
    </w:p>
    <w:p>
      <w:pPr>
        <w:pStyle w:val="BodyText"/>
        <w:tabs>
          <w:tab w:pos="6086" w:val="left" w:leader="none"/>
          <w:tab w:pos="9166" w:val="left" w:leader="none"/>
        </w:tabs>
        <w:spacing w:line="312" w:lineRule="exact" w:before="0"/>
        <w:ind w:left="856" w:right="0"/>
        <w:jc w:val="left"/>
        <w:rPr>
          <w:rFonts w:ascii="Arial" w:hAnsi="Arial" w:cs="Arial" w:eastAsia="Arial" w:hint="default"/>
        </w:rPr>
      </w:pPr>
      <w:r>
        <w:rPr>
          <w:position w:val="2"/>
        </w:rPr>
        <w:t>员工借款</w:t>
        <w:tab/>
      </w:r>
      <w:r>
        <w:rPr>
          <w:rFonts w:ascii="Arial" w:hAnsi="Arial" w:cs="Arial" w:eastAsia="Arial" w:hint="default"/>
          <w:spacing w:val="-1"/>
        </w:rPr>
        <w:t>25,948</w:t>
        <w:tab/>
        <w:t>18,441</w:t>
      </w:r>
    </w:p>
    <w:p>
      <w:pPr>
        <w:pStyle w:val="BodyText"/>
        <w:tabs>
          <w:tab w:pos="6086" w:val="left" w:leader="none"/>
          <w:tab w:pos="9166" w:val="left" w:leader="none"/>
        </w:tabs>
        <w:spacing w:line="312" w:lineRule="exact" w:before="0"/>
        <w:ind w:left="856" w:right="0"/>
        <w:jc w:val="left"/>
        <w:rPr>
          <w:rFonts w:ascii="Arial" w:hAnsi="Arial" w:cs="Arial" w:eastAsia="Arial" w:hint="default"/>
        </w:rPr>
      </w:pPr>
      <w:r>
        <w:rPr>
          <w:position w:val="2"/>
        </w:rPr>
        <w:t>代垫水电费</w:t>
        <w:tab/>
      </w:r>
      <w:r>
        <w:rPr>
          <w:rFonts w:ascii="Arial" w:hAnsi="Arial" w:cs="Arial" w:eastAsia="Arial" w:hint="default"/>
          <w:spacing w:val="-1"/>
        </w:rPr>
        <w:t>84,835</w:t>
        <w:tab/>
        <w:t>35,684</w:t>
      </w:r>
    </w:p>
    <w:p>
      <w:pPr>
        <w:pStyle w:val="BodyText"/>
        <w:tabs>
          <w:tab w:pos="4572" w:val="left" w:leader="none"/>
          <w:tab w:pos="5957" w:val="left" w:leader="none"/>
          <w:tab w:pos="7692" w:val="left" w:leader="none"/>
          <w:tab w:pos="9034" w:val="left" w:leader="none"/>
          <w:tab w:pos="10104" w:val="left" w:leader="none"/>
        </w:tabs>
        <w:spacing w:line="332" w:lineRule="exact" w:before="0"/>
        <w:ind w:left="856" w:right="0"/>
        <w:jc w:val="left"/>
        <w:rPr>
          <w:rFonts w:ascii="Arial" w:hAnsi="Arial" w:cs="Arial" w:eastAsia="Arial" w:hint="default"/>
        </w:rPr>
      </w:pPr>
      <w:r>
        <w:rPr>
          <w:position w:val="2"/>
        </w:rPr>
        <w:t>其他</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236,699</w:t>
      </w:r>
      <w:r>
        <w:rPr>
          <w:rFonts w:ascii="Arial" w:hAnsi="Arial" w:cs="Arial" w:eastAsia="Arial" w:hint="default"/>
          <w:spacing w:val="-1"/>
        </w:rPr>
        <w:tab/>
      </w:r>
      <w:r>
        <w:rPr>
          <w:rFonts w:ascii="Arial" w:hAnsi="Arial" w:cs="Arial" w:eastAsia="Arial" w:hint="default"/>
          <w:spacing w:val="-1"/>
          <w:u w:val="single" w:color="000000"/>
        </w:rPr>
        <w:t> </w:t>
        <w:tab/>
        <w:t>783,412</w:t>
        <w:tab/>
      </w:r>
      <w:r>
        <w:rPr>
          <w:rFonts w:ascii="Arial" w:hAnsi="Arial" w:cs="Arial" w:eastAsia="Arial" w:hint="default"/>
          <w:spacing w:val="-1"/>
        </w:rPr>
      </w:r>
    </w:p>
    <w:p>
      <w:pPr>
        <w:pStyle w:val="BodyText"/>
        <w:tabs>
          <w:tab w:pos="8852" w:val="left" w:leader="none"/>
        </w:tabs>
        <w:spacing w:line="240" w:lineRule="auto" w:before="9"/>
        <w:ind w:left="5955" w:right="0"/>
        <w:jc w:val="left"/>
        <w:rPr>
          <w:rFonts w:ascii="Arial" w:hAnsi="Arial" w:cs="Arial" w:eastAsia="Arial" w:hint="default"/>
        </w:rPr>
      </w:pPr>
      <w:r>
        <w:rPr>
          <w:rFonts w:ascii="Arial"/>
          <w:spacing w:val="-1"/>
        </w:rPr>
        <w:t>892,979</w:t>
        <w:tab/>
      </w:r>
      <w:r>
        <w:rPr>
          <w:rFonts w:ascii="Arial"/>
          <w:spacing w:val="-3"/>
        </w:rPr>
        <w:t>1,126,811</w:t>
      </w:r>
    </w:p>
    <w:p>
      <w:pPr>
        <w:spacing w:line="240" w:lineRule="auto" w:before="6"/>
        <w:rPr>
          <w:rFonts w:ascii="Arial" w:hAnsi="Arial" w:cs="Arial" w:eastAsia="Arial" w:hint="default"/>
          <w:sz w:val="20"/>
          <w:szCs w:val="20"/>
        </w:rPr>
      </w:pPr>
    </w:p>
    <w:tbl>
      <w:tblPr>
        <w:tblW w:w="0" w:type="auto"/>
        <w:jc w:val="left"/>
        <w:tblInd w:w="821" w:type="dxa"/>
        <w:tblLayout w:type="fixed"/>
        <w:tblCellMar>
          <w:top w:w="0" w:type="dxa"/>
          <w:left w:w="0" w:type="dxa"/>
          <w:bottom w:w="0" w:type="dxa"/>
          <w:right w:w="0" w:type="dxa"/>
        </w:tblCellMar>
        <w:tblLook w:val="01E0"/>
      </w:tblPr>
      <w:tblGrid>
        <w:gridCol w:w="3736"/>
        <w:gridCol w:w="2424"/>
        <w:gridCol w:w="696"/>
        <w:gridCol w:w="2462"/>
      </w:tblGrid>
      <w:tr>
        <w:trPr>
          <w:trHeight w:val="394"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24" w:type="dxa"/>
            <w:tcBorders>
              <w:top w:val="nil" w:sz="6" w:space="0" w:color="auto"/>
              <w:left w:val="nil" w:sz="6" w:space="0" w:color="auto"/>
              <w:bottom w:val="nil" w:sz="6" w:space="0" w:color="auto"/>
              <w:right w:val="nil" w:sz="6" w:space="0" w:color="auto"/>
            </w:tcBorders>
          </w:tcPr>
          <w:p>
            <w:pPr>
              <w:pStyle w:val="TableParagraph"/>
              <w:tabs>
                <w:tab w:pos="1435" w:val="left" w:leader="none"/>
                <w:tab w:pos="2409" w:val="left" w:leader="none"/>
              </w:tabs>
              <w:spacing w:line="240" w:lineRule="auto" w:before="100"/>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(34,040)</w:t>
              <w:tab/>
            </w:r>
            <w:r>
              <w:rPr>
                <w:rFonts w:ascii="Arial"/>
                <w:spacing w:val="-1"/>
                <w:sz w:val="24"/>
              </w:rPr>
            </w: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tabs>
                <w:tab w:pos="1406" w:val="left" w:leader="none"/>
                <w:tab w:pos="2426" w:val="left" w:leader="none"/>
              </w:tabs>
              <w:spacing w:line="240" w:lineRule="auto" w:before="100"/>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(20,306)</w:t>
              <w:tab/>
            </w:r>
            <w:r>
              <w:rPr>
                <w:rFonts w:ascii="Arial"/>
                <w:sz w:val="24"/>
              </w:rPr>
            </w:r>
          </w:p>
        </w:tc>
      </w:tr>
      <w:tr>
        <w:trPr>
          <w:trHeight w:val="426" w:hRule="exact"/>
        </w:trPr>
        <w:tc>
          <w:tcPr>
            <w:tcW w:w="3736"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nil" w:sz="6" w:space="0" w:color="auto"/>
              <w:right w:val="nil" w:sz="6" w:space="0" w:color="auto"/>
            </w:tcBorders>
          </w:tcPr>
          <w:p>
            <w:pPr>
              <w:pStyle w:val="TableParagraph"/>
              <w:tabs>
                <w:tab w:pos="1385" w:val="left" w:leader="none"/>
                <w:tab w:pos="2409" w:val="left" w:leader="none"/>
              </w:tabs>
              <w:spacing w:line="268" w:lineRule="exact"/>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858,939</w:t>
              <w:tab/>
            </w:r>
            <w:r>
              <w:rPr>
                <w:rFonts w:ascii="Arial"/>
                <w:spacing w:val="-1"/>
                <w:sz w:val="24"/>
              </w:rPr>
            </w: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tabs>
                <w:tab w:pos="1154" w:val="left" w:leader="none"/>
                <w:tab w:pos="2426" w:val="left" w:leader="none"/>
              </w:tabs>
              <w:spacing w:line="268" w:lineRule="exact"/>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1,106,505</w:t>
              <w:tab/>
            </w:r>
            <w:r>
              <w:rPr>
                <w:rFonts w:ascii="Arial"/>
                <w:sz w:val="24"/>
              </w:rPr>
            </w:r>
          </w:p>
        </w:tc>
      </w:tr>
      <w:tr>
        <w:trPr>
          <w:trHeight w:val="439"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减：长期应收款</w:t>
            </w:r>
          </w:p>
        </w:tc>
        <w:tc>
          <w:tcPr>
            <w:tcW w:w="2424"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
        </w:tc>
      </w:tr>
      <w:tr>
        <w:trPr>
          <w:trHeight w:val="327"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76" w:lineRule="exact"/>
              <w:ind w:left="514" w:right="0"/>
              <w:jc w:val="left"/>
              <w:rPr>
                <w:rFonts w:ascii="宋体" w:hAnsi="宋体" w:cs="宋体" w:eastAsia="宋体" w:hint="default"/>
                <w:sz w:val="24"/>
                <w:szCs w:val="24"/>
              </w:rPr>
            </w:pPr>
            <w:r>
              <w:rPr>
                <w:rFonts w:ascii="宋体" w:hAnsi="宋体" w:cs="宋体" w:eastAsia="宋体" w:hint="default"/>
                <w:sz w:val="24"/>
                <w:szCs w:val="24"/>
              </w:rPr>
              <w:t>一年以上到期的租赁保证金</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24"/>
                <w:szCs w:val="24"/>
              </w:rPr>
            </w:pPr>
            <w:r>
              <w:rPr>
                <w:rFonts w:ascii="Arial"/>
                <w:spacing w:val="-1"/>
                <w:sz w:val="24"/>
              </w:rPr>
              <w:t>(442,191)</w:t>
            </w: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72" w:right="0"/>
              <w:jc w:val="left"/>
              <w:rPr>
                <w:rFonts w:ascii="Arial" w:hAnsi="Arial" w:cs="Arial" w:eastAsia="Arial" w:hint="default"/>
                <w:sz w:val="24"/>
                <w:szCs w:val="24"/>
              </w:rPr>
            </w:pPr>
            <w:r>
              <w:rPr>
                <w:rFonts w:ascii="Arial"/>
                <w:sz w:val="24"/>
              </w:rPr>
              <w:t>(130,768)</w:t>
            </w:r>
          </w:p>
        </w:tc>
      </w:tr>
      <w:tr>
        <w:trPr>
          <w:trHeight w:val="314" w:hRule="exact"/>
        </w:trPr>
        <w:tc>
          <w:tcPr>
            <w:tcW w:w="3736" w:type="dxa"/>
            <w:tcBorders>
              <w:top w:val="nil" w:sz="6" w:space="0" w:color="auto"/>
              <w:left w:val="nil" w:sz="6" w:space="0" w:color="auto"/>
              <w:bottom w:val="nil" w:sz="6" w:space="0" w:color="auto"/>
              <w:right w:val="nil" w:sz="6" w:space="0" w:color="auto"/>
            </w:tcBorders>
          </w:tcPr>
          <w:p>
            <w:pPr>
              <w:pStyle w:val="TableParagraph"/>
              <w:spacing w:line="261" w:lineRule="exact"/>
              <w:ind w:left="514" w:right="0"/>
              <w:jc w:val="left"/>
              <w:rPr>
                <w:rFonts w:ascii="宋体" w:hAnsi="宋体" w:cs="宋体" w:eastAsia="宋体" w:hint="default"/>
                <w:sz w:val="24"/>
                <w:szCs w:val="24"/>
              </w:rPr>
            </w:pPr>
            <w:r>
              <w:rPr>
                <w:rFonts w:ascii="宋体" w:hAnsi="宋体" w:cs="宋体" w:eastAsia="宋体" w:hint="default"/>
                <w:sz w:val="24"/>
                <w:szCs w:val="24"/>
              </w:rPr>
              <w:t>一年以上采购保证金</w:t>
            </w:r>
          </w:p>
        </w:tc>
        <w:tc>
          <w:tcPr>
            <w:tcW w:w="2424" w:type="dxa"/>
            <w:tcBorders>
              <w:top w:val="nil" w:sz="6" w:space="0" w:color="auto"/>
              <w:left w:val="nil" w:sz="6" w:space="0" w:color="auto"/>
              <w:bottom w:val="nil" w:sz="6" w:space="0" w:color="auto"/>
              <w:right w:val="nil" w:sz="6" w:space="0" w:color="auto"/>
            </w:tcBorders>
          </w:tcPr>
          <w:p>
            <w:pPr>
              <w:pStyle w:val="TableParagraph"/>
              <w:tabs>
                <w:tab w:pos="1435" w:val="left" w:leader="none"/>
                <w:tab w:pos="2409"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(34,373)</w:t>
              <w:tab/>
            </w:r>
            <w:r>
              <w:rPr>
                <w:rFonts w:ascii="Arial"/>
                <w:spacing w:val="-1"/>
                <w:sz w:val="24"/>
              </w:rPr>
            </w: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nil" w:sz="6" w:space="0" w:color="auto"/>
              <w:right w:val="nil" w:sz="6" w:space="0" w:color="auto"/>
            </w:tcBorders>
          </w:tcPr>
          <w:p>
            <w:pPr>
              <w:pStyle w:val="TableParagraph"/>
              <w:tabs>
                <w:tab w:pos="2143" w:val="left" w:leader="none"/>
                <w:tab w:pos="2426"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7" w:hRule="exact"/>
        </w:trPr>
        <w:tc>
          <w:tcPr>
            <w:tcW w:w="3736" w:type="dxa"/>
            <w:tcBorders>
              <w:top w:val="nil" w:sz="6" w:space="0" w:color="auto"/>
              <w:left w:val="nil" w:sz="6" w:space="0" w:color="auto"/>
              <w:bottom w:val="nil" w:sz="6" w:space="0" w:color="auto"/>
              <w:right w:val="nil" w:sz="6" w:space="0" w:color="auto"/>
            </w:tcBorders>
          </w:tcPr>
          <w:p>
            <w:pPr/>
          </w:p>
        </w:tc>
        <w:tc>
          <w:tcPr>
            <w:tcW w:w="2424" w:type="dxa"/>
            <w:tcBorders>
              <w:top w:val="nil" w:sz="6" w:space="0" w:color="auto"/>
              <w:left w:val="nil" w:sz="6" w:space="0" w:color="auto"/>
              <w:bottom w:val="single" w:sz="12" w:space="0" w:color="000000"/>
              <w:right w:val="nil" w:sz="6" w:space="0" w:color="auto"/>
            </w:tcBorders>
          </w:tcPr>
          <w:p>
            <w:pPr>
              <w:pStyle w:val="TableParagraph"/>
              <w:spacing w:line="268" w:lineRule="exact"/>
              <w:ind w:left="1399" w:right="0"/>
              <w:jc w:val="left"/>
              <w:rPr>
                <w:rFonts w:ascii="Arial" w:hAnsi="Arial" w:cs="Arial" w:eastAsia="Arial" w:hint="default"/>
                <w:sz w:val="24"/>
                <w:szCs w:val="24"/>
              </w:rPr>
            </w:pPr>
            <w:r>
              <w:rPr>
                <w:rFonts w:ascii="Arial"/>
                <w:sz w:val="24"/>
              </w:rPr>
              <w:t>382,375</w:t>
            </w:r>
          </w:p>
        </w:tc>
        <w:tc>
          <w:tcPr>
            <w:tcW w:w="696"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12" w:space="0" w:color="000000"/>
              <w:right w:val="nil" w:sz="6" w:space="0" w:color="auto"/>
            </w:tcBorders>
          </w:tcPr>
          <w:p>
            <w:pPr>
              <w:pStyle w:val="TableParagraph"/>
              <w:spacing w:line="268" w:lineRule="exact"/>
              <w:ind w:left="1356" w:right="0"/>
              <w:jc w:val="left"/>
              <w:rPr>
                <w:rFonts w:ascii="Arial" w:hAnsi="Arial" w:cs="Arial" w:eastAsia="Arial" w:hint="default"/>
                <w:sz w:val="24"/>
                <w:szCs w:val="24"/>
              </w:rPr>
            </w:pPr>
            <w:r>
              <w:rPr>
                <w:rFonts w:ascii="Arial"/>
                <w:sz w:val="24"/>
              </w:rPr>
              <w:t>975,737</w:t>
            </w:r>
          </w:p>
        </w:tc>
      </w:tr>
    </w:tbl>
    <w:p>
      <w:pPr>
        <w:spacing w:after="0" w:line="268" w:lineRule="exact"/>
        <w:jc w:val="left"/>
        <w:rPr>
          <w:rFonts w:ascii="Arial" w:hAnsi="Arial" w:cs="Arial" w:eastAsia="Arial" w:hint="default"/>
          <w:sz w:val="24"/>
          <w:szCs w:val="24"/>
        </w:rPr>
        <w:sectPr>
          <w:type w:val="continuous"/>
          <w:pgSz w:w="11910" w:h="16850"/>
          <w:pgMar w:top="980" w:bottom="1100" w:left="980" w:right="0"/>
        </w:sectPr>
      </w:pPr>
    </w:p>
    <w:p>
      <w:pPr>
        <w:spacing w:line="240" w:lineRule="auto" w:before="7"/>
        <w:rPr>
          <w:rFonts w:ascii="Times New Roman" w:hAnsi="Times New Roman" w:cs="Times New Roman" w:eastAsia="Times New Roman" w:hint="default"/>
          <w:sz w:val="5"/>
          <w:szCs w:val="5"/>
        </w:rPr>
      </w:pPr>
      <w:r>
        <w:rPr/>
        <w:pict>
          <v:group style="position:absolute;margin-left:84.984001pt;margin-top:151.459976pt;width:439.9pt;height:.1pt;mso-position-horizontal-relative:page;mso-position-vertical-relative:page;z-index:-1359352" coordorigin="1700,3029" coordsize="8798,2">
            <v:shape style="position:absolute;left:1700;top:3029;width:8798;height:2" coordorigin="1700,3029" coordsize="8798,0" path="m1700,3029l10497,3029e" filled="false" stroked="true" strokeweight=".72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776"/>
        <w:gridCol w:w="3400"/>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53"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3" w:right="0"/>
              <w:jc w:val="left"/>
              <w:rPr>
                <w:rFonts w:ascii="Arial" w:hAnsi="Arial" w:cs="Arial" w:eastAsia="Arial" w:hint="default"/>
                <w:sz w:val="24"/>
                <w:szCs w:val="24"/>
              </w:rPr>
            </w:pPr>
            <w:r>
              <w:rPr>
                <w:rFonts w:ascii="宋体" w:hAnsi="宋体" w:cs="宋体" w:eastAsia="宋体" w:hint="default"/>
                <w:b/>
                <w:bCs/>
                <w:sz w:val="24"/>
                <w:szCs w:val="24"/>
              </w:rPr>
              <w:t>其他应收款和长期应收款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700"/>
        <w:gridCol w:w="2001"/>
        <w:gridCol w:w="1173"/>
        <w:gridCol w:w="757"/>
        <w:gridCol w:w="293"/>
        <w:gridCol w:w="1006"/>
        <w:gridCol w:w="1004"/>
        <w:gridCol w:w="818"/>
        <w:gridCol w:w="864"/>
        <w:gridCol w:w="228"/>
        <w:gridCol w:w="903"/>
        <w:gridCol w:w="641"/>
      </w:tblGrid>
      <w:tr>
        <w:trPr>
          <w:trHeight w:val="419"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right="4"/>
              <w:jc w:val="center"/>
              <w:rPr>
                <w:rFonts w:ascii="Arial" w:hAnsi="Arial" w:cs="Arial" w:eastAsia="Arial" w:hint="default"/>
                <w:sz w:val="24"/>
                <w:szCs w:val="24"/>
              </w:rPr>
            </w:pPr>
            <w:r>
              <w:rPr>
                <w:rFonts w:ascii="Arial"/>
                <w:sz w:val="24"/>
              </w:rPr>
              <w:t>(a)</w:t>
            </w:r>
          </w:p>
        </w:tc>
        <w:tc>
          <w:tcPr>
            <w:tcW w:w="5230" w:type="dxa"/>
            <w:gridSpan w:val="5"/>
            <w:tcBorders>
              <w:top w:val="nil" w:sz="6" w:space="0" w:color="auto"/>
              <w:left w:val="nil" w:sz="6" w:space="0" w:color="auto"/>
              <w:bottom w:val="nil" w:sz="6" w:space="0" w:color="auto"/>
              <w:right w:val="nil" w:sz="6" w:space="0" w:color="auto"/>
            </w:tcBorders>
          </w:tcPr>
          <w:p>
            <w:pPr>
              <w:pStyle w:val="TableParagraph"/>
              <w:spacing w:line="245" w:lineRule="exact"/>
              <w:ind w:left="206" w:right="0"/>
              <w:jc w:val="left"/>
              <w:rPr>
                <w:rFonts w:ascii="宋体" w:hAnsi="宋体" w:cs="宋体" w:eastAsia="宋体" w:hint="default"/>
                <w:sz w:val="24"/>
                <w:szCs w:val="24"/>
              </w:rPr>
            </w:pPr>
            <w:r>
              <w:rPr>
                <w:rFonts w:ascii="宋体" w:hAnsi="宋体" w:cs="宋体" w:eastAsia="宋体" w:hint="default"/>
                <w:sz w:val="24"/>
                <w:szCs w:val="24"/>
              </w:rPr>
              <w:t>其他应收款和长期应收款账龄分析如下：</w:t>
            </w:r>
          </w:p>
        </w:tc>
        <w:tc>
          <w:tcPr>
            <w:tcW w:w="1004"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r>
      <w:tr>
        <w:trPr>
          <w:trHeight w:val="59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3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32" w:right="-2"/>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818" w:type="dxa"/>
            <w:tcBorders>
              <w:top w:val="nil" w:sz="6" w:space="0" w:color="auto"/>
              <w:left w:val="nil" w:sz="6" w:space="0" w:color="auto"/>
              <w:bottom w:val="nil" w:sz="6" w:space="0" w:color="auto"/>
              <w:right w:val="nil" w:sz="6" w:space="0" w:color="auto"/>
            </w:tcBorders>
          </w:tcPr>
          <w:p>
            <w:pPr/>
          </w:p>
        </w:tc>
        <w:tc>
          <w:tcPr>
            <w:tcW w:w="263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214"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44"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right"/>
              <w:rPr>
                <w:rFonts w:ascii="Arial" w:hAnsi="Arial" w:cs="Arial" w:eastAsia="Arial" w:hint="default"/>
                <w:sz w:val="24"/>
                <w:szCs w:val="24"/>
              </w:rPr>
            </w:pPr>
            <w:r>
              <w:rPr>
                <w:rFonts w:ascii="Arial"/>
                <w:spacing w:val="-1"/>
                <w:sz w:val="24"/>
              </w:rPr>
              <w:t>385,953</w:t>
            </w: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5"/>
              <w:ind w:left="487" w:right="0"/>
              <w:jc w:val="left"/>
              <w:rPr>
                <w:rFonts w:ascii="Arial" w:hAnsi="Arial" w:cs="Arial" w:eastAsia="Arial" w:hint="default"/>
                <w:sz w:val="24"/>
                <w:szCs w:val="24"/>
              </w:rPr>
            </w:pPr>
            <w:r>
              <w:rPr>
                <w:rFonts w:ascii="Arial"/>
                <w:sz w:val="24"/>
              </w:rPr>
              <w:t>981,849</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4"/>
                <w:szCs w:val="24"/>
              </w:rPr>
            </w:pPr>
            <w:r>
              <w:rPr>
                <w:rFonts w:ascii="Arial"/>
                <w:spacing w:val="-1"/>
                <w:sz w:val="24"/>
              </w:rPr>
              <w:t>127,028</w:t>
            </w: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619" w:right="0"/>
              <w:jc w:val="left"/>
              <w:rPr>
                <w:rFonts w:ascii="Arial" w:hAnsi="Arial" w:cs="Arial" w:eastAsia="Arial" w:hint="default"/>
                <w:sz w:val="24"/>
                <w:szCs w:val="24"/>
              </w:rPr>
            </w:pPr>
            <w:r>
              <w:rPr>
                <w:rFonts w:ascii="Arial"/>
                <w:sz w:val="24"/>
              </w:rPr>
              <w:t>77,514</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4"/>
                <w:szCs w:val="24"/>
              </w:rPr>
            </w:pPr>
            <w:r>
              <w:rPr>
                <w:rFonts w:ascii="Arial"/>
                <w:spacing w:val="-1"/>
                <w:sz w:val="24"/>
              </w:rPr>
              <w:t>62,129</w:t>
            </w: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619" w:right="0"/>
              <w:jc w:val="left"/>
              <w:rPr>
                <w:rFonts w:ascii="Arial" w:hAnsi="Arial" w:cs="Arial" w:eastAsia="Arial" w:hint="default"/>
                <w:sz w:val="24"/>
                <w:szCs w:val="24"/>
              </w:rPr>
            </w:pPr>
            <w:r>
              <w:rPr>
                <w:rFonts w:ascii="Arial"/>
                <w:sz w:val="24"/>
              </w:rPr>
              <w:t>52,920</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w:hAnsi="Arial" w:cs="Arial" w:eastAsia="Arial" w:hint="default"/>
                <w:sz w:val="24"/>
                <w:szCs w:val="24"/>
              </w:rPr>
            </w:pPr>
            <w:r>
              <w:rPr>
                <w:rFonts w:ascii="Arial"/>
                <w:spacing w:val="-1"/>
                <w:sz w:val="24"/>
              </w:rPr>
              <w:t>49,031</w:t>
            </w: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638" w:right="0"/>
              <w:jc w:val="left"/>
              <w:rPr>
                <w:rFonts w:ascii="Arial" w:hAnsi="Arial" w:cs="Arial" w:eastAsia="Arial" w:hint="default"/>
                <w:sz w:val="24"/>
                <w:szCs w:val="24"/>
              </w:rPr>
            </w:pPr>
            <w:r>
              <w:rPr>
                <w:rFonts w:ascii="Arial"/>
                <w:spacing w:val="-4"/>
                <w:sz w:val="24"/>
              </w:rPr>
              <w:t>11,806</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right"/>
              <w:rPr>
                <w:rFonts w:ascii="Arial" w:hAnsi="Arial" w:cs="Arial" w:eastAsia="Arial" w:hint="default"/>
                <w:sz w:val="24"/>
                <w:szCs w:val="24"/>
              </w:rPr>
            </w:pPr>
            <w:r>
              <w:rPr>
                <w:rFonts w:ascii="Arial"/>
                <w:spacing w:val="-1"/>
                <w:sz w:val="24"/>
              </w:rPr>
              <w:t>9,438</w:t>
            </w:r>
          </w:p>
        </w:tc>
        <w:tc>
          <w:tcPr>
            <w:tcW w:w="81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753" w:right="0"/>
              <w:jc w:val="left"/>
              <w:rPr>
                <w:rFonts w:ascii="Arial" w:hAnsi="Arial" w:cs="Arial" w:eastAsia="Arial" w:hint="default"/>
                <w:sz w:val="24"/>
                <w:szCs w:val="24"/>
              </w:rPr>
            </w:pPr>
            <w:r>
              <w:rPr>
                <w:rFonts w:ascii="Arial"/>
                <w:sz w:val="24"/>
              </w:rPr>
              <w:t>1,838</w:t>
            </w:r>
          </w:p>
        </w:tc>
      </w:tr>
      <w:tr>
        <w:trPr>
          <w:trHeight w:val="32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79" w:lineRule="exact"/>
              <w:ind w:left="206"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single" w:sz="4" w:space="0" w:color="000000"/>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right"/>
              <w:rPr>
                <w:rFonts w:ascii="Arial" w:hAnsi="Arial" w:cs="Arial" w:eastAsia="Arial" w:hint="default"/>
                <w:sz w:val="24"/>
                <w:szCs w:val="24"/>
              </w:rPr>
            </w:pPr>
            <w:r>
              <w:rPr>
                <w:rFonts w:ascii="Arial"/>
                <w:spacing w:val="-1"/>
                <w:sz w:val="24"/>
              </w:rPr>
              <w:t>259,400</w:t>
            </w:r>
          </w:p>
        </w:tc>
        <w:tc>
          <w:tcPr>
            <w:tcW w:w="818" w:type="dxa"/>
            <w:tcBorders>
              <w:top w:val="nil" w:sz="6" w:space="0" w:color="auto"/>
              <w:left w:val="nil" w:sz="6" w:space="0" w:color="auto"/>
              <w:bottom w:val="single" w:sz="4" w:space="0" w:color="000000"/>
              <w:right w:val="nil" w:sz="6" w:space="0" w:color="auto"/>
            </w:tcBorders>
          </w:tcPr>
          <w:p>
            <w:pPr/>
          </w:p>
        </w:tc>
        <w:tc>
          <w:tcPr>
            <w:tcW w:w="864" w:type="dxa"/>
            <w:tcBorders>
              <w:top w:val="nil" w:sz="6" w:space="0" w:color="auto"/>
              <w:left w:val="nil" w:sz="6" w:space="0" w:color="auto"/>
              <w:bottom w:val="single" w:sz="4" w:space="0" w:color="000000"/>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952" w:right="0"/>
              <w:jc w:val="left"/>
              <w:rPr>
                <w:rFonts w:ascii="Arial" w:hAnsi="Arial" w:cs="Arial" w:eastAsia="Arial" w:hint="default"/>
                <w:sz w:val="24"/>
                <w:szCs w:val="24"/>
              </w:rPr>
            </w:pPr>
            <w:r>
              <w:rPr>
                <w:rFonts w:ascii="Arial"/>
                <w:sz w:val="24"/>
              </w:rPr>
              <w:t>884</w:t>
            </w:r>
          </w:p>
        </w:tc>
      </w:tr>
      <w:tr>
        <w:trPr>
          <w:trHeight w:val="295"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293" w:type="dxa"/>
            <w:tcBorders>
              <w:top w:val="single" w:sz="4" w:space="0" w:color="000000"/>
              <w:left w:val="nil" w:sz="6" w:space="0" w:color="auto"/>
              <w:bottom w:val="single" w:sz="12" w:space="0" w:color="000000"/>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
        </w:tc>
        <w:tc>
          <w:tcPr>
            <w:tcW w:w="1004"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0"/>
              <w:jc w:val="right"/>
              <w:rPr>
                <w:rFonts w:ascii="Arial" w:hAnsi="Arial" w:cs="Arial" w:eastAsia="Arial" w:hint="default"/>
                <w:sz w:val="24"/>
                <w:szCs w:val="24"/>
              </w:rPr>
            </w:pPr>
            <w:r>
              <w:rPr>
                <w:rFonts w:ascii="Arial"/>
                <w:spacing w:val="-1"/>
                <w:sz w:val="24"/>
              </w:rPr>
              <w:t>892,979</w:t>
            </w:r>
          </w:p>
        </w:tc>
        <w:tc>
          <w:tcPr>
            <w:tcW w:w="818" w:type="dxa"/>
            <w:tcBorders>
              <w:top w:val="single" w:sz="4" w:space="0" w:color="000000"/>
              <w:left w:val="nil" w:sz="6" w:space="0" w:color="auto"/>
              <w:bottom w:val="single" w:sz="12" w:space="0" w:color="000000"/>
              <w:right w:val="nil" w:sz="6" w:space="0" w:color="auto"/>
            </w:tcBorders>
          </w:tcPr>
          <w:p>
            <w:pPr/>
          </w:p>
        </w:tc>
        <w:tc>
          <w:tcPr>
            <w:tcW w:w="864" w:type="dxa"/>
            <w:tcBorders>
              <w:top w:val="single" w:sz="4" w:space="0" w:color="000000"/>
              <w:left w:val="nil" w:sz="6" w:space="0" w:color="auto"/>
              <w:bottom w:val="single" w:sz="12" w:space="0" w:color="000000"/>
              <w:right w:val="nil" w:sz="6" w:space="0" w:color="auto"/>
            </w:tcBorders>
          </w:tcPr>
          <w:p>
            <w:pP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304" w:right="0"/>
              <w:jc w:val="left"/>
              <w:rPr>
                <w:rFonts w:ascii="Arial" w:hAnsi="Arial" w:cs="Arial" w:eastAsia="Arial" w:hint="default"/>
                <w:sz w:val="24"/>
                <w:szCs w:val="24"/>
              </w:rPr>
            </w:pPr>
            <w:r>
              <w:rPr>
                <w:rFonts w:ascii="Arial"/>
                <w:spacing w:val="-3"/>
                <w:sz w:val="24"/>
              </w:rPr>
              <w:t>1,126,811</w:t>
            </w:r>
          </w:p>
        </w:tc>
      </w:tr>
      <w:tr>
        <w:trPr>
          <w:trHeight w:val="858"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4"/>
              <w:jc w:val="center"/>
              <w:rPr>
                <w:rFonts w:ascii="Arial" w:hAnsi="Arial" w:cs="Arial" w:eastAsia="Arial" w:hint="default"/>
                <w:sz w:val="24"/>
                <w:szCs w:val="24"/>
              </w:rPr>
            </w:pPr>
            <w:r>
              <w:rPr>
                <w:rFonts w:ascii="Arial"/>
                <w:sz w:val="24"/>
              </w:rPr>
              <w:t>(b)</w:t>
            </w:r>
          </w:p>
        </w:tc>
        <w:tc>
          <w:tcPr>
            <w:tcW w:w="523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其他应收款和长期应收款按类别分析如下：</w:t>
            </w:r>
          </w:p>
        </w:tc>
        <w:tc>
          <w:tcPr>
            <w:tcW w:w="1004" w:type="dxa"/>
            <w:tcBorders>
              <w:top w:val="single" w:sz="12" w:space="0" w:color="000000"/>
              <w:left w:val="nil" w:sz="6" w:space="0" w:color="auto"/>
              <w:bottom w:val="nil" w:sz="6" w:space="0" w:color="auto"/>
              <w:right w:val="nil" w:sz="6" w:space="0" w:color="auto"/>
            </w:tcBorders>
          </w:tcPr>
          <w:p>
            <w:pPr/>
          </w:p>
        </w:tc>
        <w:tc>
          <w:tcPr>
            <w:tcW w:w="818" w:type="dxa"/>
            <w:tcBorders>
              <w:top w:val="single" w:sz="12" w:space="0" w:color="000000"/>
              <w:left w:val="nil" w:sz="6" w:space="0" w:color="auto"/>
              <w:bottom w:val="nil" w:sz="6" w:space="0" w:color="auto"/>
              <w:right w:val="nil" w:sz="6" w:space="0" w:color="auto"/>
            </w:tcBorders>
          </w:tcPr>
          <w:p>
            <w:pPr/>
          </w:p>
        </w:tc>
        <w:tc>
          <w:tcPr>
            <w:tcW w:w="864" w:type="dxa"/>
            <w:tcBorders>
              <w:top w:val="single" w:sz="12" w:space="0" w:color="000000"/>
              <w:left w:val="nil" w:sz="6" w:space="0" w:color="auto"/>
              <w:bottom w:val="nil" w:sz="6" w:space="0" w:color="auto"/>
              <w:right w:val="nil" w:sz="6" w:space="0" w:color="auto"/>
            </w:tcBorders>
          </w:tcPr>
          <w:p>
            <w:pPr/>
          </w:p>
        </w:tc>
        <w:tc>
          <w:tcPr>
            <w:tcW w:w="228" w:type="dxa"/>
            <w:tcBorders>
              <w:top w:val="single" w:sz="12" w:space="0" w:color="000000"/>
              <w:left w:val="nil" w:sz="6" w:space="0" w:color="auto"/>
              <w:bottom w:val="nil" w:sz="6" w:space="0" w:color="auto"/>
              <w:right w:val="nil" w:sz="6" w:space="0" w:color="auto"/>
            </w:tcBorders>
          </w:tcPr>
          <w:p>
            <w:pPr/>
          </w:p>
        </w:tc>
        <w:tc>
          <w:tcPr>
            <w:tcW w:w="903" w:type="dxa"/>
            <w:tcBorders>
              <w:top w:val="single" w:sz="12" w:space="0" w:color="000000"/>
              <w:left w:val="nil" w:sz="6" w:space="0" w:color="auto"/>
              <w:bottom w:val="nil" w:sz="6" w:space="0" w:color="auto"/>
              <w:right w:val="nil" w:sz="6" w:space="0" w:color="auto"/>
            </w:tcBorders>
          </w:tcPr>
          <w:p>
            <w:pPr/>
          </w:p>
        </w:tc>
        <w:tc>
          <w:tcPr>
            <w:tcW w:w="641" w:type="dxa"/>
            <w:tcBorders>
              <w:top w:val="single" w:sz="12" w:space="0" w:color="000000"/>
              <w:left w:val="nil" w:sz="6" w:space="0" w:color="auto"/>
              <w:bottom w:val="nil" w:sz="6" w:space="0" w:color="auto"/>
              <w:right w:val="nil" w:sz="6" w:space="0" w:color="auto"/>
            </w:tcBorders>
          </w:tcPr>
          <w:p>
            <w:pPr/>
          </w:p>
        </w:tc>
      </w:tr>
      <w:tr>
        <w:trPr>
          <w:trHeight w:val="55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3229"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1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004" w:type="dxa"/>
            <w:tcBorders>
              <w:top w:val="nil" w:sz="6" w:space="0" w:color="auto"/>
              <w:left w:val="nil" w:sz="6" w:space="0" w:color="auto"/>
              <w:bottom w:val="single" w:sz="12" w:space="0" w:color="000000"/>
              <w:right w:val="nil" w:sz="6" w:space="0" w:color="auto"/>
            </w:tcBorders>
          </w:tcPr>
          <w:p>
            <w:pPr/>
          </w:p>
        </w:tc>
        <w:tc>
          <w:tcPr>
            <w:tcW w:w="2813"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3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641"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930"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3"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2"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3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1"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173" w:type="dxa"/>
            <w:tcBorders>
              <w:top w:val="single" w:sz="12" w:space="0" w:color="000000"/>
              <w:left w:val="nil" w:sz="6" w:space="0" w:color="auto"/>
              <w:bottom w:val="nil" w:sz="6" w:space="0" w:color="auto"/>
              <w:right w:val="nil" w:sz="6" w:space="0" w:color="auto"/>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7" w:type="dxa"/>
            <w:tcBorders>
              <w:top w:val="single" w:sz="12" w:space="0" w:color="000000"/>
              <w:left w:val="nil" w:sz="6" w:space="0" w:color="auto"/>
              <w:bottom w:val="nil" w:sz="6" w:space="0" w:color="auto"/>
              <w:right w:val="nil" w:sz="6" w:space="0" w:color="auto"/>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93" w:type="dxa"/>
            <w:tcBorders>
              <w:top w:val="single" w:sz="12" w:space="0" w:color="000000"/>
              <w:left w:val="nil" w:sz="6" w:space="0" w:color="auto"/>
              <w:bottom w:val="nil" w:sz="6" w:space="0" w:color="auto"/>
              <w:right w:val="nil" w:sz="6" w:space="0" w:color="auto"/>
            </w:tcBorders>
          </w:tcPr>
          <w:p>
            <w:pPr/>
          </w:p>
        </w:tc>
        <w:tc>
          <w:tcPr>
            <w:tcW w:w="1006" w:type="dxa"/>
            <w:tcBorders>
              <w:top w:val="single" w:sz="12" w:space="0" w:color="000000"/>
              <w:left w:val="nil" w:sz="6" w:space="0" w:color="auto"/>
              <w:bottom w:val="nil" w:sz="6" w:space="0" w:color="auto"/>
              <w:right w:val="nil" w:sz="6" w:space="0" w:color="auto"/>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04" w:type="dxa"/>
            <w:tcBorders>
              <w:top w:val="single" w:sz="12" w:space="0" w:color="000000"/>
              <w:left w:val="nil" w:sz="6" w:space="0" w:color="auto"/>
              <w:bottom w:val="nil" w:sz="6" w:space="0" w:color="auto"/>
              <w:right w:val="nil" w:sz="6" w:space="0" w:color="auto"/>
            </w:tcBorders>
          </w:tcPr>
          <w:p>
            <w:pPr>
              <w:pStyle w:val="TableParagraph"/>
              <w:spacing w:line="240" w:lineRule="exact"/>
              <w:ind w:left="8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8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8" w:type="dxa"/>
            <w:tcBorders>
              <w:top w:val="single" w:sz="12" w:space="0" w:color="000000"/>
              <w:left w:val="nil" w:sz="6" w:space="0" w:color="auto"/>
              <w:bottom w:val="nil" w:sz="6" w:space="0" w:color="auto"/>
              <w:right w:val="nil" w:sz="6" w:space="0" w:color="auto"/>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12" w:space="0" w:color="000000"/>
              <w:left w:val="nil" w:sz="6" w:space="0" w:color="auto"/>
              <w:bottom w:val="nil" w:sz="6" w:space="0" w:color="auto"/>
              <w:right w:val="nil" w:sz="6" w:space="0" w:color="auto"/>
            </w:tcBorders>
          </w:tcPr>
          <w:p>
            <w:pPr>
              <w:pStyle w:val="TableParagraph"/>
              <w:spacing w:line="240" w:lineRule="exact"/>
              <w:ind w:left="72" w:right="0"/>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7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single" w:sz="12" w:space="0" w:color="000000"/>
              <w:left w:val="nil" w:sz="6" w:space="0" w:color="auto"/>
              <w:bottom w:val="nil" w:sz="6" w:space="0" w:color="auto"/>
              <w:right w:val="nil" w:sz="6" w:space="0" w:color="auto"/>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41" w:type="dxa"/>
            <w:tcBorders>
              <w:top w:val="single" w:sz="12" w:space="0" w:color="000000"/>
              <w:left w:val="nil" w:sz="6" w:space="0" w:color="auto"/>
              <w:bottom w:val="nil" w:sz="6" w:space="0" w:color="auto"/>
              <w:right w:val="nil" w:sz="6" w:space="0" w:color="auto"/>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831"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2" w:lineRule="exact"/>
              <w:ind w:left="388" w:right="0" w:hanging="183"/>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额</w:t>
            </w:r>
            <w:r>
              <w:rPr>
                <w:rFonts w:ascii="宋体" w:hAnsi="宋体" w:cs="宋体" w:eastAsia="宋体" w:hint="default"/>
                <w:spacing w:val="-71"/>
                <w:sz w:val="21"/>
                <w:szCs w:val="21"/>
              </w:rPr>
              <w:t> </w:t>
            </w:r>
            <w:r>
              <w:rPr>
                <w:rFonts w:ascii="宋体" w:hAnsi="宋体" w:cs="宋体" w:eastAsia="宋体" w:hint="default"/>
                <w:sz w:val="21"/>
                <w:szCs w:val="21"/>
              </w:rPr>
              <w:t>重</w:t>
            </w:r>
            <w:r>
              <w:rPr>
                <w:rFonts w:ascii="宋体" w:hAnsi="宋体" w:cs="宋体" w:eastAsia="宋体" w:hint="default"/>
                <w:spacing w:val="-71"/>
                <w:sz w:val="21"/>
                <w:szCs w:val="21"/>
              </w:rPr>
              <w:t> </w:t>
            </w:r>
            <w:r>
              <w:rPr>
                <w:rFonts w:ascii="宋体" w:hAnsi="宋体" w:cs="宋体" w:eastAsia="宋体" w:hint="default"/>
                <w:sz w:val="21"/>
                <w:szCs w:val="21"/>
              </w:rPr>
              <w:t>大</w:t>
            </w:r>
            <w:r>
              <w:rPr>
                <w:rFonts w:ascii="宋体" w:hAnsi="宋体" w:cs="宋体" w:eastAsia="宋体" w:hint="default"/>
                <w:spacing w:val="-69"/>
                <w:sz w:val="21"/>
                <w:szCs w:val="21"/>
              </w:rPr>
              <w:t> </w:t>
            </w:r>
            <w:r>
              <w:rPr>
                <w:rFonts w:ascii="宋体" w:hAnsi="宋体" w:cs="宋体" w:eastAsia="宋体" w:hint="default"/>
                <w:sz w:val="21"/>
                <w:szCs w:val="21"/>
              </w:rPr>
              <w:t>并</w:t>
            </w:r>
          </w:p>
          <w:p>
            <w:pPr>
              <w:pStyle w:val="TableParagraph"/>
              <w:spacing w:line="272" w:lineRule="exact" w:before="27"/>
              <w:ind w:left="388" w:right="11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备的应收款项</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13"/>
              <w:jc w:val="right"/>
              <w:rPr>
                <w:rFonts w:ascii="Arial" w:hAnsi="Arial" w:cs="Arial" w:eastAsia="Arial" w:hint="default"/>
                <w:sz w:val="21"/>
                <w:szCs w:val="21"/>
              </w:rPr>
            </w:pPr>
            <w:r>
              <w:rPr>
                <w:rFonts w:ascii="Arial"/>
                <w:w w:val="100"/>
                <w:sz w:val="21"/>
              </w:rPr>
              <w:t>-</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17"/>
              <w:jc w:val="right"/>
              <w:rPr>
                <w:rFonts w:ascii="Arial" w:hAnsi="Arial" w:cs="Arial" w:eastAsia="Arial" w:hint="default"/>
                <w:sz w:val="21"/>
                <w:szCs w:val="21"/>
              </w:rPr>
            </w:pPr>
            <w:r>
              <w:rPr>
                <w:rFonts w:ascii="Arial"/>
                <w:w w:val="100"/>
                <w:sz w:val="21"/>
              </w:rPr>
              <w:t>-</w:t>
            </w: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60"/>
              <w:jc w:val="right"/>
              <w:rPr>
                <w:rFonts w:ascii="Arial" w:hAnsi="Arial" w:cs="Arial" w:eastAsia="Arial" w:hint="default"/>
                <w:sz w:val="21"/>
                <w:szCs w:val="21"/>
              </w:rPr>
            </w:pPr>
            <w:r>
              <w:rPr>
                <w:rFonts w:ascii="Arial"/>
                <w:w w:val="100"/>
                <w:sz w:val="21"/>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58"/>
              <w:jc w:val="center"/>
              <w:rPr>
                <w:rFonts w:ascii="Arial" w:hAnsi="Arial" w:cs="Arial" w:eastAsia="Arial" w:hint="default"/>
                <w:sz w:val="21"/>
                <w:szCs w:val="21"/>
              </w:rPr>
            </w:pPr>
            <w:r>
              <w:rPr>
                <w:rFonts w:ascii="Arial"/>
                <w:w w:val="100"/>
                <w:sz w:val="21"/>
              </w:rPr>
              <w:t>-</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25" w:right="0"/>
              <w:jc w:val="left"/>
              <w:rPr>
                <w:rFonts w:ascii="Arial" w:hAnsi="Arial" w:cs="Arial" w:eastAsia="Arial" w:hint="default"/>
                <w:sz w:val="21"/>
                <w:szCs w:val="21"/>
              </w:rPr>
            </w:pPr>
            <w:r>
              <w:rPr>
                <w:rFonts w:ascii="Arial"/>
                <w:sz w:val="21"/>
              </w:rPr>
              <w:t>700,000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Arial" w:hAnsi="Arial" w:cs="Arial" w:eastAsia="Arial" w:hint="default"/>
                <w:sz w:val="21"/>
                <w:szCs w:val="21"/>
              </w:rPr>
            </w:pPr>
            <w:r>
              <w:rPr>
                <w:rFonts w:ascii="Arial"/>
                <w:sz w:val="21"/>
              </w:rPr>
              <w:t>62%</w:t>
            </w: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22"/>
              <w:jc w:val="right"/>
              <w:rPr>
                <w:rFonts w:ascii="Arial" w:hAnsi="Arial" w:cs="Arial" w:eastAsia="Arial" w:hint="default"/>
                <w:sz w:val="21"/>
                <w:szCs w:val="21"/>
              </w:rPr>
            </w:pPr>
            <w:r>
              <w:rPr>
                <w:rFonts w:ascii="Arial"/>
                <w:w w:val="100"/>
                <w:sz w:val="21"/>
              </w:rPr>
              <w:t>-</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63" w:right="0"/>
              <w:jc w:val="center"/>
              <w:rPr>
                <w:rFonts w:ascii="Arial" w:hAnsi="Arial" w:cs="Arial" w:eastAsia="Arial" w:hint="default"/>
                <w:sz w:val="21"/>
                <w:szCs w:val="21"/>
              </w:rPr>
            </w:pPr>
            <w:r>
              <w:rPr>
                <w:rFonts w:ascii="Arial"/>
                <w:w w:val="100"/>
                <w:sz w:val="21"/>
              </w:rPr>
              <w:t>-</w:t>
            </w:r>
          </w:p>
        </w:tc>
      </w:tr>
      <w:tr>
        <w:trPr>
          <w:trHeight w:val="819"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29" w:lineRule="exact"/>
              <w:ind w:left="162" w:right="0"/>
              <w:jc w:val="left"/>
              <w:rPr>
                <w:rFonts w:ascii="宋体" w:hAnsi="宋体" w:cs="宋体" w:eastAsia="宋体" w:hint="default"/>
                <w:sz w:val="21"/>
                <w:szCs w:val="21"/>
              </w:rPr>
            </w:pPr>
            <w:r>
              <w:rPr>
                <w:rFonts w:ascii="宋体" w:hAnsi="宋体" w:cs="宋体" w:eastAsia="宋体" w:hint="default"/>
                <w:sz w:val="21"/>
                <w:szCs w:val="21"/>
              </w:rPr>
              <w:t>应收房屋租赁保证</w:t>
            </w: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pacing w:val="15"/>
                <w:sz w:val="21"/>
                <w:szCs w:val="21"/>
              </w:rPr>
              <w:t>金及采购保证金</w:t>
            </w:r>
            <w:r>
              <w:rPr>
                <w:rFonts w:ascii="宋体" w:hAnsi="宋体" w:cs="宋体" w:eastAsia="宋体" w:hint="default"/>
                <w:spacing w:val="-88"/>
                <w:sz w:val="21"/>
                <w:szCs w:val="21"/>
              </w:rPr>
              <w:t> </w:t>
            </w:r>
            <w:r>
              <w:rPr>
                <w:rFonts w:ascii="宋体" w:hAnsi="宋体" w:cs="宋体" w:eastAsia="宋体" w:hint="default"/>
                <w:sz w:val="21"/>
                <w:szCs w:val="21"/>
              </w:rPr>
              <w:t>组合</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95" w:right="0"/>
              <w:jc w:val="left"/>
              <w:rPr>
                <w:rFonts w:ascii="Arial" w:hAnsi="Arial" w:cs="Arial" w:eastAsia="Arial" w:hint="default"/>
                <w:sz w:val="21"/>
                <w:szCs w:val="21"/>
              </w:rPr>
            </w:pPr>
            <w:r>
              <w:rPr>
                <w:rFonts w:ascii="Arial"/>
                <w:sz w:val="21"/>
              </w:rPr>
              <w:t>476,564</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42"/>
              <w:jc w:val="right"/>
              <w:rPr>
                <w:rFonts w:ascii="Arial" w:hAnsi="Arial" w:cs="Arial" w:eastAsia="Arial" w:hint="default"/>
                <w:sz w:val="21"/>
                <w:szCs w:val="21"/>
              </w:rPr>
            </w:pPr>
            <w:r>
              <w:rPr>
                <w:rFonts w:ascii="Arial"/>
                <w:sz w:val="21"/>
              </w:rPr>
              <w:t>53%</w:t>
            </w: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60"/>
              <w:jc w:val="right"/>
              <w:rPr>
                <w:rFonts w:ascii="Arial" w:hAnsi="Arial" w:cs="Arial" w:eastAsia="Arial" w:hint="default"/>
                <w:sz w:val="21"/>
                <w:szCs w:val="21"/>
              </w:rPr>
            </w:pPr>
            <w:r>
              <w:rPr>
                <w:rFonts w:ascii="Arial"/>
                <w:w w:val="100"/>
                <w:sz w:val="21"/>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58"/>
              <w:jc w:val="center"/>
              <w:rPr>
                <w:rFonts w:ascii="Arial" w:hAnsi="Arial" w:cs="Arial" w:eastAsia="Arial" w:hint="default"/>
                <w:sz w:val="21"/>
                <w:szCs w:val="21"/>
              </w:rPr>
            </w:pPr>
            <w:r>
              <w:rPr>
                <w:rFonts w:ascii="Arial"/>
                <w:w w:val="100"/>
                <w:sz w:val="21"/>
              </w:rPr>
              <w:t>-</w:t>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5" w:right="0"/>
              <w:jc w:val="left"/>
              <w:rPr>
                <w:rFonts w:ascii="Arial" w:hAnsi="Arial" w:cs="Arial" w:eastAsia="Arial" w:hint="default"/>
                <w:sz w:val="21"/>
                <w:szCs w:val="21"/>
              </w:rPr>
            </w:pPr>
            <w:r>
              <w:rPr>
                <w:rFonts w:ascii="Arial"/>
                <w:sz w:val="21"/>
              </w:rPr>
              <w:t>130,768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02"/>
              <w:jc w:val="right"/>
              <w:rPr>
                <w:rFonts w:ascii="Arial" w:hAnsi="Arial" w:cs="Arial" w:eastAsia="Arial" w:hint="default"/>
                <w:sz w:val="21"/>
                <w:szCs w:val="21"/>
              </w:rPr>
            </w:pPr>
            <w:r>
              <w:rPr>
                <w:rFonts w:ascii="Arial"/>
                <w:sz w:val="21"/>
              </w:rPr>
              <w:t>12%</w:t>
            </w: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22"/>
              <w:jc w:val="right"/>
              <w:rPr>
                <w:rFonts w:ascii="Arial" w:hAnsi="Arial" w:cs="Arial" w:eastAsia="Arial" w:hint="default"/>
                <w:sz w:val="21"/>
                <w:szCs w:val="21"/>
              </w:rPr>
            </w:pPr>
            <w:r>
              <w:rPr>
                <w:rFonts w:ascii="Arial"/>
                <w:w w:val="100"/>
                <w:sz w:val="21"/>
              </w:rPr>
              <w:t>-</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63" w:right="0"/>
              <w:jc w:val="center"/>
              <w:rPr>
                <w:rFonts w:ascii="Arial" w:hAnsi="Arial" w:cs="Arial" w:eastAsia="Arial" w:hint="default"/>
                <w:sz w:val="21"/>
                <w:szCs w:val="21"/>
              </w:rPr>
            </w:pPr>
            <w:r>
              <w:rPr>
                <w:rFonts w:ascii="Arial"/>
                <w:w w:val="100"/>
                <w:sz w:val="21"/>
              </w:rPr>
              <w:t>-</w:t>
            </w:r>
          </w:p>
        </w:tc>
      </w:tr>
      <w:tr>
        <w:trPr>
          <w:trHeight w:val="274"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30" w:lineRule="exact"/>
              <w:ind w:left="153" w:right="0"/>
              <w:jc w:val="left"/>
              <w:rPr>
                <w:rFonts w:ascii="宋体" w:hAnsi="宋体" w:cs="宋体" w:eastAsia="宋体" w:hint="default"/>
                <w:sz w:val="21"/>
                <w:szCs w:val="21"/>
              </w:rPr>
            </w:pPr>
            <w:r>
              <w:rPr>
                <w:rFonts w:ascii="宋体" w:hAnsi="宋体" w:cs="宋体" w:eastAsia="宋体" w:hint="default"/>
                <w:sz w:val="21"/>
                <w:szCs w:val="21"/>
              </w:rPr>
              <w:t>应收其他款项组合</w:t>
            </w:r>
          </w:p>
        </w:tc>
        <w:tc>
          <w:tcPr>
            <w:tcW w:w="1173" w:type="dxa"/>
            <w:tcBorders>
              <w:top w:val="nil" w:sz="6" w:space="0" w:color="auto"/>
              <w:left w:val="nil" w:sz="6" w:space="0" w:color="auto"/>
              <w:bottom w:val="nil" w:sz="6" w:space="0" w:color="auto"/>
              <w:right w:val="nil" w:sz="6" w:space="0" w:color="auto"/>
            </w:tcBorders>
          </w:tcPr>
          <w:p>
            <w:pPr>
              <w:pStyle w:val="TableParagraph"/>
              <w:tabs>
                <w:tab w:pos="295" w:val="left" w:leader="none"/>
                <w:tab w:pos="1462" w:val="left" w:leader="none"/>
              </w:tabs>
              <w:spacing w:line="240" w:lineRule="auto" w:before="18"/>
              <w:ind w:left="-10" w:right="-29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416,415</w:t>
              <w:tab/>
            </w:r>
            <w:r>
              <w:rPr>
                <w:rFonts w:ascii="Arial"/>
                <w:sz w:val="21"/>
              </w:rPr>
            </w:r>
          </w:p>
        </w:tc>
        <w:tc>
          <w:tcPr>
            <w:tcW w:w="757"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8"/>
              <w:ind w:right="-58"/>
              <w:jc w:val="right"/>
              <w:rPr>
                <w:rFonts w:ascii="Arial" w:hAnsi="Arial" w:cs="Arial" w:eastAsia="Arial" w:hint="default"/>
                <w:sz w:val="21"/>
                <w:szCs w:val="21"/>
              </w:rPr>
            </w:pPr>
            <w:r>
              <w:rPr>
                <w:rFonts w:ascii="Arial"/>
                <w:w w:val="100"/>
                <w:sz w:val="21"/>
              </w:rPr>
            </w:r>
            <w:r>
              <w:rPr>
                <w:rFonts w:ascii="Arial"/>
                <w:sz w:val="21"/>
                <w:u w:val="single" w:color="000000"/>
              </w:rPr>
              <w:t>47%</w:t>
              <w:tab/>
            </w:r>
            <w:r>
              <w:rPr>
                <w:rFonts w:ascii="Arial"/>
                <w:sz w:val="21"/>
              </w:rPr>
            </w: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8"/>
              <w:ind w:left="7" w:right="-94"/>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pacing w:val="2"/>
                <w:sz w:val="21"/>
                <w:u w:val="single" w:color="000000"/>
              </w:rPr>
              <w:t> </w:t>
            </w:r>
            <w:r>
              <w:rPr>
                <w:rFonts w:ascii="Arial"/>
                <w:sz w:val="21"/>
                <w:u w:val="single" w:color="000000"/>
              </w:rPr>
              <w:t>(34,040)</w:t>
              <w:tab/>
            </w:r>
            <w:r>
              <w:rPr>
                <w:rFonts w:ascii="Arial"/>
                <w:sz w:val="21"/>
              </w:rPr>
            </w:r>
          </w:p>
        </w:tc>
        <w:tc>
          <w:tcPr>
            <w:tcW w:w="1004" w:type="dxa"/>
            <w:tcBorders>
              <w:top w:val="nil" w:sz="6" w:space="0" w:color="auto"/>
              <w:left w:val="nil" w:sz="6" w:space="0" w:color="auto"/>
              <w:bottom w:val="nil" w:sz="6" w:space="0" w:color="auto"/>
              <w:right w:val="nil" w:sz="6" w:space="0" w:color="auto"/>
            </w:tcBorders>
          </w:tcPr>
          <w:p>
            <w:pPr>
              <w:pStyle w:val="TableParagraph"/>
              <w:tabs>
                <w:tab w:pos="755" w:val="left" w:leader="none"/>
                <w:tab w:pos="885" w:val="left" w:leader="none"/>
              </w:tabs>
              <w:spacing w:line="240" w:lineRule="auto" w:before="18"/>
              <w:ind w:right="22"/>
              <w:jc w:val="right"/>
              <w:rPr>
                <w:rFonts w:ascii="Arial" w:hAnsi="Arial" w:cs="Arial" w:eastAsia="Arial" w:hint="default"/>
                <w:sz w:val="21"/>
                <w:szCs w:val="21"/>
              </w:rPr>
            </w:pPr>
            <w:r>
              <w:rPr>
                <w:rFonts w:ascii="Arial"/>
                <w:w w:val="100"/>
                <w:sz w:val="21"/>
              </w:rPr>
            </w:r>
            <w:r>
              <w:rPr>
                <w:rFonts w:ascii="Arial"/>
                <w:spacing w:val="-1"/>
                <w:sz w:val="21"/>
                <w:u w:val="single" w:color="000000"/>
              </w:rPr>
              <w:t>8.2%</w:t>
            </w:r>
            <w:r>
              <w:rPr>
                <w:rFonts w:ascii="Arial"/>
                <w:spacing w:val="-1"/>
                <w:sz w:val="21"/>
              </w:rPr>
              <w:tab/>
            </w:r>
            <w:r>
              <w:rPr>
                <w:rFonts w:ascii="Arial"/>
                <w:spacing w:val="-1"/>
                <w:w w:val="100"/>
                <w:sz w:val="21"/>
              </w:rPr>
            </w:r>
            <w:r>
              <w:rPr>
                <w:rFonts w:ascii="Arial"/>
                <w:spacing w:val="-1"/>
                <w:w w:val="100"/>
                <w:sz w:val="21"/>
                <w:u w:val="single" w:color="000000"/>
              </w:rPr>
              <w:t> </w:t>
            </w:r>
            <w:r>
              <w:rPr>
                <w:rFonts w:ascii="Arial"/>
                <w:spacing w:val="-1"/>
                <w:sz w:val="21"/>
                <w:u w:val="single" w:color="000000"/>
              </w:rPr>
              <w:tab/>
            </w:r>
            <w:r>
              <w:rPr>
                <w:rFonts w:ascii="Arial"/>
                <w:spacing w:val="-1"/>
                <w:sz w:val="21"/>
              </w:rPr>
            </w:r>
          </w:p>
        </w:tc>
        <w:tc>
          <w:tcPr>
            <w:tcW w:w="818" w:type="dxa"/>
            <w:tcBorders>
              <w:top w:val="nil" w:sz="6" w:space="0" w:color="auto"/>
              <w:left w:val="nil" w:sz="6" w:space="0" w:color="auto"/>
              <w:bottom w:val="nil" w:sz="6" w:space="0" w:color="auto"/>
              <w:right w:val="nil" w:sz="6" w:space="0" w:color="auto"/>
            </w:tcBorders>
          </w:tcPr>
          <w:p>
            <w:pPr>
              <w:pStyle w:val="TableParagraph"/>
              <w:tabs>
                <w:tab w:pos="1154" w:val="left" w:leader="none"/>
              </w:tabs>
              <w:spacing w:line="240" w:lineRule="auto" w:before="18"/>
              <w:ind w:left="-25" w:right="-337"/>
              <w:jc w:val="left"/>
              <w:rPr>
                <w:rFonts w:ascii="Arial" w:hAnsi="Arial" w:cs="Arial" w:eastAsia="Arial" w:hint="default"/>
                <w:sz w:val="21"/>
                <w:szCs w:val="21"/>
              </w:rPr>
            </w:pPr>
            <w:r>
              <w:rPr>
                <w:rFonts w:ascii="Arial"/>
                <w:w w:val="100"/>
                <w:sz w:val="21"/>
              </w:rPr>
            </w:r>
            <w:r>
              <w:rPr>
                <w:rFonts w:ascii="Arial"/>
                <w:sz w:val="21"/>
                <w:u w:val="single" w:color="000000"/>
              </w:rPr>
              <w:t>296,043</w:t>
              <w:tab/>
            </w:r>
            <w:r>
              <w:rPr>
                <w:rFonts w:ascii="Arial"/>
                <w:sz w:val="21"/>
              </w:rPr>
            </w:r>
          </w:p>
        </w:tc>
        <w:tc>
          <w:tcPr>
            <w:tcW w:w="864"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18"/>
              <w:ind w:right="0"/>
              <w:jc w:val="right"/>
              <w:rPr>
                <w:rFonts w:ascii="Arial" w:hAnsi="Arial" w:cs="Arial" w:eastAsia="Arial" w:hint="default"/>
                <w:sz w:val="21"/>
                <w:szCs w:val="21"/>
              </w:rPr>
            </w:pPr>
            <w:r>
              <w:rPr>
                <w:rFonts w:ascii="Arial"/>
                <w:w w:val="100"/>
                <w:sz w:val="21"/>
              </w:rPr>
            </w:r>
            <w:r>
              <w:rPr>
                <w:rFonts w:ascii="Arial"/>
                <w:sz w:val="21"/>
                <w:u w:val="single" w:color="000000"/>
              </w:rPr>
              <w:t>26%</w:t>
              <w:tab/>
            </w:r>
            <w:r>
              <w:rPr>
                <w:rFonts w:ascii="Arial"/>
                <w:sz w:val="21"/>
              </w:rPr>
            </w: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18"/>
              <w:ind w:left="7" w:right="-56"/>
              <w:jc w:val="left"/>
              <w:rPr>
                <w:rFonts w:ascii="Arial" w:hAnsi="Arial" w:cs="Arial" w:eastAsia="Arial" w:hint="default"/>
                <w:sz w:val="21"/>
                <w:szCs w:val="21"/>
              </w:rPr>
            </w:pPr>
            <w:r>
              <w:rPr>
                <w:rFonts w:ascii="Arial"/>
                <w:w w:val="100"/>
                <w:sz w:val="21"/>
              </w:rPr>
            </w:r>
            <w:r>
              <w:rPr>
                <w:rFonts w:ascii="Arial"/>
                <w:spacing w:val="-4"/>
                <w:w w:val="100"/>
                <w:sz w:val="21"/>
                <w:u w:val="single" w:color="000000"/>
              </w:rPr>
              <w:t> </w:t>
            </w:r>
            <w:r>
              <w:rPr>
                <w:rFonts w:ascii="Arial"/>
                <w:sz w:val="21"/>
                <w:u w:val="single" w:color="000000"/>
              </w:rPr>
              <w:t>(20,306)</w:t>
              <w:tab/>
            </w:r>
            <w:r>
              <w:rPr>
                <w:rFonts w:ascii="Arial"/>
                <w:sz w:val="21"/>
              </w:rPr>
            </w:r>
          </w:p>
        </w:tc>
        <w:tc>
          <w:tcPr>
            <w:tcW w:w="641"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240" w:lineRule="auto" w:before="18"/>
              <w:ind w:left="55" w:right="0"/>
              <w:jc w:val="center"/>
              <w:rPr>
                <w:rFonts w:ascii="Arial" w:hAnsi="Arial" w:cs="Arial" w:eastAsia="Arial" w:hint="default"/>
                <w:sz w:val="21"/>
                <w:szCs w:val="21"/>
              </w:rPr>
            </w:pPr>
            <w:r>
              <w:rPr>
                <w:rFonts w:ascii="Arial"/>
                <w:w w:val="100"/>
                <w:sz w:val="21"/>
              </w:rPr>
            </w:r>
            <w:r>
              <w:rPr>
                <w:rFonts w:ascii="Arial"/>
                <w:sz w:val="21"/>
                <w:u w:val="single" w:color="000000"/>
              </w:rPr>
              <w:t>6.9%</w:t>
              <w:tab/>
            </w:r>
            <w:r>
              <w:rPr>
                <w:rFonts w:ascii="Arial"/>
                <w:sz w:val="21"/>
              </w:rPr>
            </w:r>
          </w:p>
        </w:tc>
      </w:tr>
      <w:tr>
        <w:trPr>
          <w:trHeight w:val="255" w:hRule="exact"/>
        </w:trPr>
        <w:tc>
          <w:tcPr>
            <w:tcW w:w="700"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c>
          <w:tcPr>
            <w:tcW w:w="1173" w:type="dxa"/>
            <w:tcBorders>
              <w:top w:val="nil" w:sz="6" w:space="0" w:color="auto"/>
              <w:left w:val="nil" w:sz="6" w:space="0" w:color="auto"/>
              <w:bottom w:val="single" w:sz="12" w:space="0" w:color="000000"/>
              <w:right w:val="nil" w:sz="6" w:space="0" w:color="auto"/>
            </w:tcBorders>
          </w:tcPr>
          <w:p>
            <w:pPr>
              <w:pStyle w:val="TableParagraph"/>
              <w:spacing w:line="235" w:lineRule="exact"/>
              <w:ind w:left="298" w:right="0"/>
              <w:jc w:val="left"/>
              <w:rPr>
                <w:rFonts w:ascii="Arial" w:hAnsi="Arial" w:cs="Arial" w:eastAsia="Arial" w:hint="default"/>
                <w:sz w:val="21"/>
                <w:szCs w:val="21"/>
              </w:rPr>
            </w:pPr>
            <w:r>
              <w:rPr>
                <w:rFonts w:ascii="Arial"/>
                <w:sz w:val="21"/>
              </w:rPr>
              <w:t>892,979</w:t>
            </w:r>
          </w:p>
        </w:tc>
        <w:tc>
          <w:tcPr>
            <w:tcW w:w="757" w:type="dxa"/>
            <w:tcBorders>
              <w:top w:val="nil" w:sz="6" w:space="0" w:color="auto"/>
              <w:left w:val="nil" w:sz="6" w:space="0" w:color="auto"/>
              <w:bottom w:val="single" w:sz="12" w:space="0" w:color="000000"/>
              <w:right w:val="nil" w:sz="6" w:space="0" w:color="auto"/>
            </w:tcBorders>
          </w:tcPr>
          <w:p>
            <w:pPr>
              <w:pStyle w:val="TableParagraph"/>
              <w:spacing w:line="235" w:lineRule="exact"/>
              <w:ind w:left="171" w:right="0"/>
              <w:jc w:val="left"/>
              <w:rPr>
                <w:rFonts w:ascii="Arial" w:hAnsi="Arial" w:cs="Arial" w:eastAsia="Arial" w:hint="default"/>
                <w:sz w:val="21"/>
                <w:szCs w:val="21"/>
              </w:rPr>
            </w:pPr>
            <w:r>
              <w:rPr>
                <w:rFonts w:ascii="Arial"/>
                <w:sz w:val="21"/>
              </w:rPr>
              <w:t>100%</w:t>
            </w:r>
          </w:p>
        </w:tc>
        <w:tc>
          <w:tcPr>
            <w:tcW w:w="293"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12" w:space="0" w:color="000000"/>
              <w:right w:val="nil" w:sz="6" w:space="0" w:color="auto"/>
            </w:tcBorders>
          </w:tcPr>
          <w:p>
            <w:pPr>
              <w:pStyle w:val="TableParagraph"/>
              <w:spacing w:line="235" w:lineRule="exact"/>
              <w:ind w:left="127" w:right="0"/>
              <w:jc w:val="left"/>
              <w:rPr>
                <w:rFonts w:ascii="Arial" w:hAnsi="Arial" w:cs="Arial" w:eastAsia="Arial" w:hint="default"/>
                <w:sz w:val="21"/>
                <w:szCs w:val="21"/>
              </w:rPr>
            </w:pPr>
            <w:r>
              <w:rPr>
                <w:rFonts w:ascii="Arial"/>
                <w:sz w:val="21"/>
              </w:rPr>
              <w:t>(34,040)</w:t>
            </w:r>
          </w:p>
        </w:tc>
        <w:tc>
          <w:tcPr>
            <w:tcW w:w="1821"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818" w:right="0"/>
              <w:jc w:val="left"/>
              <w:rPr>
                <w:rFonts w:ascii="Arial" w:hAnsi="Arial" w:cs="Arial" w:eastAsia="Arial" w:hint="default"/>
                <w:sz w:val="21"/>
                <w:szCs w:val="21"/>
              </w:rPr>
            </w:pPr>
            <w:r>
              <w:rPr>
                <w:rFonts w:ascii="Arial"/>
                <w:spacing w:val="-3"/>
                <w:sz w:val="21"/>
              </w:rPr>
              <w:t>1,126,811</w:t>
            </w:r>
          </w:p>
        </w:tc>
        <w:tc>
          <w:tcPr>
            <w:tcW w:w="864" w:type="dxa"/>
            <w:tcBorders>
              <w:top w:val="nil" w:sz="6" w:space="0" w:color="auto"/>
              <w:left w:val="nil" w:sz="6" w:space="0" w:color="auto"/>
              <w:bottom w:val="single" w:sz="12" w:space="0" w:color="000000"/>
              <w:right w:val="nil" w:sz="6" w:space="0" w:color="auto"/>
            </w:tcBorders>
          </w:tcPr>
          <w:p>
            <w:pPr>
              <w:pStyle w:val="TableParagraph"/>
              <w:spacing w:line="235" w:lineRule="exact"/>
              <w:ind w:left="218" w:right="0"/>
              <w:jc w:val="left"/>
              <w:rPr>
                <w:rFonts w:ascii="Arial" w:hAnsi="Arial" w:cs="Arial" w:eastAsia="Arial" w:hint="default"/>
                <w:sz w:val="21"/>
                <w:szCs w:val="21"/>
              </w:rPr>
            </w:pPr>
            <w:r>
              <w:rPr>
                <w:rFonts w:ascii="Arial"/>
                <w:sz w:val="21"/>
              </w:rPr>
              <w:t>100%</w:t>
            </w:r>
          </w:p>
        </w:tc>
        <w:tc>
          <w:tcPr>
            <w:tcW w:w="22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single" w:sz="12" w:space="0" w:color="000000"/>
              <w:right w:val="nil" w:sz="6" w:space="0" w:color="auto"/>
            </w:tcBorders>
          </w:tcPr>
          <w:p>
            <w:pPr>
              <w:pStyle w:val="TableParagraph"/>
              <w:spacing w:line="235" w:lineRule="exact"/>
              <w:ind w:left="62" w:right="0"/>
              <w:jc w:val="left"/>
              <w:rPr>
                <w:rFonts w:ascii="Arial" w:hAnsi="Arial" w:cs="Arial" w:eastAsia="Arial" w:hint="default"/>
                <w:sz w:val="21"/>
                <w:szCs w:val="21"/>
              </w:rPr>
            </w:pPr>
            <w:r>
              <w:rPr>
                <w:rFonts w:ascii="Arial"/>
                <w:sz w:val="21"/>
              </w:rPr>
              <w:t>(20,306)</w:t>
            </w:r>
          </w:p>
        </w:tc>
        <w:tc>
          <w:tcPr>
            <w:tcW w:w="641" w:type="dxa"/>
            <w:tcBorders>
              <w:top w:val="nil" w:sz="6" w:space="0" w:color="auto"/>
              <w:left w:val="nil" w:sz="6" w:space="0" w:color="auto"/>
              <w:bottom w:val="single" w:sz="12" w:space="0" w:color="000000"/>
              <w:right w:val="nil" w:sz="6" w:space="0" w:color="auto"/>
            </w:tcBorders>
          </w:tcPr>
          <w:p>
            <w:pPr/>
          </w:p>
        </w:tc>
      </w:tr>
    </w:tbl>
    <w:p>
      <w:pPr>
        <w:spacing w:after="0"/>
        <w:sectPr>
          <w:pgSz w:w="11910" w:h="16850"/>
          <w:pgMar w:header="1474" w:footer="956" w:top="2960" w:bottom="1140" w:left="820" w:right="0"/>
        </w:sectPr>
      </w:pPr>
    </w:p>
    <w:p>
      <w:pPr>
        <w:spacing w:line="240" w:lineRule="auto" w:before="7"/>
        <w:rPr>
          <w:rFonts w:ascii="Times New Roman" w:hAnsi="Times New Roman" w:cs="Times New Roman" w:eastAsia="Times New Roman"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776"/>
        <w:gridCol w:w="3384"/>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其他应收款和长期应收款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2"/>
        <w:rPr>
          <w:rFonts w:ascii="Times New Roman" w:hAnsi="Times New Roman" w:cs="Times New Roman" w:eastAsia="Times New Roman" w:hint="default"/>
          <w:sz w:val="17"/>
          <w:szCs w:val="17"/>
        </w:rPr>
      </w:pPr>
    </w:p>
    <w:p>
      <w:pPr>
        <w:pStyle w:val="BodyText"/>
        <w:tabs>
          <w:tab w:pos="997" w:val="left" w:leader="none"/>
        </w:tabs>
        <w:spacing w:line="240" w:lineRule="auto" w:before="31"/>
        <w:ind w:left="303" w:right="423"/>
        <w:jc w:val="left"/>
      </w:pPr>
      <w:r>
        <w:rPr/>
        <w:pict>
          <v:group style="position:absolute;margin-left:84.984001pt;margin-top:-65.914398pt;width:439.9pt;height:.1pt;mso-position-horizontal-relative:page;mso-position-vertical-relative:paragraph;z-index:-1359208" coordorigin="1700,-1318" coordsize="8798,2">
            <v:shape style="position:absolute;left:1700;top:-1318;width:8798;height:2" coordorigin="1700,-1318" coordsize="8798,0" path="m1700,-1318l10497,-1318e" filled="false" stroked="true" strokeweight=".72pt" strokecolor="#000000">
              <v:path arrowok="t"/>
            </v:shape>
            <w10:wrap type="none"/>
          </v:group>
        </w:pict>
      </w:r>
      <w:r>
        <w:rPr>
          <w:rFonts w:ascii="Arial" w:hAnsi="Arial" w:cs="Arial" w:eastAsia="Arial" w:hint="default"/>
          <w:spacing w:val="-1"/>
          <w:position w:val="2"/>
        </w:rPr>
        <w:t>(c)</w:t>
        <w:tab/>
      </w:r>
      <w:r>
        <w:rPr/>
        <w:t>按组合计提坏账准备的其他应收款和长期应收款中，采用账龄分析法的组合分析如下：</w:t>
      </w:r>
    </w:p>
    <w:p>
      <w:pPr>
        <w:spacing w:line="240" w:lineRule="auto" w:before="9"/>
        <w:rPr>
          <w:rFonts w:ascii="宋体" w:hAnsi="宋体" w:cs="宋体" w:eastAsia="宋体" w:hint="default"/>
          <w:sz w:val="23"/>
          <w:szCs w:val="23"/>
        </w:rPr>
      </w:pPr>
    </w:p>
    <w:p>
      <w:pPr>
        <w:tabs>
          <w:tab w:pos="6112" w:val="left" w:leader="none"/>
        </w:tabs>
        <w:spacing w:before="0"/>
        <w:ind w:left="1818" w:right="0" w:firstLine="0"/>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tabs>
          <w:tab w:pos="4074" w:val="left" w:leader="none"/>
          <w:tab w:pos="6116" w:val="left" w:leader="none"/>
          <w:tab w:pos="8145" w:val="left" w:leader="none"/>
        </w:tabs>
        <w:spacing w:before="12"/>
        <w:ind w:left="1803" w:right="0" w:firstLine="0"/>
        <w:jc w:val="center"/>
        <w:rPr>
          <w:rFonts w:ascii="宋体" w:hAnsi="宋体" w:cs="宋体" w:eastAsia="宋体" w:hint="default"/>
          <w:sz w:val="21"/>
          <w:szCs w:val="21"/>
        </w:rPr>
      </w:pPr>
      <w:r>
        <w:rPr/>
        <w:pict>
          <v:group style="position:absolute;margin-left:85.283997pt;margin-top:.74366pt;width:481.7pt;height:1.6pt;mso-position-horizontal-relative:page;mso-position-vertical-relative:paragraph;z-index:-1359184" coordorigin="1706,15" coordsize="9634,32">
            <v:group style="position:absolute;left:1707;top:16;width:1258;height:2" coordorigin="1707,16" coordsize="1258,2">
              <v:shape style="position:absolute;left:1707;top:16;width:1258;height:2" coordorigin="1707,16" coordsize="1258,0" path="m1707,16l2964,16e" filled="false" stroked="true" strokeweight=".12pt" strokecolor="#ffff99">
                <v:path arrowok="t"/>
              </v:shape>
            </v:group>
            <v:group style="position:absolute;left:2964;top:16;width:4302;height:2" coordorigin="2964,16" coordsize="4302,2">
              <v:shape style="position:absolute;left:2964;top:16;width:4302;height:2" coordorigin="2964,16" coordsize="4302,0" path="m2964,16l7266,16e" filled="false" stroked="true" strokeweight=".12pt" strokecolor="#ffff99">
                <v:path arrowok="t"/>
              </v:shape>
            </v:group>
            <v:group style="position:absolute;left:7266;top:16;width:243;height:2" coordorigin="7266,16" coordsize="243,2">
              <v:shape style="position:absolute;left:7266;top:16;width:243;height:2" coordorigin="7266,16" coordsize="243,0" path="m7266,16l7509,16e" filled="false" stroked="true" strokeweight=".12pt" strokecolor="#ffff99">
                <v:path arrowok="t"/>
              </v:shape>
            </v:group>
            <v:group style="position:absolute;left:7509;top:16;width:3817;height:2" coordorigin="7509,16" coordsize="3817,2">
              <v:shape style="position:absolute;left:7509;top:16;width:3817;height:2" coordorigin="7509,16" coordsize="3817,0" path="m7509,16l11325,16e" filled="false" stroked="true" strokeweight=".12pt" strokecolor="#ffff99">
                <v:path arrowok="t"/>
              </v:shape>
            </v:group>
            <v:group style="position:absolute;left:2964;top:32;width:2257;height:2" coordorigin="2964,32" coordsize="2257,2">
              <v:shape style="position:absolute;left:2964;top:32;width:2257;height:2" coordorigin="2964,32" coordsize="2257,0" path="m2964,32l5221,32e" filled="false" stroked="true" strokeweight="1.44pt" strokecolor="#000000">
                <v:path arrowok="t"/>
              </v:shape>
            </v:group>
            <v:group style="position:absolute;left:5221;top:32;width:29;height:2" coordorigin="5221,32" coordsize="29,2">
              <v:shape style="position:absolute;left:5221;top:32;width:29;height:2" coordorigin="5221,32" coordsize="29,0" path="m5221,32l5250,32e" filled="false" stroked="true" strokeweight="1.44pt" strokecolor="#000000">
                <v:path arrowok="t"/>
              </v:shape>
            </v:group>
            <v:group style="position:absolute;left:5250;top:32;width:207;height:2" coordorigin="5250,32" coordsize="207,2">
              <v:shape style="position:absolute;left:5250;top:32;width:207;height:2" coordorigin="5250,32" coordsize="207,0" path="m5250,32l5456,32e" filled="false" stroked="true" strokeweight="1.44pt" strokecolor="#000000">
                <v:path arrowok="t"/>
              </v:shape>
            </v:group>
            <v:group style="position:absolute;left:5456;top:32;width:29;height:2" coordorigin="5456,32" coordsize="29,2">
              <v:shape style="position:absolute;left:5456;top:32;width:29;height:2" coordorigin="5456,32" coordsize="29,0" path="m5456,32l5485,32e" filled="false" stroked="true" strokeweight="1.44pt" strokecolor="#000000">
                <v:path arrowok="t"/>
              </v:shape>
            </v:group>
            <v:group style="position:absolute;left:5485;top:32;width:1782;height:2" coordorigin="5485,32" coordsize="1782,2">
              <v:shape style="position:absolute;left:5485;top:32;width:1782;height:2" coordorigin="5485,32" coordsize="1782,0" path="m5485,32l7266,32e" filled="false" stroked="true" strokeweight="1.44pt" strokecolor="#000000">
                <v:path arrowok="t"/>
              </v:shape>
            </v:group>
            <v:group style="position:absolute;left:7266;top:22;width:243;height:2" coordorigin="7266,22" coordsize="243,2">
              <v:shape style="position:absolute;left:7266;top:22;width:243;height:2" coordorigin="7266,22" coordsize="243,0" path="m7266,22l7509,22e" filled="false" stroked="true" strokeweight=".47998pt" strokecolor="#000000">
                <v:path arrowok="t"/>
              </v:shape>
            </v:group>
            <v:group style="position:absolute;left:7509;top:32;width:1796;height:2" coordorigin="7509,32" coordsize="1796,2">
              <v:shape style="position:absolute;left:7509;top:32;width:1796;height:2" coordorigin="7509,32" coordsize="1796,0" path="m7509,32l9304,32e" filled="false" stroked="true" strokeweight="1.44pt" strokecolor="#000000">
                <v:path arrowok="t"/>
              </v:shape>
            </v:group>
            <v:group style="position:absolute;left:9304;top:32;width:29;height:2" coordorigin="9304,32" coordsize="29,2">
              <v:shape style="position:absolute;left:9304;top:32;width:29;height:2" coordorigin="9304,32" coordsize="29,0" path="m9304,32l9333,32e" filled="false" stroked="true" strokeweight="1.44pt" strokecolor="#000000">
                <v:path arrowok="t"/>
              </v:shape>
            </v:group>
            <v:group style="position:absolute;left:9333;top:32;width:209;height:2" coordorigin="9333,32" coordsize="209,2">
              <v:shape style="position:absolute;left:9333;top:32;width:209;height:2" coordorigin="9333,32" coordsize="209,0" path="m9333,32l9542,32e" filled="false" stroked="true" strokeweight="1.44pt" strokecolor="#000000">
                <v:path arrowok="t"/>
              </v:shape>
            </v:group>
            <v:group style="position:absolute;left:9542;top:32;width:29;height:2" coordorigin="9542,32" coordsize="29,2">
              <v:shape style="position:absolute;left:9542;top:32;width:29;height:2" coordorigin="9542,32" coordsize="29,0" path="m9542,32l9571,32e" filled="false" stroked="true" strokeweight="1.44pt" strokecolor="#000000">
                <v:path arrowok="t"/>
              </v:shape>
            </v:group>
            <v:group style="position:absolute;left:9571;top:32;width:1755;height:2" coordorigin="9571,32" coordsize="1755,2">
              <v:shape style="position:absolute;left:9571;top:32;width:1755;height:2" coordorigin="9571,32" coordsize="1755,0" path="m9571,32l11325,32e" filled="false" stroked="true" strokeweight="1.44pt" strokecolor="#000000">
                <v:path arrowok="t"/>
              </v:shape>
            </v:group>
            <w10:wrap type="none"/>
          </v:group>
        </w:pict>
      </w:r>
      <w:r>
        <w:rPr/>
        <w:pict>
          <v:group style="position:absolute;margin-left:85.283997pt;margin-top:15.86366pt;width:481.7pt;height:1.6pt;mso-position-horizontal-relative:page;mso-position-vertical-relative:paragraph;z-index:-1359160" coordorigin="1706,317" coordsize="9634,32">
            <v:group style="position:absolute;left:1707;top:318;width:1258;height:2" coordorigin="1707,318" coordsize="1258,2">
              <v:shape style="position:absolute;left:1707;top:318;width:1258;height:2" coordorigin="1707,318" coordsize="1258,0" path="m1707,318l2964,318e" filled="false" stroked="true" strokeweight=".12pt" strokecolor="#ffff99">
                <v:path arrowok="t"/>
              </v:shape>
            </v:group>
            <v:group style="position:absolute;left:2964;top:318;width:2257;height:2" coordorigin="2964,318" coordsize="2257,2">
              <v:shape style="position:absolute;left:2964;top:318;width:2257;height:2" coordorigin="2964,318" coordsize="2257,0" path="m2964,318l5221,318e" filled="false" stroked="true" strokeweight=".12pt" strokecolor="#ffff99">
                <v:path arrowok="t"/>
              </v:shape>
            </v:group>
            <v:group style="position:absolute;left:5221;top:318;width:236;height:2" coordorigin="5221,318" coordsize="236,2">
              <v:shape style="position:absolute;left:5221;top:318;width:236;height:2" coordorigin="5221,318" coordsize="236,0" path="m5221,318l5456,318e" filled="false" stroked="true" strokeweight=".12pt" strokecolor="#ffff99">
                <v:path arrowok="t"/>
              </v:shape>
            </v:group>
            <v:group style="position:absolute;left:5456;top:318;width:1811;height:2" coordorigin="5456,318" coordsize="1811,2">
              <v:shape style="position:absolute;left:5456;top:318;width:1811;height:2" coordorigin="5456,318" coordsize="1811,0" path="m5456,318l7266,318e" filled="false" stroked="true" strokeweight=".12pt" strokecolor="#ffff99">
                <v:path arrowok="t"/>
              </v:shape>
            </v:group>
            <v:group style="position:absolute;left:7266;top:318;width:243;height:2" coordorigin="7266,318" coordsize="243,2">
              <v:shape style="position:absolute;left:7266;top:318;width:243;height:2" coordorigin="7266,318" coordsize="243,0" path="m7266,318l7509,318e" filled="false" stroked="true" strokeweight=".12pt" strokecolor="#ffff99">
                <v:path arrowok="t"/>
              </v:shape>
            </v:group>
            <v:group style="position:absolute;left:7509;top:318;width:1796;height:2" coordorigin="7509,318" coordsize="1796,2">
              <v:shape style="position:absolute;left:7509;top:318;width:1796;height:2" coordorigin="7509,318" coordsize="1796,0" path="m7509,318l9304,318e" filled="false" stroked="true" strokeweight=".12pt" strokecolor="#ffff99">
                <v:path arrowok="t"/>
              </v:shape>
            </v:group>
            <v:group style="position:absolute;left:9304;top:318;width:238;height:2" coordorigin="9304,318" coordsize="238,2">
              <v:shape style="position:absolute;left:9304;top:318;width:238;height:2" coordorigin="9304,318" coordsize="238,0" path="m9304,318l9542,318e" filled="false" stroked="true" strokeweight=".12pt" strokecolor="#ffff99">
                <v:path arrowok="t"/>
              </v:shape>
            </v:group>
            <v:group style="position:absolute;left:9542;top:318;width:1784;height:2" coordorigin="9542,318" coordsize="1784,2">
              <v:shape style="position:absolute;left:9542;top:318;width:1784;height:2" coordorigin="9542,318" coordsize="1784,0" path="m9542,318l11325,318e" filled="false" stroked="true" strokeweight=".12pt" strokecolor="#ffff99">
                <v:path arrowok="t"/>
              </v:shape>
            </v:group>
            <v:group style="position:absolute;left:2964;top:334;width:1151;height:2" coordorigin="2964,334" coordsize="1151,2">
              <v:shape style="position:absolute;left:2964;top:334;width:1151;height:2" coordorigin="2964,334" coordsize="1151,0" path="m2964,334l4114,334e" filled="false" stroked="true" strokeweight="1.44pt" strokecolor="#000000">
                <v:path arrowok="t"/>
              </v:shape>
            </v:group>
            <v:group style="position:absolute;left:4115;top:334;width:29;height:2" coordorigin="4115,334" coordsize="29,2">
              <v:shape style="position:absolute;left:4115;top:334;width:29;height:2" coordorigin="4115,334" coordsize="29,0" path="m4115,334l4143,334e" filled="false" stroked="true" strokeweight="1.44pt" strokecolor="#000000">
                <v:path arrowok="t"/>
              </v:shape>
            </v:group>
            <v:group style="position:absolute;left:4143;top:334;width:1078;height:2" coordorigin="4143,334" coordsize="1078,2">
              <v:shape style="position:absolute;left:4143;top:334;width:1078;height:2" coordorigin="4143,334" coordsize="1078,0" path="m4143,334l5221,334e" filled="false" stroked="true" strokeweight="1.44pt" strokecolor="#000000">
                <v:path arrowok="t"/>
              </v:shape>
            </v:group>
            <v:group style="position:absolute;left:5456;top:334;width:1086;height:2" coordorigin="5456,334" coordsize="1086,2">
              <v:shape style="position:absolute;left:5456;top:334;width:1086;height:2" coordorigin="5456,334" coordsize="1086,0" path="m5456,334l6541,334e" filled="false" stroked="true" strokeweight="1.44pt" strokecolor="#000000">
                <v:path arrowok="t"/>
              </v:shape>
            </v:group>
            <v:group style="position:absolute;left:6541;top:334;width:29;height:2" coordorigin="6541,334" coordsize="29,2">
              <v:shape style="position:absolute;left:6541;top:334;width:29;height:2" coordorigin="6541,334" coordsize="29,0" path="m6541,334l6570,334e" filled="false" stroked="true" strokeweight="1.44pt" strokecolor="#000000">
                <v:path arrowok="t"/>
              </v:shape>
            </v:group>
            <v:group style="position:absolute;left:6570;top:334;width:696;height:2" coordorigin="6570,334" coordsize="696,2">
              <v:shape style="position:absolute;left:6570;top:334;width:696;height:2" coordorigin="6570,334" coordsize="696,0" path="m6570,334l7266,334e" filled="false" stroked="true" strokeweight="1.44pt" strokecolor="#000000">
                <v:path arrowok="t"/>
              </v:shape>
            </v:group>
            <v:group style="position:absolute;left:7509;top:334;width:1037;height:2" coordorigin="7509,334" coordsize="1037,2">
              <v:shape style="position:absolute;left:7509;top:334;width:1037;height:2" coordorigin="7509,334" coordsize="1037,0" path="m7509,334l8545,334e" filled="false" stroked="true" strokeweight="1.44pt" strokecolor="#000000">
                <v:path arrowok="t"/>
              </v:shape>
            </v:group>
            <v:group style="position:absolute;left:8545;top:334;width:29;height:2" coordorigin="8545,334" coordsize="29,2">
              <v:shape style="position:absolute;left:8545;top:334;width:29;height:2" coordorigin="8545,334" coordsize="29,0" path="m8545,334l8574,334e" filled="false" stroked="true" strokeweight="1.44pt" strokecolor="#000000">
                <v:path arrowok="t"/>
              </v:shape>
            </v:group>
            <v:group style="position:absolute;left:8574;top:334;width:731;height:2" coordorigin="8574,334" coordsize="731,2">
              <v:shape style="position:absolute;left:8574;top:334;width:731;height:2" coordorigin="8574,334" coordsize="731,0" path="m8574,334l9304,334e" filled="false" stroked="true" strokeweight="1.44pt" strokecolor="#000000">
                <v:path arrowok="t"/>
              </v:shape>
            </v:group>
            <v:group style="position:absolute;left:9542;top:334;width:1056;height:2" coordorigin="9542,334" coordsize="1056,2">
              <v:shape style="position:absolute;left:9542;top:334;width:1056;height:2" coordorigin="9542,334" coordsize="1056,0" path="m9542,334l10598,334e" filled="false" stroked="true" strokeweight="1.44pt" strokecolor="#000000">
                <v:path arrowok="t"/>
              </v:shape>
            </v:group>
            <v:group style="position:absolute;left:10598;top:334;width:29;height:2" coordorigin="10598,334" coordsize="29,2">
              <v:shape style="position:absolute;left:10598;top:334;width:29;height:2" coordorigin="10598,334" coordsize="29,0" path="m10598,334l10627,334e" filled="false" stroked="true" strokeweight="1.44pt" strokecolor="#000000">
                <v:path arrowok="t"/>
              </v:shape>
            </v:group>
            <v:group style="position:absolute;left:10627;top:334;width:699;height:2" coordorigin="10627,334" coordsize="699,2">
              <v:shape style="position:absolute;left:10627;top:334;width:699;height:2" coordorigin="10627,334" coordsize="699,0" path="m10627,334l11325,334e" filled="false" stroked="true" strokeweight="1.44pt" strokecolor="#000000">
                <v:path arrowok="t"/>
              </v:shape>
            </v:group>
            <w10:wrap type="none"/>
          </v:group>
        </w:pict>
      </w:r>
      <w:r>
        <w:rPr>
          <w:rFonts w:ascii="宋体" w:hAnsi="宋体" w:cs="宋体" w:eastAsia="宋体" w:hint="default"/>
          <w:spacing w:val="-1"/>
          <w:sz w:val="21"/>
          <w:szCs w:val="21"/>
        </w:rPr>
        <w:t>账面余额</w:t>
        <w:tab/>
        <w:t>坏账准备</w:t>
        <w:tab/>
        <w:t>账面余额</w:t>
        <w:tab/>
        <w:t>坏账准备</w:t>
      </w:r>
    </w:p>
    <w:p>
      <w:pPr>
        <w:spacing w:after="0"/>
        <w:jc w:val="center"/>
        <w:rPr>
          <w:rFonts w:ascii="宋体" w:hAnsi="宋体" w:cs="宋体" w:eastAsia="宋体" w:hint="default"/>
          <w:sz w:val="21"/>
          <w:szCs w:val="21"/>
        </w:rPr>
        <w:sectPr>
          <w:pgSz w:w="11910" w:h="16850"/>
          <w:pgMar w:header="1474" w:footer="956" w:top="2960" w:bottom="1140" w:left="820" w:right="0"/>
        </w:sectPr>
      </w:pPr>
    </w:p>
    <w:p>
      <w:pPr>
        <w:tabs>
          <w:tab w:pos="3640" w:val="left" w:leader="none"/>
          <w:tab w:pos="4969" w:val="left" w:leader="none"/>
          <w:tab w:pos="5874" w:val="left" w:leader="none"/>
        </w:tabs>
        <w:spacing w:line="272" w:lineRule="exact" w:before="57"/>
        <w:ind w:left="5875" w:right="0" w:hanging="3366"/>
        <w:jc w:val="right"/>
        <w:rPr>
          <w:rFonts w:ascii="宋体" w:hAnsi="宋体" w:cs="宋体" w:eastAsia="宋体" w:hint="default"/>
          <w:sz w:val="21"/>
          <w:szCs w:val="21"/>
        </w:rPr>
      </w:pPr>
      <w:r>
        <w:rPr>
          <w:rFonts w:ascii="宋体" w:hAnsi="宋体" w:cs="宋体" w:eastAsia="宋体" w:hint="default"/>
          <w:sz w:val="21"/>
          <w:szCs w:val="21"/>
        </w:rPr>
        <w:t>金额</w:t>
        <w:tab/>
        <w:t>比例</w:t>
        <w:tab/>
        <w:t>金额</w:t>
        <w:tab/>
        <w:t>计提</w:t>
      </w:r>
      <w:r>
        <w:rPr>
          <w:rFonts w:ascii="宋体" w:hAnsi="宋体" w:cs="宋体" w:eastAsia="宋体" w:hint="default"/>
          <w:w w:val="100"/>
          <w:sz w:val="21"/>
          <w:szCs w:val="21"/>
        </w:rPr>
        <w:t> </w:t>
      </w:r>
      <w:r>
        <w:rPr>
          <w:rFonts w:ascii="宋体" w:hAnsi="宋体" w:cs="宋体" w:eastAsia="宋体" w:hint="default"/>
          <w:sz w:val="21"/>
          <w:szCs w:val="21"/>
        </w:rPr>
        <w:t>比例</w:t>
      </w:r>
    </w:p>
    <w:p>
      <w:pPr>
        <w:tabs>
          <w:tab w:pos="1558" w:val="left" w:leader="none"/>
          <w:tab w:pos="2703" w:val="left" w:leader="none"/>
          <w:tab w:pos="3594" w:val="left" w:leader="none"/>
        </w:tabs>
        <w:spacing w:line="272" w:lineRule="exact" w:before="57"/>
        <w:ind w:left="3594" w:right="730" w:hanging="2936"/>
        <w:jc w:val="right"/>
        <w:rPr>
          <w:rFonts w:ascii="宋体" w:hAnsi="宋体" w:cs="宋体" w:eastAsia="宋体" w:hint="default"/>
          <w:sz w:val="21"/>
          <w:szCs w:val="21"/>
        </w:rPr>
      </w:pPr>
      <w:r>
        <w:rPr/>
        <w:br w:type="column"/>
      </w:r>
      <w:r>
        <w:rPr>
          <w:rFonts w:ascii="宋体" w:hAnsi="宋体" w:cs="宋体" w:eastAsia="宋体" w:hint="default"/>
          <w:sz w:val="21"/>
          <w:szCs w:val="21"/>
        </w:rPr>
        <w:t>金额</w:t>
        <w:tab/>
        <w:t>比例</w:t>
        <w:tab/>
        <w:t>金额</w:t>
        <w:tab/>
        <w:t>计提</w:t>
      </w:r>
      <w:r>
        <w:rPr>
          <w:rFonts w:ascii="宋体" w:hAnsi="宋体" w:cs="宋体" w:eastAsia="宋体" w:hint="default"/>
          <w:w w:val="100"/>
          <w:sz w:val="21"/>
          <w:szCs w:val="21"/>
        </w:rPr>
        <w:t> </w:t>
      </w:r>
      <w:r>
        <w:rPr>
          <w:rFonts w:ascii="宋体" w:hAnsi="宋体" w:cs="宋体" w:eastAsia="宋体" w:hint="default"/>
          <w:sz w:val="21"/>
          <w:szCs w:val="21"/>
        </w:rPr>
        <w:t>比例</w:t>
      </w:r>
    </w:p>
    <w:p>
      <w:pPr>
        <w:spacing w:after="0" w:line="272" w:lineRule="exact"/>
        <w:jc w:val="right"/>
        <w:rPr>
          <w:rFonts w:ascii="宋体" w:hAnsi="宋体" w:cs="宋体" w:eastAsia="宋体" w:hint="default"/>
          <w:sz w:val="21"/>
          <w:szCs w:val="21"/>
        </w:rPr>
        <w:sectPr>
          <w:type w:val="continuous"/>
          <w:pgSz w:w="11910" w:h="16850"/>
          <w:pgMar w:top="980" w:bottom="1100" w:left="820" w:right="0"/>
          <w:cols w:num="2" w:equalWidth="0">
            <w:col w:w="6298" w:space="40"/>
            <w:col w:w="4752"/>
          </w:cols>
        </w:sectPr>
      </w:pPr>
    </w:p>
    <w:p>
      <w:pPr>
        <w:spacing w:line="240" w:lineRule="auto" w:before="1"/>
        <w:rPr>
          <w:rFonts w:ascii="宋体" w:hAnsi="宋体" w:cs="宋体" w:eastAsia="宋体" w:hint="default"/>
          <w:sz w:val="13"/>
          <w:szCs w:val="13"/>
        </w:rPr>
      </w:pPr>
    </w:p>
    <w:p>
      <w:pPr>
        <w:tabs>
          <w:tab w:pos="2429" w:val="left" w:leader="none"/>
          <w:tab w:pos="3700" w:val="left" w:leader="none"/>
          <w:tab w:pos="4830" w:val="left" w:leader="none"/>
          <w:tab w:pos="6038" w:val="left" w:leader="none"/>
          <w:tab w:pos="6870" w:val="left" w:leader="none"/>
          <w:tab w:pos="7845" w:val="left" w:leader="none"/>
          <w:tab w:pos="8918" w:val="left" w:leader="none"/>
          <w:tab w:pos="10111" w:val="left" w:leader="none"/>
        </w:tabs>
        <w:spacing w:line="274" w:lineRule="exact" w:before="45"/>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一年以内</w:t>
        <w:tab/>
      </w:r>
      <w:r>
        <w:rPr>
          <w:rFonts w:ascii="Arial" w:hAnsi="Arial" w:cs="Arial" w:eastAsia="Arial" w:hint="default"/>
          <w:spacing w:val="-1"/>
          <w:position w:val="2"/>
          <w:sz w:val="21"/>
          <w:szCs w:val="21"/>
        </w:rPr>
        <w:t>293,124</w:t>
        <w:tab/>
        <w:t>70.4%</w:t>
        <w:tab/>
        <w:t>(15,083)</w:t>
        <w:tab/>
      </w:r>
      <w:r>
        <w:rPr>
          <w:rFonts w:ascii="Arial" w:hAnsi="Arial" w:cs="Arial" w:eastAsia="Arial" w:hint="default"/>
          <w:position w:val="2"/>
          <w:sz w:val="21"/>
          <w:szCs w:val="21"/>
        </w:rPr>
        <w:t>5%</w:t>
        <w:tab/>
      </w:r>
      <w:r>
        <w:rPr>
          <w:rFonts w:ascii="Arial" w:hAnsi="Arial" w:cs="Arial" w:eastAsia="Arial" w:hint="default"/>
          <w:spacing w:val="-1"/>
          <w:position w:val="2"/>
          <w:sz w:val="21"/>
          <w:szCs w:val="21"/>
        </w:rPr>
        <w:t>235,395</w:t>
        <w:tab/>
        <w:t>79.5%</w:t>
        <w:tab/>
      </w:r>
      <w:r>
        <w:rPr>
          <w:rFonts w:ascii="Arial" w:hAnsi="Arial" w:cs="Arial" w:eastAsia="Arial" w:hint="default"/>
          <w:spacing w:val="-3"/>
          <w:position w:val="2"/>
          <w:sz w:val="21"/>
          <w:szCs w:val="21"/>
        </w:rPr>
        <w:t>(11,678)</w:t>
        <w:tab/>
      </w:r>
      <w:r>
        <w:rPr>
          <w:rFonts w:ascii="Arial" w:hAnsi="Arial" w:cs="Arial" w:eastAsia="Arial" w:hint="default"/>
          <w:position w:val="2"/>
          <w:sz w:val="21"/>
          <w:szCs w:val="21"/>
        </w:rPr>
        <w:t>5%</w:t>
      </w:r>
      <w:r>
        <w:rPr>
          <w:rFonts w:ascii="Arial" w:hAnsi="Arial" w:cs="Arial" w:eastAsia="Arial" w:hint="default"/>
          <w:sz w:val="21"/>
          <w:szCs w:val="21"/>
        </w:rPr>
      </w:r>
    </w:p>
    <w:p>
      <w:pPr>
        <w:tabs>
          <w:tab w:pos="2545" w:val="left" w:leader="none"/>
          <w:tab w:pos="3700" w:val="left" w:leader="none"/>
          <w:tab w:pos="4948" w:val="left" w:leader="none"/>
          <w:tab w:pos="5918" w:val="left" w:leader="none"/>
          <w:tab w:pos="6986" w:val="left" w:leader="none"/>
          <w:tab w:pos="7845" w:val="left" w:leader="none"/>
          <w:tab w:pos="9019" w:val="left" w:leader="none"/>
          <w:tab w:pos="9991" w:val="left" w:leader="none"/>
        </w:tabs>
        <w:spacing w:line="272" w:lineRule="exact" w:before="0"/>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一到二年</w:t>
        <w:tab/>
      </w:r>
      <w:r>
        <w:rPr>
          <w:rFonts w:ascii="Arial" w:hAnsi="Arial" w:cs="Arial" w:eastAsia="Arial" w:hint="default"/>
          <w:spacing w:val="-1"/>
          <w:position w:val="2"/>
          <w:sz w:val="21"/>
          <w:szCs w:val="21"/>
        </w:rPr>
        <w:t>81,429</w:t>
        <w:tab/>
        <w:t>19.6%</w:t>
        <w:tab/>
        <w:t>(8,143)</w:t>
        <w:tab/>
      </w:r>
      <w:r>
        <w:rPr>
          <w:rFonts w:ascii="Arial" w:hAnsi="Arial" w:cs="Arial" w:eastAsia="Arial" w:hint="default"/>
          <w:position w:val="2"/>
          <w:sz w:val="21"/>
          <w:szCs w:val="21"/>
        </w:rPr>
        <w:t>10%</w:t>
        <w:tab/>
      </w:r>
      <w:r>
        <w:rPr>
          <w:rFonts w:ascii="Arial" w:hAnsi="Arial" w:cs="Arial" w:eastAsia="Arial" w:hint="default"/>
          <w:spacing w:val="-1"/>
          <w:position w:val="2"/>
          <w:sz w:val="21"/>
          <w:szCs w:val="21"/>
        </w:rPr>
        <w:t>46,589</w:t>
        <w:tab/>
        <w:t>15.7%</w:t>
        <w:tab/>
        <w:t>(4,659)</w:t>
        <w:tab/>
      </w:r>
      <w:r>
        <w:rPr>
          <w:rFonts w:ascii="Arial" w:hAnsi="Arial" w:cs="Arial" w:eastAsia="Arial" w:hint="default"/>
          <w:position w:val="2"/>
          <w:sz w:val="21"/>
          <w:szCs w:val="21"/>
        </w:rPr>
        <w:t>10%</w:t>
      </w:r>
      <w:r>
        <w:rPr>
          <w:rFonts w:ascii="Arial" w:hAnsi="Arial" w:cs="Arial" w:eastAsia="Arial" w:hint="default"/>
          <w:sz w:val="21"/>
          <w:szCs w:val="21"/>
        </w:rPr>
      </w:r>
    </w:p>
    <w:p>
      <w:pPr>
        <w:tabs>
          <w:tab w:pos="2545" w:val="left" w:leader="none"/>
          <w:tab w:pos="3817" w:val="left" w:leader="none"/>
          <w:tab w:pos="4948" w:val="left" w:leader="none"/>
          <w:tab w:pos="5920" w:val="left" w:leader="none"/>
          <w:tab w:pos="7103" w:val="left" w:leader="none"/>
          <w:tab w:pos="7962" w:val="left" w:leader="none"/>
          <w:tab w:pos="9019" w:val="left" w:leader="none"/>
          <w:tab w:pos="9993" w:val="left" w:leader="none"/>
        </w:tabs>
        <w:spacing w:line="272" w:lineRule="exact" w:before="0"/>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二到三年</w:t>
        <w:tab/>
      </w:r>
      <w:r>
        <w:rPr>
          <w:rFonts w:ascii="Arial" w:hAnsi="Arial" w:cs="Arial" w:eastAsia="Arial" w:hint="default"/>
          <w:spacing w:val="-1"/>
          <w:position w:val="2"/>
          <w:sz w:val="21"/>
          <w:szCs w:val="21"/>
        </w:rPr>
        <w:t>31,335</w:t>
        <w:tab/>
        <w:t>7.5%</w:t>
        <w:tab/>
        <w:t>(6,267)</w:t>
        <w:tab/>
      </w:r>
      <w:r>
        <w:rPr>
          <w:rFonts w:ascii="Arial" w:hAnsi="Arial" w:cs="Arial" w:eastAsia="Arial" w:hint="default"/>
          <w:position w:val="2"/>
          <w:sz w:val="21"/>
          <w:szCs w:val="21"/>
        </w:rPr>
        <w:t>20%</w:t>
        <w:tab/>
      </w:r>
      <w:r>
        <w:rPr>
          <w:rFonts w:ascii="Arial" w:hAnsi="Arial" w:cs="Arial" w:eastAsia="Arial" w:hint="default"/>
          <w:spacing w:val="-1"/>
          <w:position w:val="2"/>
          <w:sz w:val="21"/>
          <w:szCs w:val="21"/>
        </w:rPr>
        <w:t>8,298</w:t>
        <w:tab/>
        <w:t>2.8%</w:t>
        <w:tab/>
        <w:t>(1,660)</w:t>
        <w:tab/>
      </w:r>
      <w:r>
        <w:rPr>
          <w:rFonts w:ascii="Arial" w:hAnsi="Arial" w:cs="Arial" w:eastAsia="Arial" w:hint="default"/>
          <w:position w:val="2"/>
          <w:sz w:val="21"/>
          <w:szCs w:val="21"/>
        </w:rPr>
        <w:t>20%</w:t>
      </w:r>
      <w:r>
        <w:rPr>
          <w:rFonts w:ascii="Arial" w:hAnsi="Arial" w:cs="Arial" w:eastAsia="Arial" w:hint="default"/>
          <w:sz w:val="21"/>
          <w:szCs w:val="21"/>
        </w:rPr>
      </w:r>
    </w:p>
    <w:p>
      <w:pPr>
        <w:tabs>
          <w:tab w:pos="2710" w:val="left" w:leader="none"/>
          <w:tab w:pos="3817" w:val="left" w:leader="none"/>
          <w:tab w:pos="4948" w:val="left" w:leader="none"/>
          <w:tab w:pos="5918" w:val="left" w:leader="none"/>
          <w:tab w:pos="7103" w:val="left" w:leader="none"/>
          <w:tab w:pos="7960" w:val="left" w:leader="none"/>
          <w:tab w:pos="9019" w:val="left" w:leader="none"/>
          <w:tab w:pos="9991" w:val="left" w:leader="none"/>
        </w:tabs>
        <w:spacing w:line="274" w:lineRule="exact" w:before="0"/>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三到四年</w:t>
        <w:tab/>
      </w:r>
      <w:r>
        <w:rPr>
          <w:rFonts w:ascii="Arial" w:hAnsi="Arial" w:cs="Arial" w:eastAsia="Arial" w:hint="default"/>
          <w:spacing w:val="-1"/>
          <w:position w:val="2"/>
          <w:sz w:val="21"/>
          <w:szCs w:val="21"/>
        </w:rPr>
        <w:t>6,062</w:t>
        <w:tab/>
        <w:t>1.5%</w:t>
        <w:tab/>
        <w:t>(1,810)</w:t>
        <w:tab/>
      </w:r>
      <w:r>
        <w:rPr>
          <w:rFonts w:ascii="Arial" w:hAnsi="Arial" w:cs="Arial" w:eastAsia="Arial" w:hint="default"/>
          <w:position w:val="2"/>
          <w:sz w:val="21"/>
          <w:szCs w:val="21"/>
        </w:rPr>
        <w:t>30%</w:t>
        <w:tab/>
      </w:r>
      <w:r>
        <w:rPr>
          <w:rFonts w:ascii="Arial" w:hAnsi="Arial" w:cs="Arial" w:eastAsia="Arial" w:hint="default"/>
          <w:spacing w:val="-1"/>
          <w:position w:val="2"/>
          <w:sz w:val="21"/>
          <w:szCs w:val="21"/>
        </w:rPr>
        <w:t>4,606</w:t>
        <w:tab/>
        <w:t>1.6%</w:t>
        <w:tab/>
        <w:t>(1,382)</w:t>
        <w:tab/>
      </w:r>
      <w:r>
        <w:rPr>
          <w:rFonts w:ascii="Arial" w:hAnsi="Arial" w:cs="Arial" w:eastAsia="Arial" w:hint="default"/>
          <w:position w:val="2"/>
          <w:sz w:val="21"/>
          <w:szCs w:val="21"/>
        </w:rPr>
        <w:t>30%</w:t>
      </w:r>
      <w:r>
        <w:rPr>
          <w:rFonts w:ascii="Arial" w:hAnsi="Arial" w:cs="Arial" w:eastAsia="Arial" w:hint="default"/>
          <w:sz w:val="21"/>
          <w:szCs w:val="21"/>
        </w:rPr>
      </w:r>
    </w:p>
    <w:p>
      <w:pPr>
        <w:tabs>
          <w:tab w:pos="2710" w:val="left" w:leader="none"/>
          <w:tab w:pos="3817" w:val="left" w:leader="none"/>
          <w:tab w:pos="4948" w:val="left" w:leader="none"/>
          <w:tab w:pos="5920" w:val="left" w:leader="none"/>
          <w:tab w:pos="7278" w:val="left" w:leader="none"/>
          <w:tab w:pos="7960" w:val="left" w:leader="none"/>
          <w:tab w:pos="9194" w:val="left" w:leader="none"/>
          <w:tab w:pos="9993" w:val="left" w:leader="none"/>
        </w:tabs>
        <w:spacing w:line="274" w:lineRule="exact" w:before="0"/>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四到五年</w:t>
        <w:tab/>
      </w:r>
      <w:r>
        <w:rPr>
          <w:rFonts w:ascii="Arial" w:hAnsi="Arial" w:cs="Arial" w:eastAsia="Arial" w:hint="default"/>
          <w:spacing w:val="-1"/>
          <w:position w:val="2"/>
          <w:sz w:val="21"/>
          <w:szCs w:val="21"/>
        </w:rPr>
        <w:t>4,321</w:t>
        <w:tab/>
        <w:t>1.0%</w:t>
        <w:tab/>
        <w:t>(2,593)</w:t>
        <w:tab/>
      </w:r>
      <w:r>
        <w:rPr>
          <w:rFonts w:ascii="Arial" w:hAnsi="Arial" w:cs="Arial" w:eastAsia="Arial" w:hint="default"/>
          <w:position w:val="2"/>
          <w:sz w:val="21"/>
          <w:szCs w:val="21"/>
        </w:rPr>
        <w:t>60%</w:t>
        <w:tab/>
        <w:t>571</w:t>
        <w:tab/>
      </w:r>
      <w:r>
        <w:rPr>
          <w:rFonts w:ascii="Arial" w:hAnsi="Arial" w:cs="Arial" w:eastAsia="Arial" w:hint="default"/>
          <w:spacing w:val="-1"/>
          <w:position w:val="2"/>
          <w:sz w:val="21"/>
          <w:szCs w:val="21"/>
        </w:rPr>
        <w:t>0.2%</w:t>
        <w:tab/>
        <w:t>(343)</w:t>
        <w:tab/>
      </w:r>
      <w:r>
        <w:rPr>
          <w:rFonts w:ascii="Arial" w:hAnsi="Arial" w:cs="Arial" w:eastAsia="Arial" w:hint="default"/>
          <w:position w:val="2"/>
          <w:sz w:val="21"/>
          <w:szCs w:val="21"/>
        </w:rPr>
        <w:t>60%</w:t>
      </w:r>
      <w:r>
        <w:rPr>
          <w:rFonts w:ascii="Arial" w:hAnsi="Arial" w:cs="Arial" w:eastAsia="Arial" w:hint="default"/>
          <w:sz w:val="21"/>
          <w:szCs w:val="21"/>
        </w:rPr>
      </w:r>
    </w:p>
    <w:p>
      <w:pPr>
        <w:tabs>
          <w:tab w:pos="2837" w:val="left" w:leader="none"/>
          <w:tab w:pos="3817" w:val="left" w:leader="none"/>
          <w:tab w:pos="5123" w:val="left" w:leader="none"/>
          <w:tab w:pos="7278" w:val="left" w:leader="none"/>
          <w:tab w:pos="7962" w:val="left" w:leader="none"/>
          <w:tab w:pos="9194" w:val="left" w:leader="none"/>
          <w:tab w:pos="9914" w:val="left" w:leader="none"/>
        </w:tabs>
        <w:spacing w:line="274" w:lineRule="exact" w:before="0"/>
        <w:ind w:left="649" w:right="423" w:firstLine="0"/>
        <w:jc w:val="left"/>
        <w:rPr>
          <w:rFonts w:ascii="Arial" w:hAnsi="Arial" w:cs="Arial" w:eastAsia="Arial" w:hint="default"/>
          <w:sz w:val="21"/>
          <w:szCs w:val="21"/>
        </w:rPr>
      </w:pPr>
      <w:r>
        <w:rPr>
          <w:rFonts w:ascii="宋体" w:hAnsi="宋体" w:cs="宋体" w:eastAsia="宋体" w:hint="default"/>
          <w:spacing w:val="-1"/>
          <w:sz w:val="21"/>
          <w:szCs w:val="21"/>
        </w:rPr>
        <w:t>五年以上</w:t>
        <w:tab/>
      </w:r>
      <w:r>
        <w:rPr>
          <w:rFonts w:ascii="Arial" w:hAnsi="Arial" w:cs="Arial" w:eastAsia="Arial" w:hint="default"/>
          <w:position w:val="2"/>
          <w:sz w:val="21"/>
          <w:szCs w:val="21"/>
        </w:rPr>
        <w:t>144</w:t>
        <w:tab/>
      </w:r>
      <w:r>
        <w:rPr>
          <w:rFonts w:ascii="Arial" w:hAnsi="Arial" w:cs="Arial" w:eastAsia="Arial" w:hint="default"/>
          <w:spacing w:val="-1"/>
          <w:position w:val="2"/>
          <w:sz w:val="21"/>
          <w:szCs w:val="21"/>
        </w:rPr>
        <w:t>0.0%</w:t>
        <w:tab/>
        <w:t>(144)</w:t>
      </w:r>
      <w:r>
        <w:rPr>
          <w:rFonts w:ascii="Arial" w:hAnsi="Arial" w:cs="Arial" w:eastAsia="Arial" w:hint="default"/>
          <w:position w:val="2"/>
          <w:sz w:val="21"/>
          <w:szCs w:val="21"/>
        </w:rPr>
        <w:t>  </w:t>
      </w:r>
      <w:r>
        <w:rPr>
          <w:rFonts w:ascii="Arial" w:hAnsi="Arial" w:cs="Arial" w:eastAsia="Arial" w:hint="default"/>
          <w:spacing w:val="21"/>
          <w:position w:val="2"/>
          <w:sz w:val="21"/>
          <w:szCs w:val="21"/>
        </w:rPr>
        <w:t> </w:t>
      </w:r>
      <w:r>
        <w:rPr>
          <w:rFonts w:ascii="Arial" w:hAnsi="Arial" w:cs="Arial" w:eastAsia="Arial" w:hint="default"/>
          <w:position w:val="2"/>
          <w:sz w:val="21"/>
          <w:szCs w:val="21"/>
        </w:rPr>
        <w:t>100%</w:t>
        <w:tab/>
        <w:t>584</w:t>
        <w:tab/>
      </w:r>
      <w:r>
        <w:rPr>
          <w:rFonts w:ascii="Arial" w:hAnsi="Arial" w:cs="Arial" w:eastAsia="Arial" w:hint="default"/>
          <w:spacing w:val="-1"/>
          <w:position w:val="2"/>
          <w:sz w:val="21"/>
          <w:szCs w:val="21"/>
        </w:rPr>
        <w:t>0.2%</w:t>
        <w:tab/>
        <w:t>(584)</w:t>
        <w:tab/>
      </w:r>
      <w:r>
        <w:rPr>
          <w:rFonts w:ascii="Arial" w:hAnsi="Arial" w:cs="Arial" w:eastAsia="Arial" w:hint="default"/>
          <w:position w:val="2"/>
          <w:sz w:val="21"/>
          <w:szCs w:val="21"/>
        </w:rPr>
        <w:t>100%</w:t>
      </w:r>
      <w:r>
        <w:rPr>
          <w:rFonts w:ascii="Arial" w:hAnsi="Arial" w:cs="Arial" w:eastAsia="Arial" w:hint="default"/>
          <w:sz w:val="21"/>
          <w:szCs w:val="21"/>
        </w:rPr>
      </w:r>
    </w:p>
    <w:p>
      <w:pPr>
        <w:spacing w:line="240" w:lineRule="auto" w:before="7"/>
        <w:rPr>
          <w:rFonts w:ascii="Arial" w:hAnsi="Arial" w:cs="Arial" w:eastAsia="Arial" w:hint="default"/>
          <w:sz w:val="2"/>
          <w:szCs w:val="2"/>
        </w:rPr>
      </w:pPr>
    </w:p>
    <w:p>
      <w:pPr>
        <w:tabs>
          <w:tab w:pos="4631" w:val="left" w:leader="none"/>
          <w:tab w:pos="6693" w:val="left" w:leader="none"/>
          <w:tab w:pos="8717" w:val="left" w:leader="none"/>
        </w:tabs>
        <w:spacing w:line="20" w:lineRule="exact"/>
        <w:ind w:left="2139" w:right="0" w:firstLine="0"/>
        <w:rPr>
          <w:rFonts w:ascii="Arial" w:hAnsi="Arial" w:cs="Arial" w:eastAsia="Arial" w:hint="default"/>
          <w:sz w:val="2"/>
          <w:szCs w:val="2"/>
        </w:rPr>
      </w:pPr>
      <w:r>
        <w:rPr>
          <w:rFonts w:ascii="Arial"/>
          <w:sz w:val="2"/>
        </w:rPr>
        <w:pict>
          <v:group style="width:113.35pt;height:.5pt;mso-position-horizontal-relative:char;mso-position-vertical-relative:line" coordorigin="0,0" coordsize="2267,10">
            <v:group style="position:absolute;left:5;top:5;width:1151;height:2" coordorigin="5,5" coordsize="1151,2">
              <v:shape style="position:absolute;left:5;top:5;width:1151;height:2" coordorigin="5,5" coordsize="1151,0" path="m5,5l1155,5e" filled="false" stroked="true" strokeweight=".47998pt" strokecolor="#000000">
                <v:path arrowok="t"/>
              </v:shape>
            </v:group>
            <v:group style="position:absolute;left:1155;top:5;width:10;height:2" coordorigin="1155,5" coordsize="10,2">
              <v:shape style="position:absolute;left:1155;top:5;width:10;height:2" coordorigin="1155,5" coordsize="10,0" path="m1155,5l1165,5e" filled="false" stroked="true" strokeweight=".47998pt" strokecolor="#000000">
                <v:path arrowok="t"/>
              </v:shape>
            </v:group>
            <v:group style="position:absolute;left:1165;top:5;width:1097;height:2" coordorigin="1165,5" coordsize="1097,2">
              <v:shape style="position:absolute;left:1165;top:5;width:1097;height:2" coordorigin="1165,5" coordsize="1097,0" path="m1165,5l2261,5e" filled="false" stroked="true" strokeweight=".47998pt" strokecolor="#000000">
                <v:path arrowok="t"/>
              </v:shape>
            </v:group>
          </v:group>
        </w:pict>
      </w:r>
      <w:r>
        <w:rPr>
          <w:rFonts w:ascii="Arial"/>
          <w:sz w:val="2"/>
        </w:rPr>
      </w:r>
      <w:r>
        <w:rPr>
          <w:rFonts w:ascii="Arial"/>
          <w:sz w:val="2"/>
        </w:rPr>
        <w:tab/>
      </w:r>
      <w:r>
        <w:rPr>
          <w:rFonts w:ascii="Arial"/>
          <w:sz w:val="2"/>
        </w:rPr>
        <w:pict>
          <v:group style="width:91pt;height:.5pt;mso-position-horizontal-relative:char;mso-position-vertical-relative:line" coordorigin="0,0" coordsize="1820,10">
            <v:group style="position:absolute;left:5;top:5;width:1086;height:2" coordorigin="5,5" coordsize="1086,2">
              <v:shape style="position:absolute;left:5;top:5;width:1086;height:2" coordorigin="5,5" coordsize="1086,0" path="m5,5l1090,5e" filled="false" stroked="true" strokeweight=".47998pt" strokecolor="#000000">
                <v:path arrowok="t"/>
              </v:shape>
            </v:group>
            <v:group style="position:absolute;left:1090;top:5;width:10;height:2" coordorigin="1090,5" coordsize="10,2">
              <v:shape style="position:absolute;left:1090;top:5;width:10;height:2" coordorigin="1090,5" coordsize="10,0" path="m1090,5l1100,5e" filled="false" stroked="true" strokeweight=".47998pt" strokecolor="#000000">
                <v:path arrowok="t"/>
              </v:shape>
            </v:group>
            <v:group style="position:absolute;left:1100;top:5;width:716;height:2" coordorigin="1100,5" coordsize="716,2">
              <v:shape style="position:absolute;left:1100;top:5;width:716;height:2" coordorigin="1100,5" coordsize="716,0" path="m1100,5l1815,5e" filled="false" stroked="true" strokeweight=".47998pt" strokecolor="#000000">
                <v:path arrowok="t"/>
              </v:shape>
            </v:group>
          </v:group>
        </w:pict>
      </w:r>
      <w:r>
        <w:rPr>
          <w:rFonts w:ascii="Arial"/>
          <w:sz w:val="2"/>
        </w:rPr>
      </w:r>
      <w:r>
        <w:rPr>
          <w:rFonts w:ascii="Arial"/>
          <w:sz w:val="2"/>
        </w:rPr>
        <w:tab/>
      </w:r>
      <w:r>
        <w:rPr>
          <w:rFonts w:ascii="Arial"/>
          <w:sz w:val="2"/>
        </w:rPr>
        <w:pict>
          <v:group style="width:89.8pt;height:.5pt;mso-position-horizontal-relative:char;mso-position-vertical-relative:line" coordorigin="0,0" coordsize="1796,10">
            <v:group style="position:absolute;left:5;top:5;width:1040;height:2" coordorigin="5,5" coordsize="1040,2">
              <v:shape style="position:absolute;left:5;top:5;width:1040;height:2" coordorigin="5,5" coordsize="1040,0" path="m5,5l1044,5e" filled="false" stroked="true" strokeweight=".47998pt" strokecolor="#000000">
                <v:path arrowok="t"/>
              </v:shape>
            </v:group>
            <v:group style="position:absolute;left:1044;top:5;width:10;height:2" coordorigin="1044,5" coordsize="10,2">
              <v:shape style="position:absolute;left:1044;top:5;width:10;height:2" coordorigin="1044,5" coordsize="10,0" path="m1044,5l1054,5e" filled="false" stroked="true" strokeweight=".47998pt" strokecolor="#000000">
                <v:path arrowok="t"/>
              </v:shape>
            </v:group>
            <v:group style="position:absolute;left:1054;top:5;width:738;height:2" coordorigin="1054,5" coordsize="738,2">
              <v:shape style="position:absolute;left:1054;top:5;width:738;height:2" coordorigin="1054,5" coordsize="738,0" path="m1054,5l1791,5e" filled="false" stroked="true" strokeweight=".47998pt" strokecolor="#000000">
                <v:path arrowok="t"/>
              </v:shape>
            </v:group>
          </v:group>
        </w:pict>
      </w:r>
      <w:r>
        <w:rPr>
          <w:rFonts w:ascii="Arial"/>
          <w:sz w:val="2"/>
        </w:rPr>
      </w:r>
      <w:r>
        <w:rPr>
          <w:rFonts w:ascii="Arial"/>
          <w:sz w:val="2"/>
        </w:rPr>
        <w:tab/>
      </w:r>
      <w:r>
        <w:rPr>
          <w:rFonts w:ascii="Arial"/>
          <w:sz w:val="2"/>
        </w:rPr>
        <w:pict>
          <v:group style="width:90.4pt;height:.5pt;mso-position-horizontal-relative:char;mso-position-vertical-relative:line" coordorigin="0,0" coordsize="1808,10">
            <v:group style="position:absolute;left:5;top:5;width:1068;height:2" coordorigin="5,5" coordsize="1068,2">
              <v:shape style="position:absolute;left:5;top:5;width:1068;height:2" coordorigin="5,5" coordsize="1068,0" path="m5,5l1073,5e" filled="false" stroked="true" strokeweight=".47998pt" strokecolor="#000000">
                <v:path arrowok="t"/>
              </v:shape>
            </v:group>
            <v:group style="position:absolute;left:1073;top:5;width:10;height:2" coordorigin="1073,5" coordsize="10,2">
              <v:shape style="position:absolute;left:1073;top:5;width:10;height:2" coordorigin="1073,5" coordsize="10,0" path="m1073,5l1082,5e" filled="false" stroked="true" strokeweight=".47998pt" strokecolor="#000000">
                <v:path arrowok="t"/>
              </v:shape>
            </v:group>
            <v:group style="position:absolute;left:1082;top:5;width:721;height:2" coordorigin="1082,5" coordsize="721,2">
              <v:shape style="position:absolute;left:1082;top:5;width:721;height:2" coordorigin="1082,5" coordsize="721,0" path="m1082,5l1803,5e" filled="false" stroked="true" strokeweight=".47998pt" strokecolor="#000000">
                <v:path arrowok="t"/>
              </v:shape>
            </v:group>
          </v:group>
        </w:pict>
      </w:r>
      <w:r>
        <w:rPr>
          <w:rFonts w:ascii="Arial"/>
          <w:sz w:val="2"/>
        </w:rPr>
      </w:r>
    </w:p>
    <w:p>
      <w:pPr>
        <w:tabs>
          <w:tab w:pos="3582" w:val="left" w:leader="none"/>
          <w:tab w:pos="4830" w:val="left" w:leader="none"/>
          <w:tab w:pos="6868" w:val="left" w:leader="none"/>
          <w:tab w:pos="8901" w:val="left" w:leader="none"/>
        </w:tabs>
        <w:spacing w:before="0"/>
        <w:ind w:left="2430" w:right="423" w:firstLine="0"/>
        <w:jc w:val="left"/>
        <w:rPr>
          <w:rFonts w:ascii="Arial" w:hAnsi="Arial" w:cs="Arial" w:eastAsia="Arial" w:hint="default"/>
          <w:sz w:val="21"/>
          <w:szCs w:val="21"/>
        </w:rPr>
      </w:pPr>
      <w:r>
        <w:rPr>
          <w:rFonts w:ascii="Arial"/>
          <w:spacing w:val="-1"/>
          <w:sz w:val="21"/>
        </w:rPr>
        <w:t>416,415</w:t>
        <w:tab/>
        <w:t>100.0%</w:t>
        <w:tab/>
        <w:t>(34,040)</w:t>
        <w:tab/>
        <w:t>296,043</w:t>
      </w:r>
      <w:r>
        <w:rPr>
          <w:rFonts w:ascii="Arial"/>
          <w:spacing w:val="51"/>
          <w:sz w:val="21"/>
        </w:rPr>
        <w:t> </w:t>
      </w:r>
      <w:r>
        <w:rPr>
          <w:rFonts w:ascii="Arial"/>
          <w:sz w:val="21"/>
        </w:rPr>
        <w:t>100.0%</w:t>
        <w:tab/>
      </w:r>
      <w:r>
        <w:rPr>
          <w:rFonts w:ascii="Arial"/>
          <w:spacing w:val="-1"/>
          <w:sz w:val="21"/>
        </w:rPr>
        <w:t>(20,306)</w:t>
      </w:r>
    </w:p>
    <w:p>
      <w:pPr>
        <w:spacing w:line="31" w:lineRule="exact"/>
        <w:ind w:left="191" w:right="0" w:firstLine="0"/>
        <w:rPr>
          <w:rFonts w:ascii="Arial" w:hAnsi="Arial" w:cs="Arial" w:eastAsia="Arial" w:hint="default"/>
          <w:sz w:val="3"/>
          <w:szCs w:val="3"/>
        </w:rPr>
      </w:pPr>
      <w:r>
        <w:rPr>
          <w:rFonts w:ascii="Arial" w:hAnsi="Arial" w:cs="Arial" w:eastAsia="Arial" w:hint="default"/>
          <w:position w:val="0"/>
          <w:sz w:val="3"/>
          <w:szCs w:val="3"/>
        </w:rPr>
        <w:pict>
          <v:group style="width:517.9pt;height:1.6pt;mso-position-horizontal-relative:char;mso-position-vertical-relative:line" coordorigin="0,0" coordsize="10358,32">
            <v:group style="position:absolute;left:1;top:1;width:695;height:2" coordorigin="1,1" coordsize="695,2">
              <v:shape style="position:absolute;left:1;top:1;width:695;height:2" coordorigin="1,1" coordsize="695,0" path="m1,1l695,1e" filled="false" stroked="true" strokeweight=".12003pt" strokecolor="#ffff99">
                <v:path arrowok="t"/>
              </v:shape>
            </v:group>
            <v:group style="position:absolute;left:695;top:1;width:1258;height:2" coordorigin="695,1" coordsize="1258,2">
              <v:shape style="position:absolute;left:695;top:1;width:1258;height:2" coordorigin="695,1" coordsize="1258,0" path="m695,1l1953,1e" filled="false" stroked="true" strokeweight=".12003pt" strokecolor="#ffff99">
                <v:path arrowok="t"/>
              </v:shape>
            </v:group>
            <v:group style="position:absolute;left:1953;top:1;width:1151;height:2" coordorigin="1953,1" coordsize="1151,2">
              <v:shape style="position:absolute;left:1953;top:1;width:1151;height:2" coordorigin="1953,1" coordsize="1151,0" path="m1953,1l3103,1e" filled="false" stroked="true" strokeweight=".12003pt" strokecolor="#ffff99">
                <v:path arrowok="t"/>
              </v:shape>
            </v:group>
            <v:group style="position:absolute;left:3103;top:1;width:1107;height:2" coordorigin="3103,1" coordsize="1107,2">
              <v:shape style="position:absolute;left:3103;top:1;width:1107;height:2" coordorigin="3103,1" coordsize="1107,0" path="m3103,1l4209,1e" filled="false" stroked="true" strokeweight=".12003pt" strokecolor="#ffff99">
                <v:path arrowok="t"/>
              </v:shape>
            </v:group>
            <v:group style="position:absolute;left:4209;top:1;width:236;height:2" coordorigin="4209,1" coordsize="236,2">
              <v:shape style="position:absolute;left:4209;top:1;width:236;height:2" coordorigin="4209,1" coordsize="236,0" path="m4209,1l4445,1e" filled="false" stroked="true" strokeweight=".12003pt" strokecolor="#ffff99">
                <v:path arrowok="t"/>
              </v:shape>
            </v:group>
            <v:group style="position:absolute;left:4445;top:1;width:1086;height:2" coordorigin="4445,1" coordsize="1086,2">
              <v:shape style="position:absolute;left:4445;top:1;width:1086;height:2" coordorigin="4445,1" coordsize="1086,0" path="m4445,1l5530,1e" filled="false" stroked="true" strokeweight=".12003pt" strokecolor="#ffff99">
                <v:path arrowok="t"/>
              </v:shape>
            </v:group>
            <v:group style="position:absolute;left:5530;top:1;width:725;height:2" coordorigin="5530,1" coordsize="725,2">
              <v:shape style="position:absolute;left:5530;top:1;width:725;height:2" coordorigin="5530,1" coordsize="725,0" path="m5530,1l6255,1e" filled="false" stroked="true" strokeweight=".12003pt" strokecolor="#ffff99">
                <v:path arrowok="t"/>
              </v:shape>
            </v:group>
            <v:group style="position:absolute;left:6255;top:1;width:252;height:2" coordorigin="6255,1" coordsize="252,2">
              <v:shape style="position:absolute;left:6255;top:1;width:252;height:2" coordorigin="6255,1" coordsize="252,0" path="m6255,1l6507,1e" filled="false" stroked="true" strokeweight=".12003pt" strokecolor="#ffff99">
                <v:path arrowok="t"/>
              </v:shape>
            </v:group>
            <v:group style="position:absolute;left:6507;top:1;width:1040;height:2" coordorigin="6507,1" coordsize="1040,2">
              <v:shape style="position:absolute;left:6507;top:1;width:1040;height:2" coordorigin="6507,1" coordsize="1040,0" path="m6507,1l7546,1e" filled="false" stroked="true" strokeweight=".12003pt" strokecolor="#ffff99">
                <v:path arrowok="t"/>
              </v:shape>
            </v:group>
            <v:group style="position:absolute;left:7546;top:1;width:747;height:2" coordorigin="7546,1" coordsize="747,2">
              <v:shape style="position:absolute;left:7546;top:1;width:747;height:2" coordorigin="7546,1" coordsize="747,0" path="m7546,1l8293,1e" filled="false" stroked="true" strokeweight=".12003pt" strokecolor="#ffff99">
                <v:path arrowok="t"/>
              </v:shape>
            </v:group>
            <v:group style="position:absolute;left:8293;top:1;width:238;height:2" coordorigin="8293,1" coordsize="238,2">
              <v:shape style="position:absolute;left:8293;top:1;width:238;height:2" coordorigin="8293,1" coordsize="238,0" path="m8293,1l8530,1e" filled="false" stroked="true" strokeweight=".12003pt" strokecolor="#ffff99">
                <v:path arrowok="t"/>
              </v:shape>
            </v:group>
            <v:group style="position:absolute;left:8530;top:1;width:1068;height:2" coordorigin="8530,1" coordsize="1068,2">
              <v:shape style="position:absolute;left:8530;top:1;width:1068;height:2" coordorigin="8530,1" coordsize="1068,0" path="m8530,1l9598,1e" filled="false" stroked="true" strokeweight=".12003pt" strokecolor="#ffff99">
                <v:path arrowok="t"/>
              </v:shape>
            </v:group>
            <v:group style="position:absolute;left:9598;top:1;width:731;height:2" coordorigin="9598,1" coordsize="731,2">
              <v:shape style="position:absolute;left:9598;top:1;width:731;height:2" coordorigin="9598,1" coordsize="731,0" path="m9598,1l10328,1e" filled="false" stroked="true" strokeweight=".12003pt" strokecolor="#ffff99">
                <v:path arrowok="t"/>
              </v:shape>
            </v:group>
            <v:group style="position:absolute;left:1953;top:17;width:1151;height:2" coordorigin="1953,17" coordsize="1151,2">
              <v:shape style="position:absolute;left:1953;top:17;width:1151;height:2" coordorigin="1953,17" coordsize="1151,0" path="m1953,17l3103,17e" filled="false" stroked="true" strokeweight="1.44pt" strokecolor="#000000">
                <v:path arrowok="t"/>
              </v:shape>
            </v:group>
            <v:group style="position:absolute;left:3103;top:17;width:29;height:2" coordorigin="3103,17" coordsize="29,2">
              <v:shape style="position:absolute;left:3103;top:17;width:29;height:2" coordorigin="3103,17" coordsize="29,0" path="m3103,17l3132,17e" filled="false" stroked="true" strokeweight="1.44pt" strokecolor="#000000">
                <v:path arrowok="t"/>
              </v:shape>
            </v:group>
            <v:group style="position:absolute;left:3132;top:17;width:1078;height:2" coordorigin="3132,17" coordsize="1078,2">
              <v:shape style="position:absolute;left:3132;top:17;width:1078;height:2" coordorigin="3132,17" coordsize="1078,0" path="m3132,17l4209,17e" filled="false" stroked="true" strokeweight="1.44pt" strokecolor="#000000">
                <v:path arrowok="t"/>
              </v:shape>
            </v:group>
            <v:group style="position:absolute;left:4445;top:17;width:1086;height:2" coordorigin="4445,17" coordsize="1086,2">
              <v:shape style="position:absolute;left:4445;top:17;width:1086;height:2" coordorigin="4445,17" coordsize="1086,0" path="m4445,17l5530,17e" filled="false" stroked="true" strokeweight="1.44pt" strokecolor="#000000">
                <v:path arrowok="t"/>
              </v:shape>
            </v:group>
            <v:group style="position:absolute;left:5530;top:17;width:29;height:2" coordorigin="5530,17" coordsize="29,2">
              <v:shape style="position:absolute;left:5530;top:17;width:29;height:2" coordorigin="5530,17" coordsize="29,0" path="m5530,17l5559,17e" filled="false" stroked="true" strokeweight="1.44pt" strokecolor="#000000">
                <v:path arrowok="t"/>
              </v:shape>
            </v:group>
            <v:group style="position:absolute;left:5559;top:17;width:696;height:2" coordorigin="5559,17" coordsize="696,2">
              <v:shape style="position:absolute;left:5559;top:17;width:696;height:2" coordorigin="5559,17" coordsize="696,0" path="m5559,17l6255,17e" filled="false" stroked="true" strokeweight="1.44pt" strokecolor="#000000">
                <v:path arrowok="t"/>
              </v:shape>
            </v:group>
            <v:group style="position:absolute;left:6507;top:17;width:1040;height:2" coordorigin="6507,17" coordsize="1040,2">
              <v:shape style="position:absolute;left:6507;top:17;width:1040;height:2" coordorigin="6507,17" coordsize="1040,0" path="m6507,17l7546,17e" filled="false" stroked="true" strokeweight="1.44pt" strokecolor="#000000">
                <v:path arrowok="t"/>
              </v:shape>
            </v:group>
            <v:group style="position:absolute;left:7546;top:17;width:29;height:2" coordorigin="7546,17" coordsize="29,2">
              <v:shape style="position:absolute;left:7546;top:17;width:29;height:2" coordorigin="7546,17" coordsize="29,0" path="m7546,17l7575,17e" filled="false" stroked="true" strokeweight="1.44pt" strokecolor="#000000">
                <v:path arrowok="t"/>
              </v:shape>
            </v:group>
            <v:group style="position:absolute;left:7575;top:17;width:719;height:2" coordorigin="7575,17" coordsize="719,2">
              <v:shape style="position:absolute;left:7575;top:17;width:719;height:2" coordorigin="7575,17" coordsize="719,0" path="m7575,17l8293,17e" filled="false" stroked="true" strokeweight="1.44pt" strokecolor="#000000">
                <v:path arrowok="t"/>
              </v:shape>
            </v:group>
            <v:group style="position:absolute;left:8530;top:17;width:1068;height:2" coordorigin="8530,17" coordsize="1068,2">
              <v:shape style="position:absolute;left:8530;top:17;width:1068;height:2" coordorigin="8530,17" coordsize="1068,0" path="m8530,17l9598,17e" filled="false" stroked="true" strokeweight="1.44pt" strokecolor="#000000">
                <v:path arrowok="t"/>
              </v:shape>
            </v:group>
            <v:group style="position:absolute;left:9598;top:17;width:29;height:2" coordorigin="9598,17" coordsize="29,2">
              <v:shape style="position:absolute;left:9598;top:17;width:29;height:2" coordorigin="9598,17" coordsize="29,0" path="m9598,17l9627,17e" filled="false" stroked="true" strokeweight="1.44pt" strokecolor="#000000">
                <v:path arrowok="t"/>
              </v:shape>
            </v:group>
            <v:group style="position:absolute;left:9627;top:17;width:687;height:2" coordorigin="9627,17" coordsize="687,2">
              <v:shape style="position:absolute;left:9627;top:17;width:687;height:2" coordorigin="9627,17" coordsize="687,0" path="m9627,17l10314,17e" filled="false" stroked="true" strokeweight="1.44pt" strokecolor="#000000">
                <v:path arrowok="t"/>
              </v:shape>
            </v:group>
            <v:group style="position:absolute;left:10314;top:17;width:30;height:2" coordorigin="10314,17" coordsize="30,2">
              <v:shape style="position:absolute;left:10314;top:17;width:30;height:2" coordorigin="10314,17" coordsize="30,0" path="m10314,17l10343,17e" filled="false" stroked="true" strokeweight="1.44pt" strokecolor="#000000">
                <v:path arrowok="t"/>
              </v:shape>
            </v:group>
          </v:group>
        </w:pict>
      </w:r>
      <w:r>
        <w:rPr>
          <w:rFonts w:ascii="Arial" w:hAnsi="Arial" w:cs="Arial" w:eastAsia="Arial" w:hint="default"/>
          <w:position w:val="0"/>
          <w:sz w:val="3"/>
          <w:szCs w:val="3"/>
        </w:rPr>
      </w:r>
    </w:p>
    <w:p>
      <w:pPr>
        <w:spacing w:line="240" w:lineRule="auto" w:before="4"/>
        <w:rPr>
          <w:rFonts w:ascii="Arial" w:hAnsi="Arial" w:cs="Arial" w:eastAsia="Arial" w:hint="default"/>
          <w:sz w:val="18"/>
          <w:szCs w:val="18"/>
        </w:rPr>
      </w:pPr>
    </w:p>
    <w:p>
      <w:pPr>
        <w:spacing w:after="0" w:line="240" w:lineRule="auto"/>
        <w:rPr>
          <w:rFonts w:ascii="Arial" w:hAnsi="Arial" w:cs="Arial" w:eastAsia="Arial" w:hint="default"/>
          <w:sz w:val="18"/>
          <w:szCs w:val="18"/>
        </w:rPr>
        <w:sectPr>
          <w:type w:val="continuous"/>
          <w:pgSz w:w="11910" w:h="16850"/>
          <w:pgMar w:top="980" w:bottom="1100" w:left="820" w:right="0"/>
        </w:sectPr>
      </w:pPr>
    </w:p>
    <w:p>
      <w:pPr>
        <w:pStyle w:val="BodyText"/>
        <w:tabs>
          <w:tab w:pos="997" w:val="left" w:leader="none"/>
        </w:tabs>
        <w:spacing w:line="240" w:lineRule="auto" w:before="31"/>
        <w:ind w:left="303" w:right="-20"/>
        <w:jc w:val="left"/>
      </w:pPr>
      <w:r>
        <w:rPr>
          <w:rFonts w:ascii="Arial" w:hAnsi="Arial" w:cs="Arial" w:eastAsia="Arial" w:hint="default"/>
          <w:w w:val="95"/>
          <w:position w:val="2"/>
        </w:rPr>
        <w:t>(d)</w:t>
        <w:tab/>
      </w:r>
      <w:r>
        <w:rPr/>
        <w:t>本年度实际核销的其他应收款分析如下：</w:t>
      </w:r>
    </w:p>
    <w:p>
      <w:pPr>
        <w:spacing w:line="240" w:lineRule="auto" w:before="9"/>
        <w:rPr>
          <w:rFonts w:ascii="宋体" w:hAnsi="宋体" w:cs="宋体" w:eastAsia="宋体" w:hint="default"/>
          <w:sz w:val="23"/>
          <w:szCs w:val="23"/>
        </w:rPr>
      </w:pPr>
    </w:p>
    <w:p>
      <w:pPr>
        <w:pStyle w:val="BodyText"/>
        <w:tabs>
          <w:tab w:pos="8285" w:val="left" w:leader="none"/>
        </w:tabs>
        <w:spacing w:line="240" w:lineRule="auto" w:before="0"/>
        <w:ind w:left="4134" w:right="-20"/>
        <w:jc w:val="left"/>
      </w:pPr>
      <w:r>
        <w:rPr/>
        <w:t>其他应收款性质</w:t>
      </w:r>
      <w:r>
        <w:rPr>
          <w:spacing w:val="67"/>
        </w:rPr>
        <w:t> </w:t>
      </w:r>
      <w:r>
        <w:rPr/>
        <w:t>核销金额</w:t>
        <w:tab/>
        <w:t>核销原因</w:t>
      </w:r>
    </w:p>
    <w:p>
      <w:pPr>
        <w:spacing w:line="240" w:lineRule="auto" w:before="7"/>
        <w:rPr>
          <w:rFonts w:ascii="宋体" w:hAnsi="宋体" w:cs="宋体" w:eastAsia="宋体" w:hint="default"/>
          <w:sz w:val="28"/>
          <w:szCs w:val="28"/>
        </w:rPr>
      </w:pPr>
      <w:r>
        <w:rPr/>
        <w:br w:type="column"/>
      </w:r>
      <w:r>
        <w:rPr>
          <w:rFonts w:ascii="宋体"/>
          <w:sz w:val="28"/>
        </w:rPr>
      </w:r>
    </w:p>
    <w:p>
      <w:pPr>
        <w:pStyle w:val="BodyText"/>
        <w:spacing w:line="312" w:lineRule="exact" w:before="0"/>
        <w:ind w:left="415" w:right="406" w:hanging="240"/>
        <w:jc w:val="left"/>
      </w:pPr>
      <w:r>
        <w:rPr/>
        <w:t>是否因关联 交易产生</w:t>
      </w:r>
    </w:p>
    <w:p>
      <w:pPr>
        <w:spacing w:after="0" w:line="312" w:lineRule="exact"/>
        <w:jc w:val="left"/>
        <w:sectPr>
          <w:type w:val="continuous"/>
          <w:pgSz w:w="11910" w:h="16850"/>
          <w:pgMar w:top="980" w:bottom="1100" w:left="820" w:right="0"/>
          <w:cols w:num="2" w:equalWidth="0">
            <w:col w:w="9246" w:space="40"/>
            <w:col w:w="1804"/>
          </w:cols>
        </w:sectPr>
      </w:pPr>
    </w:p>
    <w:p>
      <w:pPr>
        <w:spacing w:line="240" w:lineRule="auto" w:before="3"/>
        <w:rPr>
          <w:rFonts w:ascii="宋体" w:hAnsi="宋体" w:cs="宋体" w:eastAsia="宋体" w:hint="default"/>
          <w:sz w:val="18"/>
          <w:szCs w:val="18"/>
        </w:rPr>
      </w:pPr>
    </w:p>
    <w:p>
      <w:pPr>
        <w:pStyle w:val="BodyText"/>
        <w:tabs>
          <w:tab w:pos="5334" w:val="left" w:leader="none"/>
          <w:tab w:pos="6362" w:val="left" w:leader="none"/>
          <w:tab w:pos="7324" w:val="left" w:leader="none"/>
          <w:tab w:pos="10421" w:val="left" w:leader="none"/>
        </w:tabs>
        <w:spacing w:line="302" w:lineRule="exact" w:before="84"/>
        <w:ind w:left="1023" w:right="423"/>
        <w:jc w:val="left"/>
      </w:pPr>
      <w:r>
        <w:rPr>
          <w:position w:val="2"/>
        </w:rPr>
        <w:t>江苏华夏轻纺实业有限公司</w:t>
        <w:tab/>
        <w:t>租金</w:t>
        <w:tab/>
      </w:r>
      <w:r>
        <w:rPr>
          <w:rFonts w:ascii="Arial" w:hAnsi="Arial" w:cs="Arial" w:eastAsia="Arial" w:hint="default"/>
          <w:spacing w:val="-1"/>
        </w:rPr>
        <w:t>1,463</w:t>
        <w:tab/>
      </w:r>
      <w:r>
        <w:rPr>
          <w:position w:val="2"/>
        </w:rPr>
        <w:t>长时间催讨无结果</w:t>
        <w:tab/>
        <w:t>否 </w:t>
      </w:r>
      <w:r>
        <w:rPr>
          <w:spacing w:val="4"/>
        </w:rPr>
        <w:t>上海恒卓电脑科技发展有限</w:t>
      </w:r>
    </w:p>
    <w:p>
      <w:pPr>
        <w:pStyle w:val="BodyText"/>
        <w:tabs>
          <w:tab w:pos="5334" w:val="left" w:leader="none"/>
          <w:tab w:pos="5922" w:val="left" w:leader="none"/>
          <w:tab w:pos="6362" w:val="left" w:leader="none"/>
          <w:tab w:pos="6695" w:val="left" w:leader="none"/>
          <w:tab w:pos="7324" w:val="left" w:leader="none"/>
          <w:tab w:pos="10421" w:val="left" w:leader="none"/>
        </w:tabs>
        <w:spacing w:line="322" w:lineRule="exact" w:before="13"/>
        <w:ind w:left="1023" w:right="423" w:firstLine="251"/>
        <w:jc w:val="left"/>
      </w:pPr>
      <w:r>
        <w:rPr>
          <w:position w:val="2"/>
        </w:rPr>
        <w:t>公司</w:t>
        <w:tab/>
        <w:t>货款</w:t>
        <w:tab/>
        <w:tab/>
        <w:tab/>
      </w:r>
      <w:r>
        <w:rPr>
          <w:rFonts w:ascii="Arial" w:hAnsi="Arial" w:cs="Arial" w:eastAsia="Arial" w:hint="default"/>
          <w:w w:val="95"/>
        </w:rPr>
        <w:t>81</w:t>
        <w:tab/>
      </w:r>
      <w:r>
        <w:rPr>
          <w:position w:val="2"/>
        </w:rPr>
        <w:t>长时间催讨无结果</w:t>
        <w:tab/>
        <w:t>否 </w:t>
      </w:r>
      <w:r>
        <w:rPr>
          <w:spacing w:val="-1"/>
          <w:position w:val="2"/>
        </w:rPr>
        <w:t>其他</w:t>
      </w:r>
      <w:r>
        <w:rPr>
          <w:rFonts w:ascii="Arial" w:hAnsi="Arial" w:cs="Arial" w:eastAsia="Arial" w:hint="default"/>
          <w:spacing w:val="-1"/>
          <w:position w:val="2"/>
        </w:rPr>
        <w:t>(</w:t>
      </w:r>
      <w:r>
        <w:rPr>
          <w:spacing w:val="-1"/>
          <w:position w:val="2"/>
        </w:rPr>
        <w:t>单笔金额较小</w:t>
      </w:r>
      <w:r>
        <w:rPr>
          <w:rFonts w:ascii="Arial" w:hAnsi="Arial" w:cs="Arial" w:eastAsia="Arial" w:hint="default"/>
          <w:spacing w:val="-1"/>
          <w:position w:val="2"/>
        </w:rPr>
        <w:t>)</w:t>
        <w:tab/>
        <w:tab/>
      </w:r>
      <w:r>
        <w:rPr>
          <w:rFonts w:ascii="Arial" w:hAnsi="Arial" w:cs="Arial" w:eastAsia="Arial" w:hint="default"/>
          <w:spacing w:val="-1"/>
        </w:rPr>
      </w:r>
      <w:r>
        <w:rPr>
          <w:rFonts w:ascii="Arial" w:hAnsi="Arial" w:cs="Arial" w:eastAsia="Arial" w:hint="default"/>
          <w:spacing w:val="-1"/>
          <w:u w:val="single" w:color="000000"/>
        </w:rPr>
        <w:t> </w:t>
        <w:tab/>
        <w:t>2,941</w:t>
      </w:r>
      <w:r>
        <w:rPr>
          <w:rFonts w:ascii="Arial" w:hAnsi="Arial" w:cs="Arial" w:eastAsia="Arial" w:hint="default"/>
          <w:spacing w:val="-1"/>
        </w:rPr>
        <w:tab/>
      </w:r>
      <w:r>
        <w:rPr>
          <w:position w:val="2"/>
        </w:rPr>
        <w:t>长时间催讨无结果</w:t>
        <w:tab/>
        <w:t>否</w:t>
      </w:r>
      <w:r>
        <w:rPr/>
      </w:r>
    </w:p>
    <w:p>
      <w:pPr>
        <w:pStyle w:val="BodyText"/>
        <w:spacing w:line="240" w:lineRule="auto" w:before="1"/>
        <w:ind w:left="2238" w:right="0"/>
        <w:jc w:val="center"/>
        <w:rPr>
          <w:rFonts w:ascii="Arial" w:hAnsi="Arial" w:cs="Arial" w:eastAsia="Arial" w:hint="default"/>
        </w:rPr>
      </w:pPr>
      <w:r>
        <w:rPr/>
        <w:pict>
          <v:group style="position:absolute;margin-left:50.580002pt;margin-top:13.945874pt;width:529pt;height:1.6pt;mso-position-horizontal-relative:page;mso-position-vertical-relative:paragraph;z-index:-1359136" coordorigin="1012,279" coordsize="10580,32">
            <v:group style="position:absolute;left:1013;top:280;width:695;height:2" coordorigin="1013,280" coordsize="695,2">
              <v:shape style="position:absolute;left:1013;top:280;width:695;height:2" coordorigin="1013,280" coordsize="695,0" path="m1013,280l1707,280e" filled="false" stroked="true" strokeweight=".12pt" strokecolor="#ffff99">
                <v:path arrowok="t"/>
              </v:shape>
            </v:group>
            <v:group style="position:absolute;left:1707;top:280;width:3188;height:2" coordorigin="1707,280" coordsize="3188,2">
              <v:shape style="position:absolute;left:1707;top:280;width:3188;height:2" coordorigin="1707,280" coordsize="3188,0" path="m1707,280l4894,280e" filled="false" stroked="true" strokeweight=".12pt" strokecolor="#ffff99">
                <v:path arrowok="t"/>
              </v:shape>
            </v:group>
            <v:group style="position:absolute;left:4895;top:280;width:1849;height:2" coordorigin="4895,280" coordsize="1849,2">
              <v:shape style="position:absolute;left:4895;top:280;width:1849;height:2" coordorigin="4895,280" coordsize="1849,0" path="m4895,280l6743,280e" filled="false" stroked="true" strokeweight=".12pt" strokecolor="#ffff99">
                <v:path arrowok="t"/>
              </v:shape>
            </v:group>
            <v:group style="position:absolute;left:6743;top:280;width:1148;height:2" coordorigin="6743,280" coordsize="1148,2">
              <v:shape style="position:absolute;left:6743;top:280;width:1148;height:2" coordorigin="6743,280" coordsize="1148,0" path="m6743,280l7890,280e" filled="false" stroked="true" strokeweight=".12pt" strokecolor="#ffff99">
                <v:path arrowok="t"/>
              </v:shape>
            </v:group>
            <v:group style="position:absolute;left:6743;top:296;width:1148;height:2" coordorigin="6743,296" coordsize="1148,2">
              <v:shape style="position:absolute;left:6743;top:296;width:1148;height:2" coordorigin="6743,296" coordsize="1148,0" path="m6743,296l7890,296e" filled="false" stroked="true" strokeweight="1.44pt" strokecolor="#000000">
                <v:path arrowok="t"/>
              </v:shape>
            </v:group>
            <v:group style="position:absolute;left:7890;top:280;width:2283;height:2" coordorigin="7890,280" coordsize="2283,2">
              <v:shape style="position:absolute;left:7890;top:280;width:2283;height:2" coordorigin="7890,280" coordsize="2283,0" path="m7890,280l10173,280e" filled="false" stroked="true" strokeweight=".12pt" strokecolor="#ffff99">
                <v:path arrowok="t"/>
              </v:shape>
            </v:group>
            <v:group style="position:absolute;left:10173;top:280;width:1417;height:2" coordorigin="10173,280" coordsize="1417,2">
              <v:shape style="position:absolute;left:10173;top:280;width:1417;height:2" coordorigin="10173,280" coordsize="1417,0" path="m10173,280l11590,280e" filled="false" stroked="true" strokeweight=".12pt" strokecolor="#ffff99">
                <v:path arrowok="t"/>
              </v:shape>
            </v:group>
            <w10:wrap type="none"/>
          </v:group>
        </w:pict>
      </w:r>
      <w:r>
        <w:rPr>
          <w:rFonts w:ascii="Arial"/>
        </w:rPr>
        <w:t>4,485</w:t>
      </w:r>
    </w:p>
    <w:tbl>
      <w:tblPr>
        <w:tblW w:w="0" w:type="auto"/>
        <w:jc w:val="left"/>
        <w:tblInd w:w="192" w:type="dxa"/>
        <w:tblLayout w:type="fixed"/>
        <w:tblCellMar>
          <w:top w:w="0" w:type="dxa"/>
          <w:left w:w="0" w:type="dxa"/>
          <w:bottom w:w="0" w:type="dxa"/>
          <w:right w:w="0" w:type="dxa"/>
        </w:tblCellMar>
        <w:tblLook w:val="01E0"/>
      </w:tblPr>
      <w:tblGrid>
        <w:gridCol w:w="614"/>
        <w:gridCol w:w="9553"/>
      </w:tblGrid>
      <w:tr>
        <w:trPr>
          <w:trHeight w:val="871" w:hRule="exact"/>
        </w:trPr>
        <w:tc>
          <w:tcPr>
            <w:tcW w:w="6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3"/>
                <w:szCs w:val="23"/>
              </w:rPr>
            </w:pPr>
          </w:p>
          <w:p>
            <w:pPr>
              <w:pStyle w:val="TableParagraph"/>
              <w:spacing w:line="240" w:lineRule="auto"/>
              <w:ind w:left="110" w:right="0"/>
              <w:jc w:val="left"/>
              <w:rPr>
                <w:rFonts w:ascii="Arial" w:hAnsi="Arial" w:cs="Arial" w:eastAsia="Arial" w:hint="default"/>
                <w:sz w:val="24"/>
                <w:szCs w:val="24"/>
              </w:rPr>
            </w:pPr>
            <w:r>
              <w:rPr>
                <w:rFonts w:ascii="Arial"/>
                <w:sz w:val="24"/>
              </w:rPr>
              <w:t>(e)</w:t>
            </w:r>
          </w:p>
        </w:tc>
        <w:tc>
          <w:tcPr>
            <w:tcW w:w="9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spacing w:line="312" w:lineRule="exact"/>
              <w:ind w:left="209"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5"/>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日，其他应收款和长期应收款中无应收持有 本公司</w:t>
            </w:r>
            <w:r>
              <w:rPr>
                <w:rFonts w:ascii="宋体" w:hAnsi="宋体" w:cs="宋体" w:eastAsia="宋体" w:hint="default"/>
                <w:spacing w:val="-63"/>
                <w:sz w:val="24"/>
                <w:szCs w:val="24"/>
              </w:rPr>
              <w:t> </w:t>
            </w:r>
            <w:r>
              <w:rPr>
                <w:rFonts w:ascii="Arial" w:hAnsi="Arial" w:cs="Arial" w:eastAsia="Arial" w:hint="default"/>
                <w:sz w:val="24"/>
                <w:szCs w:val="24"/>
              </w:rPr>
              <w:t>5%(</w:t>
            </w:r>
            <w:r>
              <w:rPr>
                <w:rFonts w:ascii="宋体" w:hAnsi="宋体" w:cs="宋体" w:eastAsia="宋体" w:hint="default"/>
                <w:sz w:val="24"/>
                <w:szCs w:val="24"/>
              </w:rPr>
              <w:t>含</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bl>
    <w:p>
      <w:pPr>
        <w:spacing w:after="0" w:line="312" w:lineRule="exact"/>
        <w:jc w:val="left"/>
        <w:rPr>
          <w:rFonts w:ascii="宋体" w:hAnsi="宋体" w:cs="宋体" w:eastAsia="宋体" w:hint="default"/>
          <w:sz w:val="24"/>
          <w:szCs w:val="24"/>
        </w:rPr>
        <w:sectPr>
          <w:type w:val="continuous"/>
          <w:pgSz w:w="11910" w:h="16850"/>
          <w:pgMar w:top="980" w:bottom="1100" w:left="820" w:right="0"/>
        </w:sectPr>
      </w:pPr>
    </w:p>
    <w:p>
      <w:pPr>
        <w:spacing w:line="240" w:lineRule="auto" w:before="11"/>
        <w:rPr>
          <w:rFonts w:ascii="Arial" w:hAnsi="Arial" w:cs="Arial" w:eastAsia="Arial" w:hint="default"/>
          <w:sz w:val="4"/>
          <w:szCs w:val="4"/>
        </w:rPr>
      </w:pPr>
    </w:p>
    <w:p>
      <w:pPr>
        <w:spacing w:line="20" w:lineRule="exact"/>
        <w:ind w:left="672" w:right="0" w:firstLine="0"/>
        <w:rPr>
          <w:rFonts w:ascii="Arial" w:hAnsi="Arial" w:cs="Arial" w:eastAsia="Arial" w:hint="default"/>
          <w:sz w:val="2"/>
          <w:szCs w:val="2"/>
        </w:rPr>
      </w:pPr>
      <w:r>
        <w:rPr>
          <w:rFonts w:ascii="Arial" w:hAnsi="Arial" w:cs="Arial" w:eastAsia="Arial"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2pt" strokecolor="#000000">
                <v:path arrowok="t"/>
              </v:shape>
            </v:group>
          </v:group>
        </w:pict>
      </w:r>
      <w:r>
        <w:rPr>
          <w:rFonts w:ascii="Arial" w:hAnsi="Arial" w:cs="Arial" w:eastAsia="Arial" w:hint="default"/>
          <w:sz w:val="2"/>
          <w:szCs w:val="2"/>
        </w:rPr>
      </w:r>
    </w:p>
    <w:p>
      <w:pPr>
        <w:spacing w:line="240" w:lineRule="auto" w:before="7"/>
        <w:rPr>
          <w:rFonts w:ascii="Arial" w:hAnsi="Arial" w:cs="Arial" w:eastAsia="Arial" w:hint="default"/>
          <w:sz w:val="14"/>
          <w:szCs w:val="14"/>
        </w:rPr>
      </w:pPr>
    </w:p>
    <w:p>
      <w:pPr>
        <w:pStyle w:val="Heading2"/>
        <w:tabs>
          <w:tab w:pos="816" w:val="left" w:leader="none"/>
        </w:tabs>
        <w:spacing w:line="240" w:lineRule="auto"/>
        <w:ind w:left="10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16" w:val="left" w:leader="none"/>
        </w:tabs>
        <w:spacing w:before="0"/>
        <w:ind w:left="103" w:right="0" w:firstLine="0"/>
        <w:jc w:val="left"/>
        <w:rPr>
          <w:rFonts w:ascii="Arial" w:hAnsi="Arial" w:cs="Arial" w:eastAsia="Arial" w:hint="default"/>
          <w:sz w:val="24"/>
          <w:szCs w:val="24"/>
        </w:rPr>
      </w:pPr>
      <w:r>
        <w:rPr>
          <w:rFonts w:ascii="Arial" w:hAnsi="Arial" w:cs="Arial" w:eastAsia="Arial" w:hint="default"/>
          <w:w w:val="95"/>
          <w:position w:val="2"/>
          <w:sz w:val="24"/>
          <w:szCs w:val="24"/>
        </w:rPr>
        <w:t>(5)</w:t>
        <w:tab/>
      </w:r>
      <w:r>
        <w:rPr>
          <w:rFonts w:ascii="宋体" w:hAnsi="宋体" w:cs="宋体" w:eastAsia="宋体" w:hint="default"/>
          <w:b/>
          <w:bCs/>
          <w:sz w:val="24"/>
          <w:szCs w:val="24"/>
        </w:rPr>
        <w:t>其他应收款和长期应收款</w:t>
      </w:r>
      <w:r>
        <w:rPr>
          <w:rFonts w:ascii="宋体" w:hAnsi="宋体" w:cs="宋体" w:eastAsia="宋体" w:hint="default"/>
          <w:b/>
          <w:bCs/>
          <w:spacing w:val="-7"/>
          <w:sz w:val="24"/>
          <w:szCs w:val="24"/>
        </w:rPr>
        <w:t> </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16" w:val="left" w:leader="none"/>
        </w:tabs>
        <w:spacing w:line="240" w:lineRule="auto" w:before="0"/>
        <w:ind w:left="103" w:right="0"/>
        <w:jc w:val="left"/>
      </w:pPr>
      <w:r>
        <w:rPr>
          <w:rFonts w:ascii="Arial" w:hAnsi="Arial" w:cs="Arial" w:eastAsia="Arial" w:hint="default"/>
          <w:position w:val="2"/>
        </w:rPr>
        <w:t>(f)</w:t>
        <w:tab/>
      </w:r>
      <w:r>
        <w:rPr/>
        <w:t>于</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日，余额前五名的其他应收款和长期应收款分析如下：</w:t>
      </w:r>
    </w:p>
    <w:p>
      <w:pPr>
        <w:spacing w:line="240" w:lineRule="auto" w:before="9"/>
        <w:rPr>
          <w:rFonts w:ascii="宋体" w:hAnsi="宋体" w:cs="宋体" w:eastAsia="宋体" w:hint="default"/>
          <w:sz w:val="17"/>
          <w:szCs w:val="17"/>
        </w:rPr>
      </w:pPr>
    </w:p>
    <w:tbl>
      <w:tblPr>
        <w:tblW w:w="0" w:type="auto"/>
        <w:jc w:val="left"/>
        <w:tblInd w:w="786" w:type="dxa"/>
        <w:tblLayout w:type="fixed"/>
        <w:tblCellMar>
          <w:top w:w="0" w:type="dxa"/>
          <w:left w:w="0" w:type="dxa"/>
          <w:bottom w:w="0" w:type="dxa"/>
          <w:right w:w="0" w:type="dxa"/>
        </w:tblCellMar>
        <w:tblLook w:val="01E0"/>
      </w:tblPr>
      <w:tblGrid>
        <w:gridCol w:w="3046"/>
        <w:gridCol w:w="1624"/>
        <w:gridCol w:w="1429"/>
        <w:gridCol w:w="1119"/>
        <w:gridCol w:w="1704"/>
      </w:tblGrid>
      <w:tr>
        <w:trPr>
          <w:trHeight w:val="1138" w:hRule="exact"/>
        </w:trPr>
        <w:tc>
          <w:tcPr>
            <w:tcW w:w="304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52"/>
              <w:jc w:val="right"/>
              <w:rPr>
                <w:rFonts w:ascii="宋体" w:hAnsi="宋体" w:cs="宋体" w:eastAsia="宋体" w:hint="default"/>
                <w:sz w:val="24"/>
                <w:szCs w:val="24"/>
              </w:rPr>
            </w:pPr>
            <w:r>
              <w:rPr>
                <w:rFonts w:ascii="宋体" w:hAnsi="宋体" w:cs="宋体" w:eastAsia="宋体" w:hint="default"/>
                <w:sz w:val="24"/>
                <w:szCs w:val="24"/>
              </w:rPr>
              <w:t>与本集团关系</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09"/>
              <w:jc w:val="right"/>
              <w:rPr>
                <w:rFonts w:ascii="宋体" w:hAnsi="宋体" w:cs="宋体" w:eastAsia="宋体" w:hint="default"/>
                <w:sz w:val="24"/>
                <w:szCs w:val="24"/>
              </w:rPr>
            </w:pPr>
            <w:r>
              <w:rPr>
                <w:rFonts w:ascii="宋体" w:hAnsi="宋体" w:cs="宋体" w:eastAsia="宋体" w:hint="default"/>
                <w:sz w:val="24"/>
                <w:szCs w:val="24"/>
              </w:rPr>
              <w:t>金额</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52"/>
              <w:jc w:val="right"/>
              <w:rPr>
                <w:rFonts w:ascii="宋体" w:hAnsi="宋体" w:cs="宋体" w:eastAsia="宋体" w:hint="default"/>
                <w:sz w:val="24"/>
                <w:szCs w:val="24"/>
              </w:rPr>
            </w:pPr>
            <w:r>
              <w:rPr>
                <w:rFonts w:ascii="宋体" w:hAnsi="宋体" w:cs="宋体" w:eastAsia="宋体" w:hint="default"/>
                <w:sz w:val="24"/>
                <w:szCs w:val="24"/>
              </w:rPr>
              <w:t>年限</w:t>
            </w:r>
          </w:p>
        </w:tc>
        <w:tc>
          <w:tcPr>
            <w:tcW w:w="1704"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227" w:right="35"/>
              <w:jc w:val="left"/>
              <w:rPr>
                <w:rFonts w:ascii="宋体" w:hAnsi="宋体" w:cs="宋体" w:eastAsia="宋体" w:hint="default"/>
                <w:sz w:val="24"/>
                <w:szCs w:val="24"/>
              </w:rPr>
            </w:pPr>
            <w:r>
              <w:rPr>
                <w:rFonts w:ascii="宋体" w:hAnsi="宋体" w:cs="宋体" w:eastAsia="宋体" w:hint="default"/>
                <w:sz w:val="24"/>
                <w:szCs w:val="24"/>
              </w:rPr>
              <w:t>占其他应收款 和长期应收款</w:t>
            </w:r>
          </w:p>
          <w:p>
            <w:pPr>
              <w:pStyle w:val="TableParagraph"/>
              <w:spacing w:line="283" w:lineRule="exact"/>
              <w:ind w:left="707"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465"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北京中电广通科技有限公司</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09"/>
              <w:jc w:val="right"/>
              <w:rPr>
                <w:rFonts w:ascii="Arial" w:hAnsi="Arial" w:cs="Arial" w:eastAsia="Arial" w:hint="default"/>
                <w:sz w:val="24"/>
                <w:szCs w:val="24"/>
              </w:rPr>
            </w:pPr>
            <w:r>
              <w:rPr>
                <w:rFonts w:ascii="Arial"/>
                <w:spacing w:val="-1"/>
                <w:sz w:val="24"/>
              </w:rPr>
              <w:t>24,000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2"/>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3"/>
              <w:jc w:val="right"/>
              <w:rPr>
                <w:rFonts w:ascii="Arial" w:hAnsi="Arial" w:cs="Arial" w:eastAsia="Arial" w:hint="default"/>
                <w:sz w:val="24"/>
                <w:szCs w:val="24"/>
              </w:rPr>
            </w:pPr>
            <w:r>
              <w:rPr>
                <w:rFonts w:ascii="Arial"/>
                <w:sz w:val="24"/>
              </w:rPr>
              <w:t>2.7%</w:t>
            </w:r>
          </w:p>
        </w:tc>
      </w:tr>
      <w:tr>
        <w:trPr>
          <w:trHeight w:val="312"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4"/>
                <w:szCs w:val="24"/>
              </w:rPr>
            </w:pPr>
            <w:r>
              <w:rPr>
                <w:rFonts w:ascii="宋体" w:hAnsi="宋体" w:cs="宋体" w:eastAsia="宋体" w:hint="default"/>
                <w:sz w:val="24"/>
                <w:szCs w:val="24"/>
              </w:rPr>
              <w:t>南京政治学院上海分院</w:t>
            </w:r>
          </w:p>
        </w:tc>
        <w:tc>
          <w:tcPr>
            <w:tcW w:w="1624"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7"/>
              <w:jc w:val="right"/>
              <w:rPr>
                <w:rFonts w:ascii="Arial" w:hAnsi="Arial" w:cs="Arial" w:eastAsia="Arial" w:hint="default"/>
                <w:sz w:val="24"/>
                <w:szCs w:val="24"/>
              </w:rPr>
            </w:pPr>
            <w:r>
              <w:rPr>
                <w:rFonts w:ascii="Arial"/>
                <w:spacing w:val="-1"/>
                <w:sz w:val="24"/>
              </w:rPr>
              <w:t>16,000</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二到三年</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4"/>
                <w:szCs w:val="24"/>
              </w:rPr>
            </w:pPr>
            <w:r>
              <w:rPr>
                <w:rFonts w:ascii="Arial"/>
                <w:sz w:val="24"/>
              </w:rPr>
              <w:t>1.8%</w:t>
            </w:r>
          </w:p>
        </w:tc>
      </w:tr>
      <w:tr>
        <w:trPr>
          <w:trHeight w:val="312"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61" w:lineRule="exact"/>
              <w:ind w:left="47" w:right="0"/>
              <w:jc w:val="left"/>
              <w:rPr>
                <w:rFonts w:ascii="宋体" w:hAnsi="宋体" w:cs="宋体" w:eastAsia="宋体" w:hint="default"/>
                <w:sz w:val="24"/>
                <w:szCs w:val="24"/>
              </w:rPr>
            </w:pPr>
            <w:r>
              <w:rPr>
                <w:rFonts w:ascii="宋体" w:hAnsi="宋体" w:cs="宋体" w:eastAsia="宋体" w:hint="default"/>
                <w:sz w:val="24"/>
                <w:szCs w:val="24"/>
              </w:rPr>
              <w:t>南通四建集团有限公司</w:t>
            </w:r>
          </w:p>
        </w:tc>
        <w:tc>
          <w:tcPr>
            <w:tcW w:w="1624"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7"/>
              <w:jc w:val="right"/>
              <w:rPr>
                <w:rFonts w:ascii="Arial" w:hAnsi="Arial" w:cs="Arial" w:eastAsia="Arial" w:hint="default"/>
                <w:sz w:val="24"/>
                <w:szCs w:val="24"/>
              </w:rPr>
            </w:pPr>
            <w:r>
              <w:rPr>
                <w:rFonts w:ascii="Arial"/>
                <w:spacing w:val="-1"/>
                <w:sz w:val="24"/>
              </w:rPr>
              <w:t>9,798</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4"/>
                <w:szCs w:val="24"/>
              </w:rPr>
            </w:pPr>
            <w:r>
              <w:rPr>
                <w:rFonts w:ascii="Arial"/>
                <w:sz w:val="24"/>
              </w:rPr>
              <w:t>1.1%</w:t>
            </w:r>
          </w:p>
        </w:tc>
      </w:tr>
      <w:tr>
        <w:trPr>
          <w:trHeight w:val="605"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4"/>
                <w:szCs w:val="24"/>
              </w:rPr>
            </w:pPr>
            <w:r>
              <w:rPr>
                <w:rFonts w:ascii="宋体" w:hAnsi="宋体" w:cs="宋体" w:eastAsia="宋体" w:hint="default"/>
                <w:sz w:val="24"/>
                <w:szCs w:val="24"/>
              </w:rPr>
              <w:t>北京市通州代理支库</w:t>
            </w:r>
          </w:p>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江苏省奥建艺术装潢有限</w:t>
            </w:r>
          </w:p>
        </w:tc>
        <w:tc>
          <w:tcPr>
            <w:tcW w:w="1624"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7"/>
              <w:jc w:val="right"/>
              <w:rPr>
                <w:rFonts w:ascii="Arial" w:hAnsi="Arial" w:cs="Arial" w:eastAsia="Arial" w:hint="default"/>
                <w:sz w:val="24"/>
                <w:szCs w:val="24"/>
              </w:rPr>
            </w:pPr>
            <w:r>
              <w:rPr>
                <w:rFonts w:ascii="Arial"/>
                <w:spacing w:val="-1"/>
                <w:sz w:val="24"/>
              </w:rPr>
              <w:t>7,576</w:t>
            </w:r>
          </w:p>
        </w:tc>
        <w:tc>
          <w:tcPr>
            <w:tcW w:w="1119" w:type="dxa"/>
            <w:tcBorders>
              <w:top w:val="nil" w:sz="6" w:space="0" w:color="auto"/>
              <w:left w:val="nil" w:sz="6" w:space="0" w:color="auto"/>
              <w:bottom w:val="nil" w:sz="6" w:space="0" w:color="auto"/>
              <w:right w:val="nil" w:sz="6" w:space="0" w:color="auto"/>
            </w:tcBorders>
          </w:tcPr>
          <w:p>
            <w:pPr>
              <w:pStyle w:val="TableParagraph"/>
              <w:spacing w:line="261" w:lineRule="exact"/>
              <w:ind w:right="52"/>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24"/>
                <w:szCs w:val="24"/>
              </w:rPr>
            </w:pPr>
            <w:r>
              <w:rPr>
                <w:rFonts w:ascii="Arial"/>
                <w:w w:val="95"/>
                <w:sz w:val="24"/>
              </w:rPr>
              <w:t>0.8%</w:t>
            </w:r>
            <w:r>
              <w:rPr>
                <w:rFonts w:ascii="Arial"/>
                <w:sz w:val="24"/>
              </w:rPr>
            </w:r>
          </w:p>
        </w:tc>
      </w:tr>
    </w:tbl>
    <w:p>
      <w:pPr>
        <w:pStyle w:val="BodyText"/>
        <w:tabs>
          <w:tab w:pos="4683" w:val="left" w:leader="none"/>
          <w:tab w:pos="6075" w:val="left" w:leader="none"/>
          <w:tab w:pos="6990" w:val="left" w:leader="none"/>
          <w:tab w:pos="9124" w:val="left" w:leader="none"/>
          <w:tab w:pos="9779" w:val="left" w:leader="none"/>
        </w:tabs>
        <w:spacing w:line="316" w:lineRule="exact" w:before="0"/>
        <w:ind w:left="1301" w:right="0"/>
        <w:jc w:val="left"/>
        <w:rPr>
          <w:rFonts w:ascii="Arial" w:hAnsi="Arial" w:cs="Arial" w:eastAsia="Arial" w:hint="default"/>
        </w:rPr>
      </w:pPr>
      <w:r>
        <w:rPr>
          <w:position w:val="2"/>
        </w:rPr>
        <w:t>责任公司</w:t>
        <w:tab/>
        <w:t>第三方</w:t>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6,736</w:t>
      </w:r>
      <w:r>
        <w:rPr>
          <w:rFonts w:ascii="Arial" w:hAnsi="Arial" w:cs="Arial" w:eastAsia="Arial" w:hint="default"/>
          <w:spacing w:val="-1"/>
        </w:rPr>
        <w:tab/>
      </w:r>
      <w:r>
        <w:rPr>
          <w:position w:val="2"/>
        </w:rPr>
        <w:t>一年以内</w:t>
      </w:r>
      <w:r>
        <w:rPr>
          <w:rFonts w:ascii="Arial" w:hAnsi="Arial" w:cs="Arial" w:eastAsia="Arial" w:hint="default"/>
        </w:rPr>
      </w:r>
      <w:r>
        <w:rPr>
          <w:rFonts w:ascii="Arial" w:hAnsi="Arial" w:cs="Arial" w:eastAsia="Arial" w:hint="default"/>
          <w:u w:val="single" w:color="000000"/>
        </w:rPr>
        <w:t> </w:t>
        <w:tab/>
        <w:t>0.8%</w:t>
        <w:tab/>
      </w:r>
      <w:r>
        <w:rPr>
          <w:rFonts w:ascii="Arial" w:hAnsi="Arial" w:cs="Arial" w:eastAsia="Arial" w:hint="default"/>
        </w:rPr>
      </w:r>
    </w:p>
    <w:p>
      <w:pPr>
        <w:pStyle w:val="BodyText"/>
        <w:tabs>
          <w:tab w:pos="5960" w:val="left" w:leader="none"/>
          <w:tab w:pos="8058" w:val="left" w:leader="none"/>
          <w:tab w:pos="9124" w:val="left" w:leader="none"/>
          <w:tab w:pos="9779" w:val="left" w:leader="none"/>
        </w:tabs>
        <w:spacing w:line="240" w:lineRule="auto" w:before="9"/>
        <w:ind w:left="5509"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4"/>
          <w:u w:val="thick" w:color="000000"/>
        </w:rPr>
        <w:t>64,110</w:t>
      </w:r>
      <w:r>
        <w:rPr>
          <w:rFonts w:ascii="Arial"/>
          <w:spacing w:val="-4"/>
        </w:rPr>
        <w:tab/>
      </w:r>
      <w:r>
        <w:rPr>
          <w:rFonts w:ascii="Arial"/>
          <w:spacing w:val="-4"/>
          <w:u w:val="thick" w:color="000000"/>
        </w:rPr>
        <w:t> </w:t>
        <w:tab/>
      </w:r>
      <w:r>
        <w:rPr>
          <w:rFonts w:ascii="Arial"/>
          <w:u w:val="thick" w:color="000000"/>
        </w:rPr>
        <w:t>7.2%</w:t>
        <w:tab/>
      </w:r>
      <w:r>
        <w:rPr>
          <w:rFonts w:ascii="Arial"/>
        </w:rPr>
      </w:r>
    </w:p>
    <w:p>
      <w:pPr>
        <w:spacing w:line="240" w:lineRule="auto" w:before="8"/>
        <w:rPr>
          <w:rFonts w:ascii="Arial" w:hAnsi="Arial" w:cs="Arial" w:eastAsia="Arial" w:hint="default"/>
          <w:sz w:val="20"/>
          <w:szCs w:val="20"/>
        </w:rPr>
      </w:pPr>
    </w:p>
    <w:p>
      <w:pPr>
        <w:pStyle w:val="BodyText"/>
        <w:tabs>
          <w:tab w:pos="840" w:val="left" w:leader="none"/>
        </w:tabs>
        <w:spacing w:line="240" w:lineRule="auto" w:before="31"/>
        <w:ind w:left="103" w:right="0"/>
        <w:jc w:val="left"/>
      </w:pPr>
      <w:r>
        <w:rPr>
          <w:rFonts w:ascii="Arial" w:hAnsi="Arial" w:cs="Arial" w:eastAsia="Arial" w:hint="default"/>
          <w:spacing w:val="-1"/>
          <w:w w:val="95"/>
          <w:position w:val="2"/>
        </w:rPr>
        <w:t>(g)</w:t>
        <w:tab/>
      </w:r>
      <w:r>
        <w:rPr/>
        <w:t>应收关联方的其他应收款分析如下：</w:t>
      </w:r>
    </w:p>
    <w:p>
      <w:pPr>
        <w:spacing w:line="240" w:lineRule="auto" w:before="5"/>
        <w:rPr>
          <w:rFonts w:ascii="宋体" w:hAnsi="宋体" w:cs="宋体" w:eastAsia="宋体" w:hint="default"/>
          <w:sz w:val="21"/>
          <w:szCs w:val="21"/>
        </w:rPr>
      </w:pPr>
    </w:p>
    <w:p>
      <w:pPr>
        <w:tabs>
          <w:tab w:pos="4407" w:val="left" w:leader="none"/>
          <w:tab w:pos="7436" w:val="left" w:leader="none"/>
        </w:tabs>
        <w:spacing w:before="0"/>
        <w:ind w:left="2369" w:right="0" w:firstLine="0"/>
        <w:jc w:val="left"/>
        <w:rPr>
          <w:rFonts w:ascii="宋体" w:hAnsi="宋体" w:cs="宋体" w:eastAsia="宋体" w:hint="default"/>
          <w:sz w:val="21"/>
          <w:szCs w:val="21"/>
        </w:rPr>
      </w:pPr>
      <w:r>
        <w:rPr>
          <w:rFonts w:ascii="宋体" w:hAnsi="宋体" w:cs="宋体" w:eastAsia="宋体" w:hint="default"/>
          <w:spacing w:val="-1"/>
          <w:sz w:val="21"/>
          <w:szCs w:val="21"/>
        </w:rPr>
        <w:t>与本集团关系</w:t>
        <w:tab/>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pacing w:val="-2"/>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w:t>
        <w:tab/>
      </w:r>
      <w:r>
        <w:rPr>
          <w:rFonts w:ascii="Arial" w:hAnsi="Arial" w:cs="Arial" w:eastAsia="Arial" w:hint="default"/>
          <w:spacing w:val="-1"/>
          <w:sz w:val="21"/>
          <w:szCs w:val="21"/>
        </w:rPr>
        <w:t>2010</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pacing w:val="-2"/>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795" w:type="dxa"/>
        <w:tblLayout w:type="fixed"/>
        <w:tblCellMar>
          <w:top w:w="0" w:type="dxa"/>
          <w:left w:w="0" w:type="dxa"/>
          <w:bottom w:w="0" w:type="dxa"/>
          <w:right w:w="0" w:type="dxa"/>
        </w:tblCellMar>
        <w:tblLook w:val="01E0"/>
      </w:tblPr>
      <w:tblGrid>
        <w:gridCol w:w="5089"/>
        <w:gridCol w:w="801"/>
        <w:gridCol w:w="235"/>
        <w:gridCol w:w="654"/>
        <w:gridCol w:w="1372"/>
        <w:gridCol w:w="833"/>
      </w:tblGrid>
      <w:tr>
        <w:trPr>
          <w:trHeight w:val="1231" w:hRule="exact"/>
        </w:trPr>
        <w:tc>
          <w:tcPr>
            <w:tcW w:w="5089" w:type="dxa"/>
            <w:tcBorders>
              <w:top w:val="single" w:sz="12" w:space="0" w:color="000000"/>
              <w:left w:val="nil" w:sz="6" w:space="0" w:color="auto"/>
              <w:bottom w:val="nil" w:sz="6" w:space="0" w:color="auto"/>
              <w:right w:val="nil" w:sz="6" w:space="0" w:color="auto"/>
            </w:tcBorders>
          </w:tcPr>
          <w:p>
            <w:pPr>
              <w:pStyle w:val="TableParagraph"/>
              <w:spacing w:line="240" w:lineRule="exact"/>
              <w:ind w:left="327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5"/>
                <w:sz w:val="21"/>
                <w:szCs w:val="21"/>
              </w:rPr>
              <w:t> </w:t>
            </w:r>
            <w:r>
              <w:rPr>
                <w:rFonts w:ascii="宋体" w:hAnsi="宋体" w:cs="宋体" w:eastAsia="宋体" w:hint="default"/>
                <w:sz w:val="21"/>
                <w:szCs w:val="21"/>
              </w:rPr>
              <w:t>占其他应收</w:t>
            </w:r>
          </w:p>
          <w:p>
            <w:pPr>
              <w:pStyle w:val="TableParagraph"/>
              <w:spacing w:line="237" w:lineRule="auto" w:before="2"/>
              <w:ind w:left="3810" w:right="222"/>
              <w:jc w:val="both"/>
              <w:rPr>
                <w:rFonts w:ascii="Arial" w:hAnsi="Arial" w:cs="Arial" w:eastAsia="Arial" w:hint="default"/>
                <w:sz w:val="21"/>
                <w:szCs w:val="21"/>
              </w:rPr>
            </w:pPr>
            <w:r>
              <w:rPr>
                <w:rFonts w:ascii="宋体" w:hAnsi="宋体" w:cs="宋体" w:eastAsia="宋体" w:hint="default"/>
                <w:spacing w:val="-1"/>
                <w:sz w:val="21"/>
                <w:szCs w:val="21"/>
              </w:rPr>
              <w:t>款和长期应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收款总额的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比例</w:t>
            </w:r>
            <w:r>
              <w:rPr>
                <w:rFonts w:ascii="宋体" w:hAnsi="宋体" w:cs="宋体" w:eastAsia="宋体" w:hint="default"/>
                <w:spacing w:val="-1"/>
                <w:sz w:val="21"/>
                <w:szCs w:val="21"/>
              </w:rPr>
              <w:t> </w:t>
            </w:r>
            <w:r>
              <w:rPr>
                <w:rFonts w:ascii="Arial" w:hAnsi="Arial" w:cs="Arial" w:eastAsia="Arial" w:hint="default"/>
                <w:sz w:val="21"/>
                <w:szCs w:val="21"/>
              </w:rPr>
              <w:t>(%)</w:t>
            </w:r>
          </w:p>
        </w:tc>
        <w:tc>
          <w:tcPr>
            <w:tcW w:w="801" w:type="dxa"/>
            <w:tcBorders>
              <w:top w:val="single" w:sz="12" w:space="0" w:color="000000"/>
              <w:left w:val="nil" w:sz="6" w:space="0" w:color="auto"/>
              <w:bottom w:val="nil" w:sz="6" w:space="0" w:color="auto"/>
              <w:right w:val="nil" w:sz="6" w:space="0" w:color="auto"/>
            </w:tcBorders>
          </w:tcPr>
          <w:p>
            <w:pPr>
              <w:pStyle w:val="TableParagraph"/>
              <w:spacing w:line="240" w:lineRule="exact"/>
              <w:ind w:left="224"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22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235" w:type="dxa"/>
            <w:tcBorders>
              <w:top w:val="nil" w:sz="6" w:space="0" w:color="auto"/>
              <w:left w:val="nil" w:sz="6" w:space="0" w:color="auto"/>
              <w:bottom w:val="nil" w:sz="6" w:space="0" w:color="auto"/>
              <w:right w:val="nil" w:sz="6" w:space="0" w:color="auto"/>
            </w:tcBorders>
          </w:tcPr>
          <w:p>
            <w:pPr/>
          </w:p>
        </w:tc>
        <w:tc>
          <w:tcPr>
            <w:tcW w:w="654" w:type="dxa"/>
            <w:tcBorders>
              <w:top w:val="single" w:sz="12" w:space="0" w:color="000000"/>
              <w:left w:val="nil" w:sz="6" w:space="0" w:color="auto"/>
              <w:bottom w:val="nil" w:sz="6" w:space="0" w:color="auto"/>
              <w:right w:val="nil" w:sz="6" w:space="0" w:color="auto"/>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72" w:type="dxa"/>
            <w:tcBorders>
              <w:top w:val="single" w:sz="12" w:space="0" w:color="000000"/>
              <w:left w:val="nil" w:sz="6" w:space="0" w:color="auto"/>
              <w:bottom w:val="nil" w:sz="6" w:space="0" w:color="auto"/>
              <w:right w:val="nil" w:sz="6" w:space="0" w:color="auto"/>
            </w:tcBorders>
          </w:tcPr>
          <w:p>
            <w:pPr>
              <w:pStyle w:val="TableParagraph"/>
              <w:spacing w:line="240" w:lineRule="exact"/>
              <w:ind w:left="80" w:right="0"/>
              <w:jc w:val="both"/>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80" w:right="235"/>
              <w:jc w:val="both"/>
              <w:rPr>
                <w:rFonts w:ascii="Arial" w:hAnsi="Arial" w:cs="Arial" w:eastAsia="Arial" w:hint="default"/>
                <w:sz w:val="21"/>
                <w:szCs w:val="21"/>
              </w:rPr>
            </w:pPr>
            <w:r>
              <w:rPr>
                <w:rFonts w:ascii="宋体" w:hAnsi="宋体" w:cs="宋体" w:eastAsia="宋体" w:hint="default"/>
                <w:spacing w:val="-1"/>
                <w:sz w:val="21"/>
                <w:szCs w:val="21"/>
              </w:rPr>
              <w:t>款和长期应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收款总额的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比例</w:t>
            </w:r>
            <w:r>
              <w:rPr>
                <w:rFonts w:ascii="宋体" w:hAnsi="宋体" w:cs="宋体" w:eastAsia="宋体" w:hint="default"/>
                <w:spacing w:val="-1"/>
                <w:sz w:val="21"/>
                <w:szCs w:val="21"/>
              </w:rPr>
              <w:t> </w:t>
            </w:r>
            <w:r>
              <w:rPr>
                <w:rFonts w:ascii="Arial" w:hAnsi="Arial" w:cs="Arial" w:eastAsia="Arial" w:hint="default"/>
                <w:sz w:val="21"/>
                <w:szCs w:val="21"/>
              </w:rPr>
              <w:t>(%)</w:t>
            </w:r>
          </w:p>
        </w:tc>
        <w:tc>
          <w:tcPr>
            <w:tcW w:w="833" w:type="dxa"/>
            <w:tcBorders>
              <w:top w:val="single" w:sz="12" w:space="0" w:color="000000"/>
              <w:left w:val="nil" w:sz="6" w:space="0" w:color="auto"/>
              <w:bottom w:val="nil" w:sz="6" w:space="0" w:color="auto"/>
              <w:right w:val="nil" w:sz="6" w:space="0" w:color="auto"/>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378" w:hRule="exact"/>
        </w:trPr>
        <w:tc>
          <w:tcPr>
            <w:tcW w:w="5089" w:type="dxa"/>
            <w:tcBorders>
              <w:top w:val="nil" w:sz="6" w:space="0" w:color="auto"/>
              <w:left w:val="nil" w:sz="6" w:space="0" w:color="auto"/>
              <w:bottom w:val="nil" w:sz="6" w:space="0" w:color="auto"/>
              <w:right w:val="nil" w:sz="6" w:space="0" w:color="auto"/>
            </w:tcBorders>
          </w:tcPr>
          <w:p>
            <w:pPr>
              <w:pStyle w:val="TableParagraph"/>
              <w:tabs>
                <w:tab w:pos="1573" w:val="left" w:leader="none"/>
              </w:tabs>
              <w:spacing w:line="240" w:lineRule="auto" w:before="83"/>
              <w:ind w:left="35" w:right="0"/>
              <w:jc w:val="left"/>
              <w:rPr>
                <w:rFonts w:ascii="宋体" w:hAnsi="宋体" w:cs="宋体" w:eastAsia="宋体" w:hint="default"/>
                <w:sz w:val="21"/>
                <w:szCs w:val="21"/>
              </w:rPr>
            </w:pPr>
            <w:r>
              <w:rPr>
                <w:rFonts w:ascii="宋体" w:hAnsi="宋体" w:cs="宋体" w:eastAsia="宋体" w:hint="default"/>
                <w:spacing w:val="-1"/>
                <w:sz w:val="21"/>
                <w:szCs w:val="21"/>
              </w:rPr>
              <w:t>成都鸿业置业</w:t>
              <w:tab/>
            </w:r>
            <w:r>
              <w:rPr>
                <w:rFonts w:ascii="宋体" w:hAnsi="宋体" w:cs="宋体" w:eastAsia="宋体" w:hint="default"/>
                <w:sz w:val="21"/>
                <w:szCs w:val="21"/>
              </w:rPr>
              <w:t>与</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受</w:t>
            </w:r>
            <w:r>
              <w:rPr>
                <w:rFonts w:ascii="宋体" w:hAnsi="宋体" w:cs="宋体" w:eastAsia="宋体" w:hint="default"/>
                <w:spacing w:val="-66"/>
                <w:sz w:val="21"/>
                <w:szCs w:val="21"/>
              </w:rPr>
              <w:t> </w:t>
            </w:r>
            <w:r>
              <w:rPr>
                <w:rFonts w:ascii="宋体" w:hAnsi="宋体" w:cs="宋体" w:eastAsia="宋体" w:hint="default"/>
                <w:sz w:val="21"/>
                <w:szCs w:val="21"/>
              </w:rPr>
              <w:t>同</w:t>
            </w:r>
          </w:p>
        </w:tc>
        <w:tc>
          <w:tcPr>
            <w:tcW w:w="8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1474" w:footer="956" w:top="2960" w:bottom="1140" w:left="1020" w:right="0"/>
        </w:sectPr>
      </w:pPr>
    </w:p>
    <w:p>
      <w:pPr>
        <w:spacing w:line="251" w:lineRule="exact" w:before="0"/>
        <w:ind w:left="1032" w:right="-14" w:firstLine="0"/>
        <w:jc w:val="left"/>
        <w:rPr>
          <w:rFonts w:ascii="宋体" w:hAnsi="宋体" w:cs="宋体" w:eastAsia="宋体" w:hint="default"/>
          <w:sz w:val="21"/>
          <w:szCs w:val="21"/>
        </w:rPr>
      </w:pPr>
      <w:r>
        <w:rPr>
          <w:rFonts w:ascii="宋体" w:hAnsi="宋体" w:cs="宋体" w:eastAsia="宋体" w:hint="default"/>
          <w:spacing w:val="-1"/>
          <w:sz w:val="21"/>
          <w:szCs w:val="21"/>
        </w:rPr>
        <w:t>有限公司</w:t>
      </w:r>
    </w:p>
    <w:p>
      <w:pPr>
        <w:spacing w:line="251" w:lineRule="exact" w:before="0"/>
        <w:ind w:left="651" w:right="1104" w:firstLine="0"/>
        <w:jc w:val="left"/>
        <w:rPr>
          <w:rFonts w:ascii="宋体" w:hAnsi="宋体" w:cs="宋体" w:eastAsia="宋体" w:hint="default"/>
          <w:sz w:val="21"/>
          <w:szCs w:val="21"/>
        </w:rPr>
      </w:pPr>
      <w:r>
        <w:rPr/>
        <w:br w:type="column"/>
      </w:r>
      <w:r>
        <w:rPr>
          <w:rFonts w:ascii="宋体" w:hAnsi="宋体" w:cs="宋体" w:eastAsia="宋体" w:hint="default"/>
          <w:sz w:val="21"/>
          <w:szCs w:val="21"/>
        </w:rPr>
        <w:t>一实际控制人</w:t>
      </w:r>
    </w:p>
    <w:p>
      <w:pPr>
        <w:tabs>
          <w:tab w:pos="2024" w:val="left" w:leader="none"/>
          <w:tab w:pos="3051" w:val="left" w:leader="none"/>
          <w:tab w:pos="4036" w:val="left" w:leader="none"/>
          <w:tab w:pos="4595" w:val="left" w:leader="none"/>
          <w:tab w:pos="5005" w:val="left" w:leader="none"/>
          <w:tab w:pos="5550" w:val="left" w:leader="none"/>
          <w:tab w:pos="6679" w:val="left" w:leader="none"/>
          <w:tab w:pos="7094" w:val="left" w:leader="none"/>
          <w:tab w:pos="7687" w:val="left" w:leader="none"/>
          <w:tab w:pos="7848" w:val="left" w:leader="none"/>
        </w:tabs>
        <w:spacing w:line="249" w:lineRule="auto" w:before="0"/>
        <w:ind w:left="2245" w:right="1104" w:hanging="1595"/>
        <w:jc w:val="left"/>
        <w:rPr>
          <w:rFonts w:ascii="Arial" w:hAnsi="Arial" w:cs="Arial" w:eastAsia="Arial" w:hint="default"/>
          <w:sz w:val="21"/>
          <w:szCs w:val="21"/>
        </w:rPr>
      </w:pPr>
      <w:r>
        <w:rPr>
          <w:rFonts w:ascii="宋体" w:hAnsi="宋体" w:cs="宋体" w:eastAsia="宋体" w:hint="default"/>
          <w:position w:val="1"/>
          <w:sz w:val="21"/>
          <w:szCs w:val="21"/>
        </w:rPr>
        <w:t>控制</w:t>
        <w:tab/>
      </w:r>
      <w:r>
        <w:rPr>
          <w:rFonts w:ascii="Arial" w:hAnsi="Arial" w:cs="Arial" w:eastAsia="Arial" w:hint="default"/>
          <w:sz w:val="21"/>
          <w:szCs w:val="21"/>
        </w:rPr>
      </w:r>
      <w:r>
        <w:rPr>
          <w:rFonts w:ascii="Arial" w:hAnsi="Arial" w:cs="Arial" w:eastAsia="Arial" w:hint="default"/>
          <w:sz w:val="21"/>
          <w:szCs w:val="21"/>
          <w:u w:val="single" w:color="000000"/>
        </w:rPr>
        <w:t> 250</w:t>
        <w:tab/>
      </w:r>
      <w:r>
        <w:rPr>
          <w:rFonts w:ascii="Arial" w:hAnsi="Arial" w:cs="Arial" w:eastAsia="Arial" w:hint="default"/>
          <w:spacing w:val="-1"/>
          <w:sz w:val="21"/>
          <w:szCs w:val="21"/>
          <w:u w:val="single" w:color="000000"/>
        </w:rPr>
        <w:t>0.03%</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 </w:t>
        <w:tab/>
      </w:r>
      <w:r>
        <w:rPr>
          <w:rFonts w:ascii="Arial" w:hAnsi="Arial" w:cs="Arial" w:eastAsia="Arial" w:hint="default"/>
          <w:sz w:val="21"/>
          <w:szCs w:val="21"/>
          <w:u w:val="single" w:color="000000"/>
        </w:rPr>
        <w:t>-</w:t>
      </w:r>
      <w:r>
        <w:rPr>
          <w:rFonts w:ascii="Arial" w:hAnsi="Arial" w:cs="Arial" w:eastAsia="Arial" w:hint="default"/>
          <w:sz w:val="21"/>
          <w:szCs w:val="21"/>
        </w:rPr>
        <w:tab/>
      </w:r>
      <w:r>
        <w:rPr>
          <w:rFonts w:ascii="Arial" w:hAnsi="Arial" w:cs="Arial" w:eastAsia="Arial" w:hint="default"/>
          <w:sz w:val="21"/>
          <w:szCs w:val="21"/>
          <w:u w:val="single" w:color="000000"/>
        </w:rPr>
        <w:t> </w:t>
        <w:tab/>
        <w:t>-</w:t>
        <w:tab/>
        <w:t>-</w:t>
      </w:r>
      <w:r>
        <w:rPr>
          <w:rFonts w:ascii="Arial" w:hAnsi="Arial" w:cs="Arial" w:eastAsia="Arial" w:hint="default"/>
          <w:sz w:val="21"/>
          <w:szCs w:val="21"/>
        </w:rPr>
        <w:tab/>
      </w:r>
      <w:r>
        <w:rPr>
          <w:rFonts w:ascii="Arial" w:hAnsi="Arial" w:cs="Arial" w:eastAsia="Arial" w:hint="default"/>
          <w:sz w:val="21"/>
          <w:szCs w:val="21"/>
          <w:u w:val="single" w:color="000000"/>
        </w:rPr>
        <w:t> </w:t>
        <w:tab/>
        <w:t>-</w:t>
        <w:tab/>
      </w:r>
      <w:r>
        <w:rPr>
          <w:rFonts w:ascii="Arial" w:hAnsi="Arial" w:cs="Arial" w:eastAsia="Arial" w:hint="default"/>
          <w:w w:val="27"/>
          <w:sz w:val="21"/>
          <w:szCs w:val="21"/>
          <w:u w:val="single" w:color="000000"/>
        </w:rPr>
        <w:t> </w:t>
      </w:r>
      <w:r>
        <w:rPr>
          <w:rFonts w:ascii="Arial" w:hAnsi="Arial" w:cs="Arial" w:eastAsia="Arial" w:hint="default"/>
          <w:sz w:val="21"/>
          <w:szCs w:val="21"/>
          <w:u w:val="single" w:color="000000"/>
        </w:rPr>
      </w:r>
      <w:r>
        <w:rPr>
          <w:rFonts w:ascii="Arial" w:hAnsi="Arial" w:cs="Arial" w:eastAsia="Arial" w:hint="default"/>
          <w:sz w:val="21"/>
          <w:szCs w:val="21"/>
        </w:rPr>
      </w:r>
      <w:r>
        <w:rPr>
          <w:rFonts w:ascii="Arial" w:hAnsi="Arial" w:cs="Arial" w:eastAsia="Arial" w:hint="default"/>
          <w:sz w:val="21"/>
          <w:szCs w:val="21"/>
        </w:rPr>
        <w:t> 250</w:t>
        <w:tab/>
      </w:r>
      <w:r>
        <w:rPr>
          <w:rFonts w:ascii="Arial" w:hAnsi="Arial" w:cs="Arial" w:eastAsia="Arial" w:hint="default"/>
          <w:spacing w:val="-1"/>
          <w:sz w:val="21"/>
          <w:szCs w:val="21"/>
        </w:rPr>
        <w:t>0.03%</w:t>
        <w:tab/>
        <w:tab/>
      </w:r>
      <w:r>
        <w:rPr>
          <w:rFonts w:ascii="Arial" w:hAnsi="Arial" w:cs="Arial" w:eastAsia="Arial" w:hint="default"/>
          <w:sz w:val="21"/>
          <w:szCs w:val="21"/>
        </w:rPr>
        <w:t>-</w:t>
        <w:tab/>
        <w:tab/>
        <w:t>-</w:t>
        <w:tab/>
        <w:t>-</w:t>
        <w:tab/>
        <w:tab/>
        <w:t>-</w:t>
      </w:r>
    </w:p>
    <w:p>
      <w:pPr>
        <w:spacing w:after="0" w:line="249" w:lineRule="auto"/>
        <w:jc w:val="left"/>
        <w:rPr>
          <w:rFonts w:ascii="Arial" w:hAnsi="Arial" w:cs="Arial" w:eastAsia="Arial" w:hint="default"/>
          <w:sz w:val="21"/>
          <w:szCs w:val="21"/>
        </w:rPr>
        <w:sectPr>
          <w:type w:val="continuous"/>
          <w:pgSz w:w="11910" w:h="16850"/>
          <w:pgMar w:top="980" w:bottom="1100" w:left="1020" w:right="0"/>
          <w:cols w:num="2" w:equalWidth="0">
            <w:col w:w="1875" w:space="40"/>
            <w:col w:w="8975"/>
          </w:cols>
        </w:sectPr>
      </w:pPr>
    </w:p>
    <w:p>
      <w:pPr>
        <w:tabs>
          <w:tab w:pos="5936" w:val="left" w:leader="none"/>
          <w:tab w:pos="6906" w:val="left" w:leader="none"/>
          <w:tab w:pos="8994" w:val="left" w:leader="none"/>
        </w:tabs>
        <w:spacing w:line="28" w:lineRule="exact"/>
        <w:ind w:left="3925" w:right="0" w:firstLine="0"/>
        <w:rPr>
          <w:rFonts w:ascii="Arial" w:hAnsi="Arial" w:cs="Arial" w:eastAsia="Arial" w:hint="default"/>
          <w:sz w:val="2"/>
          <w:szCs w:val="2"/>
        </w:rPr>
      </w:pPr>
      <w:r>
        <w:rPr>
          <w:rFonts w:ascii="Arial"/>
          <w:position w:val="0"/>
          <w:sz w:val="2"/>
        </w:rPr>
        <w:pict>
          <v:group style="width:87.9pt;height:1.45pt;mso-position-horizontal-relative:char;mso-position-vertical-relative:line" coordorigin="0,0" coordsize="1758,29">
            <v:group style="position:absolute;left:14;top:14;width:677;height:2" coordorigin="14,14" coordsize="677,2">
              <v:shape style="position:absolute;left:14;top:14;width:677;height:2" coordorigin="14,14" coordsize="677,0" path="m14,14l691,14e" filled="false" stroked="true" strokeweight="1.44pt" strokecolor="#000000">
                <v:path arrowok="t"/>
              </v:shape>
            </v:group>
            <v:group style="position:absolute;left:691;top:14;width:29;height:2" coordorigin="691,14" coordsize="29,2">
              <v:shape style="position:absolute;left:691;top:14;width:29;height:2" coordorigin="691,14" coordsize="29,0" path="m691,14l720,14e" filled="false" stroked="true" strokeweight="1.44pt" strokecolor="#000000">
                <v:path arrowok="t"/>
              </v:shape>
            </v:group>
            <v:group style="position:absolute;left:720;top:14;width:865;height:2" coordorigin="720,14" coordsize="865,2">
              <v:shape style="position:absolute;left:720;top:14;width:865;height:2" coordorigin="720,14" coordsize="865,0" path="m720,14l1584,14e" filled="false" stroked="true" strokeweight="1.44pt" strokecolor="#000000">
                <v:path arrowok="t"/>
              </v:shape>
            </v:group>
            <v:group style="position:absolute;left:1584;top:14;width:29;height:2" coordorigin="1584,14" coordsize="29,2">
              <v:shape style="position:absolute;left:1584;top:14;width:29;height:2" coordorigin="1584,14" coordsize="29,0" path="m1584,14l1613,14e" filled="false" stroked="true" strokeweight="1.44pt" strokecolor="#000000">
                <v:path arrowok="t"/>
              </v:shape>
            </v:group>
            <v:group style="position:absolute;left:1613;top:14;width:130;height:2" coordorigin="1613,14" coordsize="130,2">
              <v:shape style="position:absolute;left:1613;top:14;width:130;height:2" coordorigin="1613,14" coordsize="130,0" path="m1613,14l1743,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38.2pt;height:1.45pt;mso-position-horizontal-relative:char;mso-position-vertical-relative:line" coordorigin="0,0" coordsize="764,29">
            <v:group style="position:absolute;left:14;top:14;width:735;height:2" coordorigin="14,14" coordsize="735,2">
              <v:shape style="position:absolute;left:14;top:14;width:735;height:2" coordorigin="14,14" coordsize="735,0" path="m14,14l749,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94pt;height:1.45pt;mso-position-horizontal-relative:char;mso-position-vertical-relative:line" coordorigin="0,0" coordsize="1880,29">
            <v:group style="position:absolute;left:14;top:14;width:720;height:2" coordorigin="14,14" coordsize="720,2">
              <v:shape style="position:absolute;left:14;top:14;width:720;height:2" coordorigin="14,14" coordsize="720,0" path="m14,14l734,14e" filled="false" stroked="true" strokeweight="1.44pt" strokecolor="#000000">
                <v:path arrowok="t"/>
              </v:shape>
            </v:group>
            <v:group style="position:absolute;left:734;top:14;width:29;height:2" coordorigin="734,14" coordsize="29,2">
              <v:shape style="position:absolute;left:734;top:14;width:29;height:2" coordorigin="734,14" coordsize="29,0" path="m734,14l763,14e" filled="false" stroked="true" strokeweight="1.44pt" strokecolor="#000000">
                <v:path arrowok="t"/>
              </v:shape>
            </v:group>
            <v:group style="position:absolute;left:763;top:14;width:390;height:2" coordorigin="763,14" coordsize="390,2">
              <v:shape style="position:absolute;left:763;top:14;width:390;height:2" coordorigin="763,14" coordsize="390,0" path="m763,14l1152,14e" filled="false" stroked="true" strokeweight="1.44pt" strokecolor="#000000">
                <v:path arrowok="t"/>
              </v:shape>
            </v:group>
            <v:group style="position:absolute;left:1153;top:14;width:29;height:2" coordorigin="1153,14" coordsize="29,2">
              <v:shape style="position:absolute;left:1153;top:14;width:29;height:2" coordorigin="1153,14" coordsize="29,0" path="m1153,14l1181,14e" filled="false" stroked="true" strokeweight="1.44pt" strokecolor="#000000">
                <v:path arrowok="t"/>
              </v:shape>
            </v:group>
            <v:group style="position:absolute;left:1181;top:14;width:684;height:2" coordorigin="1181,14" coordsize="684,2">
              <v:shape style="position:absolute;left:1181;top:14;width:684;height:2" coordorigin="1181,14" coordsize="684,0" path="m1181,14l1865,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40pt;height:1.45pt;mso-position-horizontal-relative:char;mso-position-vertical-relative:line" coordorigin="0,0" coordsize="800,29">
            <v:group style="position:absolute;left:14;top:14;width:771;height:2" coordorigin="14,14" coordsize="771,2">
              <v:shape style="position:absolute;left:14;top:14;width:771;height:2" coordorigin="14,14" coordsize="771,0" path="m14,14l785,14e" filled="false" stroked="true" strokeweight="1.44pt" strokecolor="#000000">
                <v:path arrowok="t"/>
              </v:shape>
            </v:group>
          </v:group>
        </w:pict>
      </w:r>
      <w:r>
        <w:rPr>
          <w:rFonts w:ascii="Arial"/>
          <w:position w:val="0"/>
          <w:sz w:val="2"/>
        </w:rPr>
      </w:r>
    </w:p>
    <w:p>
      <w:pPr>
        <w:spacing w:line="240" w:lineRule="auto" w:before="10"/>
        <w:rPr>
          <w:rFonts w:ascii="Arial" w:hAnsi="Arial" w:cs="Arial" w:eastAsia="Arial" w:hint="default"/>
          <w:sz w:val="17"/>
          <w:szCs w:val="17"/>
        </w:rPr>
      </w:pPr>
    </w:p>
    <w:p>
      <w:pPr>
        <w:pStyle w:val="BodyText"/>
        <w:tabs>
          <w:tab w:pos="816" w:val="left" w:leader="none"/>
        </w:tabs>
        <w:spacing w:line="240" w:lineRule="auto" w:before="31"/>
        <w:ind w:left="103" w:right="0"/>
        <w:jc w:val="left"/>
      </w:pPr>
      <w:r>
        <w:rPr>
          <w:rFonts w:ascii="Arial" w:hAnsi="Arial" w:cs="Arial" w:eastAsia="Arial" w:hint="default"/>
          <w:w w:val="95"/>
          <w:position w:val="2"/>
        </w:rPr>
        <w:t>(h)</w:t>
        <w:tab/>
      </w:r>
      <w:r>
        <w:rPr/>
        <w:t>其他应收款和长期应收款中包括以下外币余额：</w:t>
      </w:r>
    </w:p>
    <w:p>
      <w:pPr>
        <w:spacing w:line="240" w:lineRule="auto" w:before="5"/>
        <w:rPr>
          <w:rFonts w:ascii="宋体" w:hAnsi="宋体" w:cs="宋体" w:eastAsia="宋体" w:hint="default"/>
          <w:sz w:val="21"/>
          <w:szCs w:val="21"/>
        </w:rPr>
      </w:pPr>
    </w:p>
    <w:p>
      <w:pPr>
        <w:tabs>
          <w:tab w:pos="7177" w:val="left" w:leader="none"/>
        </w:tabs>
        <w:spacing w:before="0"/>
        <w:ind w:left="3053" w:right="0" w:firstLine="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line="240" w:lineRule="auto" w:before="9"/>
        <w:rPr>
          <w:rFonts w:ascii="宋体" w:hAnsi="宋体" w:cs="宋体" w:eastAsia="宋体" w:hint="default"/>
          <w:sz w:val="2"/>
          <w:szCs w:val="2"/>
        </w:rPr>
      </w:pPr>
    </w:p>
    <w:tbl>
      <w:tblPr>
        <w:tblW w:w="0" w:type="auto"/>
        <w:jc w:val="left"/>
        <w:tblInd w:w="889" w:type="dxa"/>
        <w:tblLayout w:type="fixed"/>
        <w:tblCellMar>
          <w:top w:w="0" w:type="dxa"/>
          <w:left w:w="0" w:type="dxa"/>
          <w:bottom w:w="0" w:type="dxa"/>
          <w:right w:w="0" w:type="dxa"/>
        </w:tblCellMar>
        <w:tblLook w:val="01E0"/>
      </w:tblPr>
      <w:tblGrid>
        <w:gridCol w:w="1096"/>
        <w:gridCol w:w="1442"/>
        <w:gridCol w:w="1211"/>
        <w:gridCol w:w="1289"/>
        <w:gridCol w:w="293"/>
        <w:gridCol w:w="3828"/>
      </w:tblGrid>
      <w:tr>
        <w:trPr>
          <w:trHeight w:val="1055"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42" w:type="dxa"/>
            <w:tcBorders>
              <w:top w:val="single" w:sz="12" w:space="0" w:color="000000"/>
              <w:left w:val="nil" w:sz="6" w:space="0" w:color="auto"/>
              <w:bottom w:val="nil" w:sz="6" w:space="0" w:color="auto"/>
              <w:right w:val="nil" w:sz="6" w:space="0" w:color="auto"/>
            </w:tcBorders>
          </w:tcPr>
          <w:p>
            <w:pPr>
              <w:pStyle w:val="TableParagraph"/>
              <w:spacing w:line="243" w:lineRule="exact"/>
              <w:ind w:left="547" w:right="0" w:hanging="197"/>
              <w:jc w:val="left"/>
              <w:rPr>
                <w:rFonts w:ascii="宋体" w:hAnsi="宋体" w:cs="宋体" w:eastAsia="宋体" w:hint="default"/>
                <w:sz w:val="21"/>
                <w:szCs w:val="21"/>
              </w:rPr>
            </w:pPr>
            <w:r>
              <w:rPr>
                <w:rFonts w:ascii="宋体" w:hAnsi="宋体" w:cs="宋体" w:eastAsia="宋体" w:hint="default"/>
                <w:sz w:val="21"/>
                <w:szCs w:val="21"/>
              </w:rPr>
              <w:t>外币金额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47" w:right="0"/>
              <w:jc w:val="left"/>
              <w:rPr>
                <w:rFonts w:ascii="Arial" w:hAnsi="Arial" w:cs="Arial" w:eastAsia="Arial" w:hint="default"/>
                <w:sz w:val="21"/>
                <w:szCs w:val="21"/>
              </w:rPr>
            </w:pPr>
            <w:r>
              <w:rPr>
                <w:rFonts w:ascii="Arial"/>
                <w:sz w:val="21"/>
              </w:rPr>
              <w:t>64,402</w:t>
            </w:r>
          </w:p>
        </w:tc>
        <w:tc>
          <w:tcPr>
            <w:tcW w:w="1211" w:type="dxa"/>
            <w:tcBorders>
              <w:top w:val="single" w:sz="12" w:space="0" w:color="000000"/>
              <w:left w:val="nil" w:sz="6" w:space="0" w:color="auto"/>
              <w:bottom w:val="nil" w:sz="6" w:space="0" w:color="auto"/>
              <w:right w:val="nil" w:sz="6" w:space="0" w:color="auto"/>
            </w:tcBorders>
          </w:tcPr>
          <w:p>
            <w:pPr>
              <w:pStyle w:val="TableParagraph"/>
              <w:spacing w:line="243" w:lineRule="exact"/>
              <w:ind w:left="248" w:right="0" w:firstLine="189"/>
              <w:jc w:val="left"/>
              <w:rPr>
                <w:rFonts w:ascii="宋体" w:hAnsi="宋体" w:cs="宋体" w:eastAsia="宋体" w:hint="default"/>
                <w:sz w:val="21"/>
                <w:szCs w:val="21"/>
              </w:rPr>
            </w:pPr>
            <w:r>
              <w:rPr>
                <w:rFonts w:ascii="宋体" w:hAnsi="宋体" w:cs="宋体" w:eastAsia="宋体" w:hint="default"/>
                <w:sz w:val="21"/>
                <w:szCs w:val="21"/>
              </w:rPr>
              <w:t>汇率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8" w:right="0"/>
              <w:jc w:val="left"/>
              <w:rPr>
                <w:rFonts w:ascii="Arial" w:hAnsi="Arial" w:cs="Arial" w:eastAsia="Arial" w:hint="default"/>
                <w:sz w:val="21"/>
                <w:szCs w:val="21"/>
              </w:rPr>
            </w:pPr>
            <w:r>
              <w:rPr>
                <w:rFonts w:ascii="Arial"/>
                <w:sz w:val="21"/>
              </w:rPr>
              <w:t>0.8107</w:t>
            </w:r>
          </w:p>
        </w:tc>
        <w:tc>
          <w:tcPr>
            <w:tcW w:w="1289" w:type="dxa"/>
            <w:tcBorders>
              <w:top w:val="single" w:sz="12" w:space="0" w:color="000000"/>
              <w:left w:val="nil" w:sz="6" w:space="0" w:color="auto"/>
              <w:bottom w:val="nil" w:sz="6" w:space="0" w:color="auto"/>
              <w:right w:val="nil" w:sz="6" w:space="0" w:color="auto"/>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sz w:val="21"/>
                <w:szCs w:val="21"/>
              </w:rPr>
              <w:t>折合人民币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76" w:right="0"/>
              <w:jc w:val="left"/>
              <w:rPr>
                <w:rFonts w:ascii="Arial" w:hAnsi="Arial" w:cs="Arial" w:eastAsia="Arial" w:hint="default"/>
                <w:sz w:val="21"/>
                <w:szCs w:val="21"/>
              </w:rPr>
            </w:pPr>
            <w:r>
              <w:rPr>
                <w:rFonts w:ascii="Arial"/>
                <w:spacing w:val="-4"/>
                <w:sz w:val="21"/>
              </w:rPr>
              <w:t>52,211</w:t>
            </w:r>
          </w:p>
        </w:tc>
        <w:tc>
          <w:tcPr>
            <w:tcW w:w="293" w:type="dxa"/>
            <w:tcBorders>
              <w:top w:val="nil" w:sz="6" w:space="0" w:color="auto"/>
              <w:left w:val="nil" w:sz="6" w:space="0" w:color="auto"/>
              <w:bottom w:val="nil" w:sz="6" w:space="0" w:color="auto"/>
              <w:right w:val="nil" w:sz="6" w:space="0" w:color="auto"/>
            </w:tcBorders>
          </w:tcPr>
          <w:p>
            <w:pPr/>
          </w:p>
        </w:tc>
        <w:tc>
          <w:tcPr>
            <w:tcW w:w="3828" w:type="dxa"/>
            <w:tcBorders>
              <w:top w:val="single" w:sz="12" w:space="0" w:color="000000"/>
              <w:left w:val="nil" w:sz="6" w:space="0" w:color="auto"/>
              <w:bottom w:val="nil" w:sz="6" w:space="0" w:color="auto"/>
              <w:right w:val="nil" w:sz="6" w:space="0" w:color="auto"/>
            </w:tcBorders>
          </w:tcPr>
          <w:p>
            <w:pPr>
              <w:pStyle w:val="TableParagraph"/>
              <w:tabs>
                <w:tab w:pos="1754" w:val="left" w:leader="none"/>
                <w:tab w:pos="2602" w:val="left" w:leader="none"/>
              </w:tabs>
              <w:spacing w:line="243" w:lineRule="exact"/>
              <w:ind w:left="357" w:right="0" w:hanging="197"/>
              <w:jc w:val="left"/>
              <w:rPr>
                <w:rFonts w:ascii="宋体" w:hAnsi="宋体" w:cs="宋体" w:eastAsia="宋体" w:hint="default"/>
                <w:sz w:val="21"/>
                <w:szCs w:val="21"/>
              </w:rPr>
            </w:pP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tabs>
                <w:tab w:pos="1531" w:val="left" w:leader="none"/>
                <w:tab w:pos="3010" w:val="left" w:leader="none"/>
              </w:tabs>
              <w:spacing w:line="240" w:lineRule="auto"/>
              <w:ind w:left="357" w:right="0"/>
              <w:jc w:val="left"/>
              <w:rPr>
                <w:rFonts w:ascii="Arial" w:hAnsi="Arial" w:cs="Arial" w:eastAsia="Arial" w:hint="default"/>
                <w:sz w:val="21"/>
                <w:szCs w:val="21"/>
              </w:rPr>
            </w:pPr>
            <w:r>
              <w:rPr>
                <w:rFonts w:ascii="Arial"/>
                <w:spacing w:val="-1"/>
                <w:sz w:val="21"/>
              </w:rPr>
              <w:t>34,132</w:t>
              <w:tab/>
              <w:t>0.8509</w:t>
              <w:tab/>
              <w:t>29,043</w:t>
            </w:r>
          </w:p>
        </w:tc>
      </w:tr>
      <w:tr>
        <w:trPr>
          <w:trHeight w:val="276"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6" w:right="0"/>
              <w:jc w:val="left"/>
              <w:rPr>
                <w:rFonts w:ascii="Arial" w:hAnsi="Arial" w:cs="Arial" w:eastAsia="Arial" w:hint="default"/>
                <w:sz w:val="21"/>
                <w:szCs w:val="21"/>
              </w:rPr>
            </w:pPr>
            <w:r>
              <w:rPr>
                <w:rFonts w:ascii="Arial"/>
                <w:sz w:val="21"/>
              </w:rPr>
              <w:t>3,721,850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2" w:right="0"/>
              <w:jc w:val="left"/>
              <w:rPr>
                <w:rFonts w:ascii="Arial" w:hAnsi="Arial" w:cs="Arial" w:eastAsia="Arial" w:hint="default"/>
                <w:sz w:val="21"/>
                <w:szCs w:val="21"/>
              </w:rPr>
            </w:pPr>
            <w:r>
              <w:rPr>
                <w:rFonts w:ascii="Arial"/>
                <w:spacing w:val="-4"/>
                <w:sz w:val="21"/>
              </w:rPr>
              <w:t>0.0811</w:t>
            </w:r>
          </w:p>
        </w:tc>
        <w:tc>
          <w:tcPr>
            <w:tcW w:w="1289" w:type="dxa"/>
            <w:tcBorders>
              <w:top w:val="nil" w:sz="6" w:space="0" w:color="auto"/>
              <w:left w:val="nil" w:sz="6" w:space="0" w:color="auto"/>
              <w:bottom w:val="nil" w:sz="6" w:space="0" w:color="auto"/>
              <w:right w:val="nil" w:sz="6" w:space="0" w:color="auto"/>
            </w:tcBorders>
          </w:tcPr>
          <w:p>
            <w:pPr>
              <w:pStyle w:val="TableParagraph"/>
              <w:tabs>
                <w:tab w:pos="429" w:val="left" w:leader="none"/>
                <w:tab w:pos="1274"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301,842</w:t>
              <w:tab/>
            </w:r>
            <w:r>
              <w:rPr>
                <w:rFonts w:ascii="Arial"/>
                <w:spacing w:val="-1"/>
                <w:sz w:val="21"/>
              </w:rPr>
            </w:r>
          </w:p>
        </w:tc>
        <w:tc>
          <w:tcPr>
            <w:tcW w:w="293"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nil" w:sz="6" w:space="0" w:color="auto"/>
              <w:right w:val="nil" w:sz="6" w:space="0" w:color="auto"/>
            </w:tcBorders>
          </w:tcPr>
          <w:p>
            <w:pPr>
              <w:pStyle w:val="TableParagraph"/>
              <w:tabs>
                <w:tab w:pos="2105" w:val="left" w:leader="none"/>
                <w:tab w:pos="2496" w:val="left" w:leader="none"/>
                <w:tab w:pos="3792" w:val="left" w:leader="none"/>
              </w:tabs>
              <w:spacing w:line="240" w:lineRule="auto" w:before="17"/>
              <w:ind w:left="859" w:right="0"/>
              <w:jc w:val="left"/>
              <w:rPr>
                <w:rFonts w:ascii="Arial" w:hAnsi="Arial" w:cs="Arial" w:eastAsia="Arial" w:hint="default"/>
                <w:sz w:val="21"/>
                <w:szCs w:val="21"/>
              </w:rPr>
            </w:pPr>
            <w:r>
              <w:rPr>
                <w:rFonts w:ascii="Arial"/>
                <w:sz w:val="21"/>
              </w:rPr>
              <w:t>-</w:t>
              <w:tab/>
              <w:t>-</w:t>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r>
      <w:tr>
        <w:trPr>
          <w:trHeight w:val="260" w:hRule="exact"/>
        </w:trPr>
        <w:tc>
          <w:tcPr>
            <w:tcW w:w="109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37" w:lineRule="exact"/>
              <w:ind w:right="82"/>
              <w:jc w:val="right"/>
              <w:rPr>
                <w:rFonts w:ascii="Arial" w:hAnsi="Arial" w:cs="Arial" w:eastAsia="Arial" w:hint="default"/>
                <w:sz w:val="21"/>
                <w:szCs w:val="21"/>
              </w:rPr>
            </w:pPr>
            <w:r>
              <w:rPr>
                <w:rFonts w:ascii="Arial"/>
                <w:spacing w:val="-1"/>
                <w:sz w:val="21"/>
              </w:rPr>
              <w:t>354,053</w:t>
            </w:r>
          </w:p>
        </w:tc>
        <w:tc>
          <w:tcPr>
            <w:tcW w:w="293"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single" w:sz="12" w:space="0" w:color="000000"/>
              <w:right w:val="nil" w:sz="6" w:space="0" w:color="auto"/>
            </w:tcBorders>
          </w:tcPr>
          <w:p>
            <w:pPr>
              <w:pStyle w:val="TableParagraph"/>
              <w:spacing w:line="237" w:lineRule="exact"/>
              <w:ind w:right="170"/>
              <w:jc w:val="right"/>
              <w:rPr>
                <w:rFonts w:ascii="Arial" w:hAnsi="Arial" w:cs="Arial" w:eastAsia="Arial" w:hint="default"/>
                <w:sz w:val="21"/>
                <w:szCs w:val="21"/>
              </w:rPr>
            </w:pPr>
            <w:r>
              <w:rPr>
                <w:rFonts w:ascii="Arial"/>
                <w:spacing w:val="-1"/>
                <w:sz w:val="21"/>
              </w:rPr>
              <w:t>29,043</w:t>
            </w:r>
          </w:p>
        </w:tc>
      </w:tr>
    </w:tbl>
    <w:p>
      <w:pPr>
        <w:spacing w:after="0" w:line="237" w:lineRule="exact"/>
        <w:jc w:val="right"/>
        <w:rPr>
          <w:rFonts w:ascii="Arial" w:hAnsi="Arial" w:cs="Arial" w:eastAsia="Arial" w:hint="default"/>
          <w:sz w:val="21"/>
          <w:szCs w:val="21"/>
        </w:rPr>
        <w:sectPr>
          <w:type w:val="continuous"/>
          <w:pgSz w:w="11910" w:h="16850"/>
          <w:pgMar w:top="980" w:bottom="1100" w:left="10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776"/>
        <w:gridCol w:w="1440"/>
        <w:gridCol w:w="1180"/>
        <w:gridCol w:w="1224"/>
        <w:gridCol w:w="1427"/>
        <w:gridCol w:w="1466"/>
        <w:gridCol w:w="1264"/>
        <w:gridCol w:w="1384"/>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844"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427" w:type="dxa"/>
            <w:tcBorders>
              <w:top w:val="single" w:sz="6" w:space="0" w:color="000000"/>
              <w:left w:val="nil" w:sz="6" w:space="0" w:color="auto"/>
              <w:bottom w:val="nil" w:sz="6" w:space="0" w:color="auto"/>
              <w:right w:val="nil" w:sz="6" w:space="0" w:color="auto"/>
            </w:tcBorders>
          </w:tcPr>
          <w:p>
            <w:pPr/>
          </w:p>
        </w:tc>
        <w:tc>
          <w:tcPr>
            <w:tcW w:w="1466" w:type="dxa"/>
            <w:tcBorders>
              <w:top w:val="single" w:sz="6" w:space="0" w:color="000000"/>
              <w:left w:val="nil" w:sz="6" w:space="0" w:color="auto"/>
              <w:bottom w:val="nil" w:sz="6" w:space="0" w:color="auto"/>
              <w:right w:val="nil" w:sz="6" w:space="0" w:color="auto"/>
            </w:tcBorders>
          </w:tcPr>
          <w:p>
            <w:pPr/>
          </w:p>
        </w:tc>
        <w:tc>
          <w:tcPr>
            <w:tcW w:w="1264" w:type="dxa"/>
            <w:tcBorders>
              <w:top w:val="single" w:sz="6" w:space="0" w:color="000000"/>
              <w:left w:val="nil" w:sz="6" w:space="0" w:color="auto"/>
              <w:bottom w:val="nil" w:sz="6" w:space="0" w:color="auto"/>
              <w:right w:val="nil" w:sz="6" w:space="0" w:color="auto"/>
            </w:tcBorders>
          </w:tcPr>
          <w:p>
            <w:pPr/>
          </w:p>
        </w:tc>
        <w:tc>
          <w:tcPr>
            <w:tcW w:w="1384" w:type="dxa"/>
            <w:tcBorders>
              <w:top w:val="single" w:sz="6" w:space="0" w:color="000000"/>
              <w:left w:val="nil" w:sz="6" w:space="0" w:color="auto"/>
              <w:bottom w:val="nil" w:sz="6" w:space="0" w:color="auto"/>
              <w:right w:val="nil" w:sz="6" w:space="0" w:color="auto"/>
            </w:tcBorders>
          </w:tcPr>
          <w:p>
            <w:pPr/>
          </w:p>
        </w:tc>
      </w:tr>
      <w:tr>
        <w:trPr>
          <w:trHeight w:val="58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预付款项</w:t>
            </w:r>
            <w:r>
              <w:rPr>
                <w:rFonts w:ascii="宋体" w:hAnsi="宋体" w:cs="宋体" w:eastAsia="宋体" w:hint="default"/>
                <w:sz w:val="24"/>
                <w:szCs w:val="24"/>
              </w:rPr>
            </w:r>
          </w:p>
        </w:tc>
        <w:tc>
          <w:tcPr>
            <w:tcW w:w="1180"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5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38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预付款项账龄分析如下：</w:t>
            </w:r>
          </w:p>
        </w:tc>
        <w:tc>
          <w:tcPr>
            <w:tcW w:w="1427"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467" w:hRule="exact"/>
        </w:trPr>
        <w:tc>
          <w:tcPr>
            <w:tcW w:w="7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3831"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00"/>
              <w:ind w:left="881"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4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15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5" w:hRule="exact"/>
        </w:trPr>
        <w:tc>
          <w:tcPr>
            <w:tcW w:w="7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180" w:type="dxa"/>
            <w:tcBorders>
              <w:top w:val="single" w:sz="12" w:space="0" w:color="000000"/>
              <w:left w:val="nil" w:sz="6" w:space="0" w:color="auto"/>
              <w:bottom w:val="nil" w:sz="6" w:space="0" w:color="auto"/>
              <w:right w:val="nil" w:sz="6" w:space="0" w:color="auto"/>
            </w:tcBorders>
          </w:tcPr>
          <w:p>
            <w:pPr/>
          </w:p>
        </w:tc>
        <w:tc>
          <w:tcPr>
            <w:tcW w:w="1224" w:type="dxa"/>
            <w:tcBorders>
              <w:top w:val="single" w:sz="12" w:space="0" w:color="000000"/>
              <w:left w:val="nil" w:sz="6" w:space="0" w:color="auto"/>
              <w:bottom w:val="nil" w:sz="6" w:space="0" w:color="auto"/>
              <w:right w:val="nil" w:sz="6" w:space="0" w:color="auto"/>
            </w:tcBorders>
          </w:tcPr>
          <w:p>
            <w:pPr>
              <w:pStyle w:val="TableParagraph"/>
              <w:spacing w:line="276" w:lineRule="exact"/>
              <w:ind w:left="7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27" w:type="dxa"/>
            <w:tcBorders>
              <w:top w:val="single" w:sz="12" w:space="0" w:color="000000"/>
              <w:left w:val="nil" w:sz="6" w:space="0" w:color="auto"/>
              <w:bottom w:val="nil" w:sz="6" w:space="0" w:color="auto"/>
              <w:right w:val="nil" w:sz="6" w:space="0" w:color="auto"/>
            </w:tcBorders>
          </w:tcPr>
          <w:p>
            <w:pPr>
              <w:pStyle w:val="TableParagraph"/>
              <w:spacing w:line="276" w:lineRule="exact"/>
              <w:ind w:left="118" w:right="0"/>
              <w:jc w:val="left"/>
              <w:rPr>
                <w:rFonts w:ascii="宋体" w:hAnsi="宋体" w:cs="宋体" w:eastAsia="宋体" w:hint="default"/>
                <w:sz w:val="24"/>
                <w:szCs w:val="24"/>
              </w:rPr>
            </w:pPr>
            <w:r>
              <w:rPr>
                <w:rFonts w:ascii="宋体" w:hAnsi="宋体" w:cs="宋体" w:eastAsia="宋体" w:hint="default"/>
                <w:sz w:val="24"/>
                <w:szCs w:val="24"/>
              </w:rPr>
              <w:t>占总额比例</w:t>
            </w:r>
          </w:p>
        </w:tc>
        <w:tc>
          <w:tcPr>
            <w:tcW w:w="1466" w:type="dxa"/>
            <w:tcBorders>
              <w:top w:val="single" w:sz="12" w:space="0" w:color="000000"/>
              <w:left w:val="nil" w:sz="6" w:space="0" w:color="auto"/>
              <w:bottom w:val="nil" w:sz="6" w:space="0" w:color="auto"/>
              <w:right w:val="nil" w:sz="6" w:space="0" w:color="auto"/>
            </w:tcBorders>
          </w:tcPr>
          <w:p>
            <w:pPr/>
          </w:p>
        </w:tc>
        <w:tc>
          <w:tcPr>
            <w:tcW w:w="1264" w:type="dxa"/>
            <w:tcBorders>
              <w:top w:val="single" w:sz="12" w:space="0" w:color="000000"/>
              <w:left w:val="nil" w:sz="6" w:space="0" w:color="auto"/>
              <w:bottom w:val="nil" w:sz="6" w:space="0" w:color="auto"/>
              <w:right w:val="nil" w:sz="6" w:space="0" w:color="auto"/>
            </w:tcBorders>
          </w:tcPr>
          <w:p>
            <w:pPr>
              <w:pStyle w:val="TableParagraph"/>
              <w:spacing w:line="276" w:lineRule="exact"/>
              <w:ind w:left="74"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84" w:type="dxa"/>
            <w:tcBorders>
              <w:top w:val="single" w:sz="12" w:space="0" w:color="000000"/>
              <w:left w:val="nil" w:sz="6" w:space="0" w:color="auto"/>
              <w:bottom w:val="nil" w:sz="6" w:space="0" w:color="auto"/>
              <w:right w:val="nil" w:sz="6" w:space="0" w:color="auto"/>
            </w:tcBorders>
          </w:tcPr>
          <w:p>
            <w:pPr>
              <w:pStyle w:val="TableParagraph"/>
              <w:spacing w:line="276" w:lineRule="exact"/>
              <w:ind w:left="78" w:right="0"/>
              <w:jc w:val="left"/>
              <w:rPr>
                <w:rFonts w:ascii="宋体" w:hAnsi="宋体" w:cs="宋体" w:eastAsia="宋体" w:hint="default"/>
                <w:sz w:val="24"/>
                <w:szCs w:val="24"/>
              </w:rPr>
            </w:pPr>
            <w:r>
              <w:rPr>
                <w:rFonts w:ascii="宋体" w:hAnsi="宋体" w:cs="宋体" w:eastAsia="宋体" w:hint="default"/>
                <w:sz w:val="24"/>
                <w:szCs w:val="24"/>
              </w:rPr>
              <w:t>占总额比例</w:t>
            </w:r>
          </w:p>
        </w:tc>
      </w:tr>
      <w:tr>
        <w:trPr>
          <w:trHeight w:val="753" w:hRule="exact"/>
        </w:trPr>
        <w:tc>
          <w:tcPr>
            <w:tcW w:w="7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04" w:type="dxa"/>
            <w:gridSpan w:val="2"/>
            <w:tcBorders>
              <w:top w:val="nil" w:sz="6" w:space="0" w:color="auto"/>
              <w:left w:val="nil" w:sz="6" w:space="0" w:color="auto"/>
              <w:bottom w:val="nil" w:sz="6" w:space="0" w:color="auto"/>
              <w:right w:val="nil" w:sz="6" w:space="0" w:color="auto"/>
            </w:tcBorders>
          </w:tcPr>
          <w:p>
            <w:pPr>
              <w:pStyle w:val="TableParagraph"/>
              <w:tabs>
                <w:tab w:pos="655" w:val="left" w:leader="none"/>
                <w:tab w:pos="2148" w:val="left" w:leader="none"/>
                <w:tab w:pos="3108" w:val="left" w:leader="none"/>
              </w:tabs>
              <w:spacing w:line="240" w:lineRule="auto" w:before="174"/>
              <w:ind w:right="-70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3,643,209 </w:t>
            </w:r>
            <w:r>
              <w:rPr>
                <w:rFonts w:ascii="Arial"/>
                <w:spacing w:val="-17"/>
                <w:sz w:val="24"/>
                <w:u w:val="thick" w:color="000000"/>
              </w:rPr>
              <w:t> </w:t>
            </w:r>
            <w:r>
              <w:rPr>
                <w:rFonts w:ascii="Arial"/>
                <w:spacing w:val="-17"/>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27" w:type="dxa"/>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40" w:lineRule="auto" w:before="174"/>
              <w:ind w:left="704" w:right="0"/>
              <w:jc w:val="left"/>
              <w:rPr>
                <w:rFonts w:ascii="Arial" w:hAnsi="Arial" w:cs="Arial" w:eastAsia="Arial" w:hint="default"/>
                <w:sz w:val="24"/>
                <w:szCs w:val="24"/>
              </w:rPr>
            </w:pPr>
            <w:r>
              <w:rPr>
                <w:rFonts w:ascii="Arial"/>
                <w:w w:val="99"/>
                <w:sz w:val="24"/>
              </w:rPr>
            </w:r>
            <w:r>
              <w:rPr>
                <w:rFonts w:ascii="Arial"/>
                <w:sz w:val="24"/>
                <w:u w:val="thick" w:color="000000"/>
              </w:rPr>
              <w:t>100%</w:t>
              <w:tab/>
            </w:r>
            <w:r>
              <w:rPr>
                <w:rFonts w:ascii="Arial"/>
                <w:sz w:val="24"/>
              </w:rPr>
            </w:r>
          </w:p>
        </w:tc>
        <w:tc>
          <w:tcPr>
            <w:tcW w:w="2730" w:type="dxa"/>
            <w:gridSpan w:val="2"/>
            <w:tcBorders>
              <w:top w:val="nil" w:sz="6" w:space="0" w:color="auto"/>
              <w:left w:val="nil" w:sz="6" w:space="0" w:color="auto"/>
              <w:bottom w:val="nil" w:sz="6" w:space="0" w:color="auto"/>
              <w:right w:val="nil" w:sz="6" w:space="0" w:color="auto"/>
            </w:tcBorders>
          </w:tcPr>
          <w:p>
            <w:pPr>
              <w:pStyle w:val="TableParagraph"/>
              <w:tabs>
                <w:tab w:pos="909" w:val="left" w:leader="none"/>
                <w:tab w:pos="2386" w:val="left" w:leader="none"/>
                <w:tab w:pos="3394" w:val="left" w:leader="none"/>
              </w:tabs>
              <w:spacing w:line="240" w:lineRule="auto" w:before="174"/>
              <w:ind w:left="285" w:right="-66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2,741,405 </w:t>
            </w:r>
            <w:r>
              <w:rPr>
                <w:rFonts w:ascii="Arial"/>
                <w:spacing w:val="15"/>
                <w:sz w:val="24"/>
                <w:u w:val="thick" w:color="000000"/>
              </w:rPr>
              <w:t> </w:t>
            </w:r>
            <w:r>
              <w:rPr>
                <w:rFonts w:ascii="Arial"/>
                <w:spacing w:val="1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384" w:type="dxa"/>
            <w:tcBorders>
              <w:top w:val="nil" w:sz="6" w:space="0" w:color="auto"/>
              <w:left w:val="nil" w:sz="6" w:space="0" w:color="auto"/>
              <w:bottom w:val="nil" w:sz="6" w:space="0" w:color="auto"/>
              <w:right w:val="nil" w:sz="6" w:space="0" w:color="auto"/>
            </w:tcBorders>
          </w:tcPr>
          <w:p>
            <w:pPr>
              <w:pStyle w:val="TableParagraph"/>
              <w:tabs>
                <w:tab w:pos="1383" w:val="left" w:leader="none"/>
              </w:tabs>
              <w:spacing w:line="240" w:lineRule="auto" w:before="174"/>
              <w:ind w:left="663" w:right="0"/>
              <w:jc w:val="left"/>
              <w:rPr>
                <w:rFonts w:ascii="Arial" w:hAnsi="Arial" w:cs="Arial" w:eastAsia="Arial" w:hint="default"/>
                <w:sz w:val="24"/>
                <w:szCs w:val="24"/>
              </w:rPr>
            </w:pPr>
            <w:r>
              <w:rPr>
                <w:rFonts w:ascii="Arial"/>
                <w:w w:val="99"/>
                <w:sz w:val="24"/>
              </w:rPr>
            </w:r>
            <w:r>
              <w:rPr>
                <w:rFonts w:ascii="Arial"/>
                <w:sz w:val="24"/>
                <w:u w:val="thick" w:color="000000"/>
              </w:rPr>
              <w:t>100%</w:t>
              <w:tab/>
            </w:r>
            <w:r>
              <w:rPr>
                <w:rFonts w:ascii="Arial"/>
                <w:sz w:val="24"/>
              </w:rPr>
            </w:r>
          </w:p>
        </w:tc>
      </w:tr>
      <w:tr>
        <w:trPr>
          <w:trHeight w:val="733"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673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日，余额前五名的预付款项分析如下：</w:t>
            </w: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887" w:hRule="exact"/>
        </w:trPr>
        <w:tc>
          <w:tcPr>
            <w:tcW w:w="7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2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845" w:right="0"/>
              <w:jc w:val="left"/>
              <w:rPr>
                <w:rFonts w:ascii="宋体" w:hAnsi="宋体" w:cs="宋体" w:eastAsia="宋体" w:hint="default"/>
                <w:sz w:val="24"/>
                <w:szCs w:val="24"/>
              </w:rPr>
            </w:pPr>
            <w:r>
              <w:rPr>
                <w:rFonts w:ascii="宋体" w:hAnsi="宋体" w:cs="宋体" w:eastAsia="宋体" w:hint="default"/>
                <w:sz w:val="24"/>
                <w:szCs w:val="24"/>
              </w:rPr>
              <w:t>与本集团关系</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67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66"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78" w:right="225" w:hanging="240"/>
              <w:jc w:val="left"/>
              <w:rPr>
                <w:rFonts w:ascii="宋体" w:hAnsi="宋体" w:cs="宋体" w:eastAsia="宋体" w:hint="default"/>
                <w:sz w:val="24"/>
                <w:szCs w:val="24"/>
              </w:rPr>
            </w:pPr>
            <w:r>
              <w:rPr>
                <w:rFonts w:ascii="宋体" w:hAnsi="宋体" w:cs="宋体" w:eastAsia="宋体" w:hint="default"/>
                <w:sz w:val="24"/>
                <w:szCs w:val="24"/>
              </w:rPr>
              <w:t>占预付账款 总额比例</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sz w:val="24"/>
                <w:szCs w:val="24"/>
              </w:rPr>
              <w:t>预付时间</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99" w:right="0"/>
              <w:jc w:val="left"/>
              <w:rPr>
                <w:rFonts w:ascii="宋体" w:hAnsi="宋体" w:cs="宋体" w:eastAsia="宋体" w:hint="default"/>
                <w:sz w:val="24"/>
                <w:szCs w:val="24"/>
              </w:rPr>
            </w:pPr>
            <w:r>
              <w:rPr>
                <w:rFonts w:ascii="宋体" w:hAnsi="宋体" w:cs="宋体" w:eastAsia="宋体" w:hint="default"/>
                <w:sz w:val="24"/>
                <w:szCs w:val="24"/>
              </w:rPr>
              <w:t>未结算原因</w:t>
            </w:r>
          </w:p>
        </w:tc>
      </w:tr>
      <w:tr>
        <w:trPr>
          <w:trHeight w:val="770" w:hRule="exact"/>
        </w:trPr>
        <w:tc>
          <w:tcPr>
            <w:tcW w:w="776" w:type="dxa"/>
            <w:tcBorders>
              <w:top w:val="nil" w:sz="6" w:space="0" w:color="auto"/>
              <w:left w:val="nil" w:sz="6" w:space="0" w:color="auto"/>
              <w:bottom w:val="nil" w:sz="6" w:space="0" w:color="auto"/>
              <w:right w:val="nil" w:sz="6" w:space="0" w:color="auto"/>
            </w:tcBorders>
          </w:tcPr>
          <w:p>
            <w:pPr/>
          </w:p>
        </w:tc>
        <w:tc>
          <w:tcPr>
            <w:tcW w:w="2620"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3"/>
              <w:ind w:left="393" w:right="413" w:hanging="257"/>
              <w:jc w:val="left"/>
              <w:rPr>
                <w:rFonts w:ascii="宋体" w:hAnsi="宋体" w:cs="宋体" w:eastAsia="宋体" w:hint="default"/>
                <w:sz w:val="24"/>
                <w:szCs w:val="24"/>
              </w:rPr>
            </w:pPr>
            <w:r>
              <w:rPr>
                <w:rFonts w:ascii="宋体" w:hAnsi="宋体" w:cs="宋体" w:eastAsia="宋体" w:hint="default"/>
                <w:spacing w:val="18"/>
                <w:sz w:val="24"/>
                <w:szCs w:val="24"/>
              </w:rPr>
              <w:t>上海市奉贤区财政</w:t>
            </w:r>
            <w:r>
              <w:rPr>
                <w:rFonts w:ascii="宋体" w:hAnsi="宋体" w:cs="宋体" w:eastAsia="宋体" w:hint="default"/>
                <w:sz w:val="24"/>
                <w:szCs w:val="24"/>
              </w:rPr>
              <w:t> 局</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3"/>
              <w:ind w:left="337" w:right="0"/>
              <w:jc w:val="left"/>
              <w:rPr>
                <w:rFonts w:ascii="Arial" w:hAnsi="Arial" w:cs="Arial" w:eastAsia="Arial" w:hint="default"/>
                <w:sz w:val="24"/>
                <w:szCs w:val="24"/>
              </w:rPr>
            </w:pPr>
            <w:r>
              <w:rPr>
                <w:rFonts w:ascii="Arial"/>
                <w:sz w:val="24"/>
              </w:rPr>
              <w:t>560,120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3"/>
              <w:ind w:right="223"/>
              <w:jc w:val="right"/>
              <w:rPr>
                <w:rFonts w:ascii="Arial" w:hAnsi="Arial" w:cs="Arial" w:eastAsia="Arial" w:hint="default"/>
                <w:sz w:val="24"/>
                <w:szCs w:val="24"/>
              </w:rPr>
            </w:pPr>
            <w:r>
              <w:rPr>
                <w:rFonts w:ascii="Arial"/>
                <w:w w:val="95"/>
                <w:sz w:val="24"/>
              </w:rPr>
              <w:t>15.4%</w:t>
            </w:r>
            <w:r>
              <w:rPr>
                <w:rFonts w:ascii="Arial"/>
                <w:sz w:val="24"/>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240" w:lineRule="auto"/>
              <w:ind w:left="99" w:right="0"/>
              <w:jc w:val="lef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2620"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杭州市国土资源局</w:t>
            </w:r>
          </w:p>
        </w:tc>
        <w:tc>
          <w:tcPr>
            <w:tcW w:w="1224" w:type="dxa"/>
            <w:tcBorders>
              <w:top w:val="nil" w:sz="6" w:space="0" w:color="auto"/>
              <w:left w:val="nil" w:sz="6" w:space="0" w:color="auto"/>
              <w:bottom w:val="nil" w:sz="6" w:space="0" w:color="auto"/>
              <w:right w:val="nil" w:sz="6" w:space="0" w:color="auto"/>
            </w:tcBorders>
          </w:tcPr>
          <w:p>
            <w:pPr>
              <w:pStyle w:val="TableParagraph"/>
              <w:spacing w:line="261" w:lineRule="exact"/>
              <w:ind w:right="11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7" w:right="0"/>
              <w:jc w:val="left"/>
              <w:rPr>
                <w:rFonts w:ascii="Arial" w:hAnsi="Arial" w:cs="Arial" w:eastAsia="Arial" w:hint="default"/>
                <w:sz w:val="24"/>
                <w:szCs w:val="24"/>
              </w:rPr>
            </w:pPr>
            <w:r>
              <w:rPr>
                <w:rFonts w:ascii="Arial"/>
                <w:sz w:val="24"/>
              </w:rPr>
              <w:t>216,000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3"/>
              <w:jc w:val="right"/>
              <w:rPr>
                <w:rFonts w:ascii="Arial" w:hAnsi="Arial" w:cs="Arial" w:eastAsia="Arial" w:hint="default"/>
                <w:sz w:val="24"/>
                <w:szCs w:val="24"/>
              </w:rPr>
            </w:pPr>
            <w:r>
              <w:rPr>
                <w:rFonts w:ascii="Arial"/>
                <w:sz w:val="24"/>
              </w:rPr>
              <w:t>5.9%</w:t>
            </w:r>
          </w:p>
        </w:tc>
        <w:tc>
          <w:tcPr>
            <w:tcW w:w="1264" w:type="dxa"/>
            <w:tcBorders>
              <w:top w:val="nil" w:sz="6" w:space="0" w:color="auto"/>
              <w:left w:val="nil" w:sz="6" w:space="0" w:color="auto"/>
              <w:bottom w:val="nil" w:sz="6" w:space="0" w:color="auto"/>
              <w:right w:val="nil" w:sz="6" w:space="0" w:color="auto"/>
            </w:tcBorders>
          </w:tcPr>
          <w:p>
            <w:pPr>
              <w:pStyle w:val="TableParagraph"/>
              <w:spacing w:line="261" w:lineRule="exact"/>
              <w:ind w:right="7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61" w:lineRule="exact"/>
              <w:ind w:left="99" w:right="0"/>
              <w:jc w:val="lef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624" w:hRule="exact"/>
        </w:trPr>
        <w:tc>
          <w:tcPr>
            <w:tcW w:w="776" w:type="dxa"/>
            <w:tcBorders>
              <w:top w:val="nil" w:sz="6" w:space="0" w:color="auto"/>
              <w:left w:val="nil" w:sz="6" w:space="0" w:color="auto"/>
              <w:bottom w:val="nil" w:sz="6" w:space="0" w:color="auto"/>
              <w:right w:val="nil" w:sz="6" w:space="0" w:color="auto"/>
            </w:tcBorders>
          </w:tcPr>
          <w:p>
            <w:pPr/>
          </w:p>
        </w:tc>
        <w:tc>
          <w:tcPr>
            <w:tcW w:w="262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right="277"/>
              <w:jc w:val="center"/>
              <w:rPr>
                <w:rFonts w:ascii="宋体" w:hAnsi="宋体" w:cs="宋体" w:eastAsia="宋体" w:hint="default"/>
                <w:sz w:val="24"/>
                <w:szCs w:val="24"/>
              </w:rPr>
            </w:pPr>
            <w:r>
              <w:rPr>
                <w:rFonts w:ascii="宋体" w:hAnsi="宋体" w:cs="宋体" w:eastAsia="宋体" w:hint="default"/>
                <w:spacing w:val="18"/>
                <w:sz w:val="24"/>
                <w:szCs w:val="24"/>
              </w:rPr>
              <w:t>南京六合城市建设</w:t>
            </w:r>
          </w:p>
          <w:p>
            <w:pPr>
              <w:pStyle w:val="TableParagraph"/>
              <w:spacing w:line="313" w:lineRule="exact"/>
              <w:ind w:right="419"/>
              <w:jc w:val="center"/>
              <w:rPr>
                <w:rFonts w:ascii="宋体" w:hAnsi="宋体" w:cs="宋体" w:eastAsia="宋体" w:hint="default"/>
                <w:sz w:val="24"/>
                <w:szCs w:val="24"/>
              </w:rPr>
            </w:pPr>
            <w:r>
              <w:rPr>
                <w:rFonts w:ascii="宋体" w:hAnsi="宋体" w:cs="宋体" w:eastAsia="宋体" w:hint="default"/>
                <w:sz w:val="24"/>
                <w:szCs w:val="24"/>
              </w:rPr>
              <w:t>投资有限公司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34" w:right="0"/>
              <w:jc w:val="left"/>
              <w:rPr>
                <w:rFonts w:ascii="Arial" w:hAnsi="Arial" w:cs="Arial" w:eastAsia="Arial" w:hint="default"/>
                <w:sz w:val="24"/>
                <w:szCs w:val="24"/>
              </w:rPr>
            </w:pPr>
            <w:r>
              <w:rPr>
                <w:rFonts w:ascii="Arial"/>
                <w:sz w:val="24"/>
              </w:rPr>
              <w:t>170,000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223"/>
              <w:jc w:val="right"/>
              <w:rPr>
                <w:rFonts w:ascii="Arial" w:hAnsi="Arial" w:cs="Arial" w:eastAsia="Arial" w:hint="default"/>
                <w:sz w:val="24"/>
                <w:szCs w:val="24"/>
              </w:rPr>
            </w:pPr>
            <w:r>
              <w:rPr>
                <w:rFonts w:ascii="Arial"/>
                <w:sz w:val="24"/>
              </w:rPr>
              <w:t>4.7%</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9" w:right="0"/>
              <w:jc w:val="lef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624" w:hRule="exact"/>
        </w:trPr>
        <w:tc>
          <w:tcPr>
            <w:tcW w:w="776" w:type="dxa"/>
            <w:tcBorders>
              <w:top w:val="nil" w:sz="6" w:space="0" w:color="auto"/>
              <w:left w:val="nil" w:sz="6" w:space="0" w:color="auto"/>
              <w:bottom w:val="nil" w:sz="6" w:space="0" w:color="auto"/>
              <w:right w:val="nil" w:sz="6" w:space="0" w:color="auto"/>
            </w:tcBorders>
          </w:tcPr>
          <w:p>
            <w:pPr/>
          </w:p>
        </w:tc>
        <w:tc>
          <w:tcPr>
            <w:tcW w:w="2620"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36" w:right="0"/>
              <w:jc w:val="left"/>
              <w:rPr>
                <w:rFonts w:ascii="宋体" w:hAnsi="宋体" w:cs="宋体" w:eastAsia="宋体" w:hint="default"/>
                <w:sz w:val="24"/>
                <w:szCs w:val="24"/>
              </w:rPr>
            </w:pPr>
            <w:r>
              <w:rPr>
                <w:rFonts w:ascii="宋体" w:hAnsi="宋体" w:cs="宋体" w:eastAsia="宋体" w:hint="default"/>
                <w:spacing w:val="18"/>
                <w:sz w:val="24"/>
                <w:szCs w:val="24"/>
              </w:rPr>
              <w:t>索尼</w:t>
            </w:r>
            <w:r>
              <w:rPr>
                <w:rFonts w:ascii="Arial" w:hAnsi="Arial" w:cs="Arial" w:eastAsia="Arial" w:hint="default"/>
                <w:spacing w:val="18"/>
                <w:sz w:val="24"/>
                <w:szCs w:val="24"/>
              </w:rPr>
              <w:t>(</w:t>
            </w:r>
            <w:r>
              <w:rPr>
                <w:rFonts w:ascii="Arial" w:hAnsi="Arial" w:cs="Arial" w:eastAsia="Arial" w:hint="default"/>
                <w:spacing w:val="-36"/>
                <w:sz w:val="24"/>
                <w:szCs w:val="24"/>
              </w:rPr>
              <w:t> </w:t>
            </w:r>
            <w:r>
              <w:rPr>
                <w:rFonts w:ascii="宋体" w:hAnsi="宋体" w:cs="宋体" w:eastAsia="宋体" w:hint="default"/>
                <w:spacing w:val="18"/>
                <w:sz w:val="24"/>
                <w:szCs w:val="24"/>
              </w:rPr>
              <w:t>中国</w:t>
            </w:r>
            <w:r>
              <w:rPr>
                <w:rFonts w:ascii="Arial" w:hAnsi="Arial" w:cs="Arial" w:eastAsia="Arial" w:hint="default"/>
                <w:spacing w:val="18"/>
                <w:sz w:val="24"/>
                <w:szCs w:val="24"/>
              </w:rPr>
              <w:t>)</w:t>
            </w:r>
            <w:r>
              <w:rPr>
                <w:rFonts w:ascii="Arial" w:hAnsi="Arial" w:cs="Arial" w:eastAsia="Arial" w:hint="default"/>
                <w:spacing w:val="-36"/>
                <w:sz w:val="24"/>
                <w:szCs w:val="24"/>
              </w:rPr>
              <w:t> </w:t>
            </w:r>
            <w:r>
              <w:rPr>
                <w:rFonts w:ascii="宋体" w:hAnsi="宋体" w:cs="宋体" w:eastAsia="宋体" w:hint="default"/>
                <w:spacing w:val="18"/>
                <w:sz w:val="24"/>
                <w:szCs w:val="24"/>
              </w:rPr>
              <w:t>有限公</w:t>
            </w:r>
            <w:r>
              <w:rPr>
                <w:rFonts w:ascii="宋体" w:hAnsi="宋体" w:cs="宋体" w:eastAsia="宋体" w:hint="default"/>
                <w:spacing w:val="-92"/>
                <w:sz w:val="24"/>
                <w:szCs w:val="24"/>
              </w:rPr>
              <w:t> </w:t>
            </w:r>
            <w:r>
              <w:rPr>
                <w:rFonts w:ascii="宋体" w:hAnsi="宋体" w:cs="宋体" w:eastAsia="宋体" w:hint="default"/>
                <w:sz w:val="24"/>
                <w:szCs w:val="24"/>
              </w:rPr>
            </w:r>
          </w:p>
          <w:p>
            <w:pPr>
              <w:pStyle w:val="TableParagraph"/>
              <w:spacing w:line="304" w:lineRule="exact"/>
              <w:ind w:left="379" w:right="0"/>
              <w:jc w:val="left"/>
              <w:rPr>
                <w:rFonts w:ascii="宋体" w:hAnsi="宋体" w:cs="宋体" w:eastAsia="宋体" w:hint="default"/>
                <w:sz w:val="24"/>
                <w:szCs w:val="24"/>
              </w:rPr>
            </w:pPr>
            <w:r>
              <w:rPr>
                <w:rFonts w:ascii="宋体" w:hAnsi="宋体" w:cs="宋体" w:eastAsia="宋体" w:hint="default"/>
                <w:sz w:val="24"/>
                <w:szCs w:val="24"/>
              </w:rPr>
              <w:t>司上海分公司</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34" w:right="0"/>
              <w:jc w:val="left"/>
              <w:rPr>
                <w:rFonts w:ascii="Arial" w:hAnsi="Arial" w:cs="Arial" w:eastAsia="Arial" w:hint="default"/>
                <w:sz w:val="24"/>
                <w:szCs w:val="24"/>
              </w:rPr>
            </w:pPr>
            <w:r>
              <w:rPr>
                <w:rFonts w:ascii="Arial"/>
                <w:sz w:val="24"/>
              </w:rPr>
              <w:t>168,403</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223"/>
              <w:jc w:val="right"/>
              <w:rPr>
                <w:rFonts w:ascii="Arial" w:hAnsi="Arial" w:cs="Arial" w:eastAsia="Arial" w:hint="default"/>
                <w:sz w:val="24"/>
                <w:szCs w:val="24"/>
              </w:rPr>
            </w:pPr>
            <w:r>
              <w:rPr>
                <w:rFonts w:ascii="Arial"/>
                <w:sz w:val="24"/>
              </w:rPr>
              <w:t>4.6%</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9" w:right="0"/>
              <w:jc w:val="left"/>
              <w:rPr>
                <w:rFonts w:ascii="宋体" w:hAnsi="宋体" w:cs="宋体" w:eastAsia="宋体" w:hint="default"/>
                <w:sz w:val="24"/>
                <w:szCs w:val="24"/>
              </w:rPr>
            </w:pPr>
            <w:r>
              <w:rPr>
                <w:rFonts w:ascii="宋体" w:hAnsi="宋体" w:cs="宋体" w:eastAsia="宋体" w:hint="default"/>
                <w:sz w:val="24"/>
                <w:szCs w:val="24"/>
              </w:rPr>
              <w:t>采购预付款</w:t>
            </w:r>
          </w:p>
        </w:tc>
      </w:tr>
      <w:tr>
        <w:trPr>
          <w:trHeight w:val="626" w:hRule="exact"/>
        </w:trPr>
        <w:tc>
          <w:tcPr>
            <w:tcW w:w="776" w:type="dxa"/>
            <w:tcBorders>
              <w:top w:val="nil" w:sz="6" w:space="0" w:color="auto"/>
              <w:left w:val="nil" w:sz="6" w:space="0" w:color="auto"/>
              <w:bottom w:val="nil" w:sz="6" w:space="0" w:color="auto"/>
              <w:right w:val="nil" w:sz="6" w:space="0" w:color="auto"/>
            </w:tcBorders>
          </w:tcPr>
          <w:p>
            <w:pPr/>
          </w:p>
        </w:tc>
        <w:tc>
          <w:tcPr>
            <w:tcW w:w="262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right="277"/>
              <w:jc w:val="center"/>
              <w:rPr>
                <w:rFonts w:ascii="宋体" w:hAnsi="宋体" w:cs="宋体" w:eastAsia="宋体" w:hint="default"/>
                <w:sz w:val="24"/>
                <w:szCs w:val="24"/>
              </w:rPr>
            </w:pPr>
            <w:r>
              <w:rPr>
                <w:rFonts w:ascii="宋体" w:hAnsi="宋体" w:cs="宋体" w:eastAsia="宋体" w:hint="default"/>
                <w:spacing w:val="18"/>
                <w:sz w:val="24"/>
                <w:szCs w:val="24"/>
              </w:rPr>
              <w:t>济宁市市中区预算</w:t>
            </w:r>
          </w:p>
          <w:p>
            <w:pPr>
              <w:pStyle w:val="TableParagraph"/>
              <w:spacing w:line="313" w:lineRule="exact"/>
              <w:ind w:right="419"/>
              <w:jc w:val="center"/>
              <w:rPr>
                <w:rFonts w:ascii="宋体" w:hAnsi="宋体" w:cs="宋体" w:eastAsia="宋体" w:hint="default"/>
                <w:sz w:val="24"/>
                <w:szCs w:val="24"/>
              </w:rPr>
            </w:pPr>
            <w:r>
              <w:rPr>
                <w:rFonts w:ascii="宋体" w:hAnsi="宋体" w:cs="宋体" w:eastAsia="宋体" w:hint="default"/>
                <w:sz w:val="24"/>
                <w:szCs w:val="24"/>
              </w:rPr>
              <w:t>外资金管理局</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第三方</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tabs>
                <w:tab w:pos="337" w:val="left" w:leader="none"/>
                <w:tab w:pos="1287" w:val="left" w:leader="none"/>
              </w:tabs>
              <w:spacing w:line="240" w:lineRule="auto"/>
              <w:ind w:left="-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150,000</w:t>
              <w:tab/>
            </w:r>
            <w:r>
              <w:rPr>
                <w:rFonts w:ascii="Arial"/>
                <w:sz w:val="24"/>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tabs>
                <w:tab w:pos="544" w:val="left" w:leader="none"/>
                <w:tab w:pos="1175" w:val="left" w:leader="none"/>
              </w:tabs>
              <w:spacing w:line="240" w:lineRule="auto"/>
              <w:ind w:right="14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4.1%</w:t>
            </w:r>
            <w:r>
              <w:rPr>
                <w:rFonts w:ascii="Arial"/>
                <w:sz w:val="24"/>
                <w:u w:val="single" w:color="000000"/>
              </w:rPr>
              <w:tab/>
            </w:r>
            <w:r>
              <w:rPr>
                <w:rFonts w:ascii="Arial"/>
                <w:sz w:val="24"/>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99" w:right="0"/>
              <w:jc w:val="left"/>
              <w:rPr>
                <w:rFonts w:ascii="宋体" w:hAnsi="宋体" w:cs="宋体" w:eastAsia="宋体" w:hint="default"/>
                <w:sz w:val="24"/>
                <w:szCs w:val="24"/>
              </w:rPr>
            </w:pPr>
            <w:r>
              <w:rPr>
                <w:rFonts w:ascii="宋体" w:hAnsi="宋体" w:cs="宋体" w:eastAsia="宋体" w:hint="default"/>
                <w:sz w:val="24"/>
                <w:szCs w:val="24"/>
              </w:rPr>
              <w:t>预付土地款</w:t>
            </w:r>
          </w:p>
        </w:tc>
      </w:tr>
      <w:tr>
        <w:trPr>
          <w:trHeight w:val="435" w:hRule="exact"/>
        </w:trPr>
        <w:tc>
          <w:tcPr>
            <w:tcW w:w="776"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652" w:type="dxa"/>
            <w:gridSpan w:val="2"/>
            <w:tcBorders>
              <w:top w:val="nil" w:sz="6" w:space="0" w:color="auto"/>
              <w:left w:val="nil" w:sz="6" w:space="0" w:color="auto"/>
              <w:bottom w:val="nil" w:sz="6" w:space="0" w:color="auto"/>
              <w:right w:val="nil" w:sz="6" w:space="0" w:color="auto"/>
            </w:tcBorders>
          </w:tcPr>
          <w:p>
            <w:pPr>
              <w:pStyle w:val="TableParagraph"/>
              <w:tabs>
                <w:tab w:pos="2512" w:val="left" w:leader="none"/>
              </w:tabs>
              <w:spacing w:line="268" w:lineRule="exact"/>
              <w:ind w:left="118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0"/>
                <w:sz w:val="24"/>
                <w:u w:val="thick" w:color="000000"/>
              </w:rPr>
              <w:t> </w:t>
            </w:r>
            <w:r>
              <w:rPr>
                <w:rFonts w:ascii="Arial"/>
                <w:sz w:val="24"/>
                <w:u w:val="thick" w:color="000000"/>
              </w:rPr>
              <w:t>1,264,523</w:t>
              <w:tab/>
            </w:r>
            <w:r>
              <w:rPr>
                <w:rFonts w:ascii="Arial"/>
                <w:sz w:val="24"/>
              </w:rPr>
            </w:r>
          </w:p>
        </w:tc>
        <w:tc>
          <w:tcPr>
            <w:tcW w:w="1466" w:type="dxa"/>
            <w:tcBorders>
              <w:top w:val="nil" w:sz="6" w:space="0" w:color="auto"/>
              <w:left w:val="nil" w:sz="6" w:space="0" w:color="auto"/>
              <w:bottom w:val="nil" w:sz="6" w:space="0" w:color="auto"/>
              <w:right w:val="nil" w:sz="6" w:space="0" w:color="auto"/>
            </w:tcBorders>
          </w:tcPr>
          <w:p>
            <w:pPr>
              <w:pStyle w:val="TableParagraph"/>
              <w:tabs>
                <w:tab w:pos="410" w:val="left" w:leader="none"/>
                <w:tab w:pos="1175" w:val="left" w:leader="none"/>
              </w:tabs>
              <w:spacing w:line="268" w:lineRule="exact"/>
              <w:ind w:right="14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34.7%</w:t>
              <w:tab/>
            </w:r>
            <w:r>
              <w:rPr>
                <w:rFonts w:ascii="Arial"/>
                <w:sz w:val="24"/>
              </w:rPr>
            </w: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72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9386" w:type="dxa"/>
            <w:gridSpan w:val="7"/>
            <w:tcBorders>
              <w:top w:val="nil" w:sz="6" w:space="0" w:color="auto"/>
              <w:left w:val="nil" w:sz="6" w:space="0" w:color="auto"/>
              <w:bottom w:val="nil" w:sz="6" w:space="0" w:color="auto"/>
              <w:right w:val="nil" w:sz="6" w:space="0" w:color="auto"/>
            </w:tcBorders>
          </w:tcPr>
          <w:p>
            <w:pPr>
              <w:pStyle w:val="TableParagraph"/>
              <w:spacing w:line="322" w:lineRule="exact" w:before="103"/>
              <w:ind w:left="136"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6"/>
                <w:w w:val="99"/>
                <w:sz w:val="24"/>
                <w:szCs w:val="24"/>
              </w:rPr>
              <w:t>1</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Arial" w:hAnsi="Arial" w:cs="Arial" w:eastAsia="Arial" w:hint="default"/>
                <w:w w:val="99"/>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Arial" w:hAnsi="Arial" w:cs="Arial" w:eastAsia="Arial" w:hint="default"/>
                <w:w w:val="99"/>
                <w:sz w:val="24"/>
                <w:szCs w:val="24"/>
              </w:rPr>
              <w:t>31</w:t>
            </w:r>
            <w:r>
              <w:rPr>
                <w:rFonts w:ascii="Arial" w:hAnsi="Arial" w:cs="Arial" w:eastAsia="Arial" w:hint="default"/>
                <w:spacing w:val="-10"/>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及</w:t>
            </w:r>
            <w:r>
              <w:rPr>
                <w:rFonts w:ascii="宋体" w:hAnsi="宋体" w:cs="宋体" w:eastAsia="宋体" w:hint="default"/>
                <w:spacing w:val="-65"/>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pacing w:val="-3"/>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预付款项中无预付持有本公司</w:t>
            </w:r>
            <w:r>
              <w:rPr>
                <w:rFonts w:ascii="宋体" w:hAnsi="宋体" w:cs="宋体" w:eastAsia="宋体" w:hint="default"/>
                <w:spacing w:val="-64"/>
                <w:sz w:val="24"/>
                <w:szCs w:val="24"/>
              </w:rPr>
              <w:t> </w:t>
            </w:r>
            <w:r>
              <w:rPr>
                <w:rFonts w:ascii="Arial" w:hAnsi="Arial" w:cs="Arial" w:eastAsia="Arial" w:hint="default"/>
                <w:w w:val="99"/>
                <w:sz w:val="24"/>
                <w:szCs w:val="24"/>
              </w:rPr>
              <w:t>5</w:t>
            </w:r>
            <w:r>
              <w:rPr>
                <w:rFonts w:ascii="Arial" w:hAnsi="Arial" w:cs="Arial" w:eastAsia="Arial" w:hint="default"/>
                <w:w w:val="99"/>
                <w:sz w:val="24"/>
                <w:szCs w:val="24"/>
              </w:rPr>
              <w:t>%</w:t>
            </w:r>
            <w:r>
              <w:rPr>
                <w:rFonts w:ascii="Arial" w:hAnsi="Arial" w:cs="Arial" w:eastAsia="Arial" w:hint="default"/>
                <w:spacing w:val="-1"/>
                <w:w w:val="99"/>
                <w:sz w:val="24"/>
                <w:szCs w:val="24"/>
              </w:rPr>
              <w:t>(</w:t>
            </w:r>
            <w:r>
              <w:rPr>
                <w:rFonts w:ascii="宋体" w:hAnsi="宋体" w:cs="宋体" w:eastAsia="宋体" w:hint="default"/>
                <w:sz w:val="24"/>
                <w:szCs w:val="24"/>
              </w:rPr>
              <w:t>含</w:t>
            </w:r>
            <w:r>
              <w:rPr>
                <w:rFonts w:ascii="宋体" w:hAnsi="宋体" w:cs="宋体" w:eastAsia="宋体" w:hint="default"/>
                <w:spacing w:val="-65"/>
                <w:sz w:val="24"/>
                <w:szCs w:val="24"/>
              </w:rPr>
              <w:t> </w:t>
            </w:r>
            <w:r>
              <w:rPr>
                <w:rFonts w:ascii="Arial" w:hAnsi="Arial" w:cs="Arial" w:eastAsia="Arial" w:hint="default"/>
                <w:w w:val="99"/>
                <w:sz w:val="24"/>
                <w:szCs w:val="24"/>
              </w:rPr>
              <w:t>5</w:t>
            </w:r>
            <w:r>
              <w:rPr>
                <w:rFonts w:ascii="Arial" w:hAnsi="Arial" w:cs="Arial" w:eastAsia="Arial" w:hint="default"/>
                <w:w w:val="99"/>
                <w:sz w:val="24"/>
                <w:szCs w:val="24"/>
              </w:rPr>
              <w:t>%)</w:t>
            </w:r>
            <w:r>
              <w:rPr>
                <w:rFonts w:ascii="Arial" w:hAnsi="Arial" w:cs="Arial" w:eastAsia="Arial" w:hint="default"/>
                <w:sz w:val="24"/>
                <w:szCs w:val="24"/>
              </w:rPr>
            </w:r>
          </w:p>
          <w:p>
            <w:pPr>
              <w:pStyle w:val="TableParagraph"/>
              <w:spacing w:line="304" w:lineRule="exact"/>
              <w:ind w:left="136" w:right="0"/>
              <w:jc w:val="left"/>
              <w:rPr>
                <w:rFonts w:ascii="宋体" w:hAnsi="宋体" w:cs="宋体" w:eastAsia="宋体" w:hint="default"/>
                <w:sz w:val="24"/>
                <w:szCs w:val="24"/>
              </w:rPr>
            </w:pPr>
            <w:r>
              <w:rPr>
                <w:rFonts w:ascii="宋体" w:hAnsi="宋体" w:cs="宋体" w:eastAsia="宋体" w:hint="default"/>
                <w:sz w:val="24"/>
                <w:szCs w:val="24"/>
              </w:rPr>
              <w:t>以上表决权股份的股东的款项。</w:t>
            </w:r>
          </w:p>
        </w:tc>
      </w:tr>
    </w:tbl>
    <w:p>
      <w:pPr>
        <w:spacing w:after="0" w:line="304" w:lineRule="exact"/>
        <w:jc w:val="left"/>
        <w:rPr>
          <w:rFonts w:ascii="宋体" w:hAnsi="宋体" w:cs="宋体" w:eastAsia="宋体"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r>
        <w:rPr/>
        <w:pict>
          <v:group style="position:absolute;margin-left:362.950012pt;margin-top:374.449982pt;width:35.4pt;height:.1pt;mso-position-horizontal-relative:page;mso-position-vertical-relative:page;z-index:-1358968" coordorigin="7259,7489" coordsize="708,2">
            <v:shape style="position:absolute;left:7259;top:7489;width:708;height:2" coordorigin="7259,7489" coordsize="708,0" path="m7259,7489l7967,7489e" filled="false" stroked="true" strokeweight="1.44pt" strokecolor="#000000">
              <v:path arrowok="t"/>
            </v:shape>
            <w10:wrap type="none"/>
          </v:group>
        </w:pict>
      </w:r>
      <w:r>
        <w:rPr/>
        <w:pict>
          <v:group style="position:absolute;margin-left:411.790009pt;margin-top:373.72998pt;width:93.65pt;height:1.45pt;mso-position-horizontal-relative:page;mso-position-vertical-relative:page;z-index:-1358944" coordorigin="8236,7475" coordsize="1873,29">
            <v:group style="position:absolute;left:8250;top:7489;width:851;height:2" coordorigin="8250,7489" coordsize="851,2">
              <v:shape style="position:absolute;left:8250;top:7489;width:851;height:2" coordorigin="8250,7489" coordsize="851,0" path="m8250,7489l9100,7489e" filled="false" stroked="true" strokeweight="1.44pt" strokecolor="#000000">
                <v:path arrowok="t"/>
              </v:shape>
            </v:group>
            <v:group style="position:absolute;left:9100;top:7489;width:29;height:2" coordorigin="9100,7489" coordsize="29,2">
              <v:shape style="position:absolute;left:9100;top:7489;width:29;height:2" coordorigin="9100,7489" coordsize="29,0" path="m9100,7489l9129,7489e" filled="false" stroked="true" strokeweight="1.44pt" strokecolor="#000000">
                <v:path arrowok="t"/>
              </v:shape>
            </v:group>
            <v:group style="position:absolute;left:9129;top:7489;width:965;height:2" coordorigin="9129,7489" coordsize="965,2">
              <v:shape style="position:absolute;left:9129;top:7489;width:965;height:2" coordorigin="9129,7489" coordsize="965,0" path="m9129,7489l10094,7489e" filled="false" stroked="true" strokeweight="1.44pt" strokecolor="#000000">
                <v:path arrowok="t"/>
              </v:shape>
            </v:group>
            <w10:wrap type="none"/>
          </v:group>
        </w:pict>
      </w:r>
    </w:p>
    <w:p>
      <w:pPr>
        <w:spacing w:line="20" w:lineRule="exact"/>
        <w:ind w:left="7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p>
      <w:pPr>
        <w:pStyle w:val="Heading2"/>
        <w:tabs>
          <w:tab w:pos="856" w:val="left" w:leader="none"/>
        </w:tabs>
        <w:spacing w:line="240" w:lineRule="auto"/>
        <w:ind w:left="143"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56" w:val="left" w:leader="none"/>
        </w:tabs>
        <w:spacing w:before="0"/>
        <w:ind w:left="143" w:right="0" w:firstLine="0"/>
        <w:jc w:val="left"/>
        <w:rPr>
          <w:rFonts w:ascii="Arial" w:hAnsi="Arial" w:cs="Arial" w:eastAsia="Arial" w:hint="default"/>
          <w:sz w:val="24"/>
          <w:szCs w:val="24"/>
        </w:rPr>
      </w:pPr>
      <w:r>
        <w:rPr>
          <w:rFonts w:ascii="Arial" w:hAnsi="Arial" w:cs="Arial" w:eastAsia="Arial" w:hint="default"/>
          <w:w w:val="95"/>
          <w:position w:val="2"/>
          <w:sz w:val="24"/>
          <w:szCs w:val="24"/>
        </w:rPr>
        <w:t>(6)</w:t>
        <w:tab/>
      </w:r>
      <w:r>
        <w:rPr>
          <w:rFonts w:ascii="宋体" w:hAnsi="宋体" w:cs="宋体" w:eastAsia="宋体" w:hint="default"/>
          <w:b/>
          <w:bCs/>
          <w:sz w:val="24"/>
          <w:szCs w:val="24"/>
        </w:rPr>
        <w:t>预付款项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pStyle w:val="BodyText"/>
        <w:tabs>
          <w:tab w:pos="856" w:val="left" w:leader="none"/>
        </w:tabs>
        <w:spacing w:line="240" w:lineRule="auto" w:before="0"/>
        <w:ind w:left="143" w:right="0"/>
        <w:jc w:val="left"/>
      </w:pPr>
      <w:r>
        <w:rPr>
          <w:rFonts w:ascii="Arial" w:hAnsi="Arial" w:cs="Arial" w:eastAsia="Arial" w:hint="default"/>
          <w:w w:val="95"/>
          <w:position w:val="2"/>
        </w:rPr>
        <w:t>(d)</w:t>
        <w:tab/>
      </w:r>
      <w:r>
        <w:rPr/>
        <w:t>预付关联方的预付款项分析如下：</w:t>
      </w:r>
    </w:p>
    <w:p>
      <w:pPr>
        <w:spacing w:line="240" w:lineRule="auto" w:before="9"/>
        <w:rPr>
          <w:rFonts w:ascii="宋体" w:hAnsi="宋体" w:cs="宋体" w:eastAsia="宋体" w:hint="default"/>
          <w:sz w:val="18"/>
          <w:szCs w:val="18"/>
        </w:rPr>
      </w:pPr>
    </w:p>
    <w:p>
      <w:pPr>
        <w:tabs>
          <w:tab w:pos="7778" w:val="left" w:leader="none"/>
        </w:tabs>
        <w:spacing w:before="36"/>
        <w:ind w:left="4591" w:right="0" w:firstLine="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00"/>
        <w:gridCol w:w="5385"/>
        <w:gridCol w:w="266"/>
        <w:gridCol w:w="3874"/>
      </w:tblGrid>
      <w:tr>
        <w:trPr>
          <w:trHeight w:val="834" w:hRule="exact"/>
        </w:trPr>
        <w:tc>
          <w:tcPr>
            <w:tcW w:w="500" w:type="dxa"/>
            <w:vMerge w:val="restart"/>
            <w:tcBorders>
              <w:top w:val="nil" w:sz="6" w:space="0" w:color="auto"/>
              <w:left w:val="nil" w:sz="6" w:space="0" w:color="auto"/>
              <w:right w:val="nil" w:sz="6" w:space="0" w:color="auto"/>
            </w:tcBorders>
          </w:tcPr>
          <w:p>
            <w:pPr/>
          </w:p>
        </w:tc>
        <w:tc>
          <w:tcPr>
            <w:tcW w:w="5385" w:type="dxa"/>
            <w:tcBorders>
              <w:top w:val="single" w:sz="12" w:space="0" w:color="000000"/>
              <w:left w:val="nil" w:sz="6" w:space="0" w:color="auto"/>
              <w:bottom w:val="nil" w:sz="6" w:space="0" w:color="auto"/>
              <w:right w:val="nil" w:sz="6" w:space="0" w:color="auto"/>
            </w:tcBorders>
          </w:tcPr>
          <w:p>
            <w:pPr>
              <w:pStyle w:val="TableParagraph"/>
              <w:tabs>
                <w:tab w:pos="1800" w:val="left" w:leader="none"/>
                <w:tab w:pos="2542" w:val="left" w:leader="none"/>
              </w:tabs>
              <w:spacing w:line="240"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与本集团关系</w:t>
              <w:tab/>
            </w:r>
            <w:r>
              <w:rPr>
                <w:rFonts w:ascii="宋体" w:hAnsi="宋体" w:cs="宋体" w:eastAsia="宋体" w:hint="default"/>
                <w:sz w:val="21"/>
                <w:szCs w:val="21"/>
              </w:rPr>
              <w:t>金额</w:t>
              <w:tab/>
            </w:r>
            <w:r>
              <w:rPr>
                <w:rFonts w:ascii="宋体" w:hAnsi="宋体" w:cs="宋体" w:eastAsia="宋体" w:hint="default"/>
                <w:spacing w:val="-1"/>
                <w:sz w:val="21"/>
                <w:szCs w:val="21"/>
              </w:rPr>
              <w:t>占预付款</w:t>
            </w:r>
          </w:p>
          <w:p>
            <w:pPr>
              <w:pStyle w:val="TableParagraph"/>
              <w:spacing w:line="240" w:lineRule="auto"/>
              <w:ind w:left="4422" w:right="108" w:firstLine="7"/>
              <w:jc w:val="right"/>
              <w:rPr>
                <w:rFonts w:ascii="Arial" w:hAnsi="Arial" w:cs="Arial" w:eastAsia="Arial" w:hint="default"/>
                <w:sz w:val="21"/>
                <w:szCs w:val="21"/>
              </w:rPr>
            </w:pPr>
            <w:r>
              <w:rPr>
                <w:rFonts w:ascii="宋体" w:hAnsi="宋体" w:cs="宋体" w:eastAsia="宋体" w:hint="default"/>
                <w:spacing w:val="-1"/>
                <w:sz w:val="21"/>
                <w:szCs w:val="21"/>
              </w:rPr>
              <w:t>项总额的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pacing w:val="-1"/>
                <w:sz w:val="21"/>
                <w:szCs w:val="21"/>
              </w:rPr>
              <w:t> </w:t>
            </w:r>
            <w:r>
              <w:rPr>
                <w:rFonts w:ascii="Arial" w:hAnsi="Arial" w:cs="Arial" w:eastAsia="Arial" w:hint="default"/>
                <w:sz w:val="21"/>
                <w:szCs w:val="21"/>
              </w:rPr>
              <w:t>(%)</w:t>
            </w:r>
          </w:p>
        </w:tc>
        <w:tc>
          <w:tcPr>
            <w:tcW w:w="266" w:type="dxa"/>
            <w:tcBorders>
              <w:top w:val="single" w:sz="12" w:space="0" w:color="000000"/>
              <w:left w:val="nil" w:sz="6" w:space="0" w:color="auto"/>
              <w:bottom w:val="nil" w:sz="6" w:space="0" w:color="auto"/>
              <w:right w:val="nil" w:sz="6" w:space="0" w:color="auto"/>
            </w:tcBorders>
          </w:tcPr>
          <w:p>
            <w:pPr/>
          </w:p>
        </w:tc>
        <w:tc>
          <w:tcPr>
            <w:tcW w:w="3874" w:type="dxa"/>
            <w:tcBorders>
              <w:top w:val="single" w:sz="12" w:space="0" w:color="000000"/>
              <w:left w:val="nil" w:sz="6" w:space="0" w:color="auto"/>
              <w:bottom w:val="nil" w:sz="6" w:space="0" w:color="auto"/>
              <w:right w:val="nil" w:sz="6" w:space="0" w:color="auto"/>
            </w:tcBorders>
          </w:tcPr>
          <w:p>
            <w:pPr>
              <w:pStyle w:val="TableParagraph"/>
              <w:tabs>
                <w:tab w:pos="1223" w:val="left" w:leader="none"/>
                <w:tab w:pos="1903" w:val="left" w:leader="none"/>
                <w:tab w:pos="3286" w:val="left" w:leader="none"/>
              </w:tabs>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坏账</w:t>
              <w:tab/>
              <w:t>金额</w:t>
              <w:tab/>
            </w:r>
            <w:r>
              <w:rPr>
                <w:rFonts w:ascii="宋体" w:hAnsi="宋体" w:cs="宋体" w:eastAsia="宋体" w:hint="default"/>
                <w:spacing w:val="-1"/>
                <w:sz w:val="21"/>
                <w:szCs w:val="21"/>
              </w:rPr>
              <w:t>占预付款</w:t>
              <w:tab/>
            </w:r>
            <w:r>
              <w:rPr>
                <w:rFonts w:ascii="宋体" w:hAnsi="宋体" w:cs="宋体" w:eastAsia="宋体" w:hint="default"/>
                <w:sz w:val="21"/>
                <w:szCs w:val="21"/>
              </w:rPr>
              <w:t>坏账</w:t>
            </w:r>
          </w:p>
          <w:p>
            <w:pPr>
              <w:pStyle w:val="TableParagraph"/>
              <w:tabs>
                <w:tab w:pos="1903" w:val="left" w:leader="none"/>
                <w:tab w:pos="3286" w:val="left" w:leader="none"/>
              </w:tabs>
              <w:spacing w:line="240" w:lineRule="auto"/>
              <w:ind w:left="2112" w:right="163" w:hanging="1950"/>
              <w:jc w:val="left"/>
              <w:rPr>
                <w:rFonts w:ascii="宋体" w:hAnsi="宋体" w:cs="宋体" w:eastAsia="宋体" w:hint="default"/>
                <w:sz w:val="21"/>
                <w:szCs w:val="21"/>
              </w:rPr>
            </w:pPr>
            <w:r>
              <w:rPr>
                <w:rFonts w:ascii="宋体" w:hAnsi="宋体" w:cs="宋体" w:eastAsia="宋体" w:hint="default"/>
                <w:sz w:val="21"/>
                <w:szCs w:val="21"/>
              </w:rPr>
              <w:t>准备</w:t>
              <w:tab/>
            </w:r>
            <w:r>
              <w:rPr>
                <w:rFonts w:ascii="宋体" w:hAnsi="宋体" w:cs="宋体" w:eastAsia="宋体" w:hint="default"/>
                <w:spacing w:val="-1"/>
                <w:sz w:val="21"/>
                <w:szCs w:val="21"/>
              </w:rPr>
              <w:t>项总额的</w:t>
              <w:tab/>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r>
      <w:tr>
        <w:trPr>
          <w:trHeight w:val="513" w:hRule="exact"/>
        </w:trPr>
        <w:tc>
          <w:tcPr>
            <w:tcW w:w="500" w:type="dxa"/>
            <w:vMerge/>
            <w:tcBorders>
              <w:left w:val="nil" w:sz="6" w:space="0" w:color="auto"/>
              <w:right w:val="nil" w:sz="6" w:space="0" w:color="auto"/>
            </w:tcBorders>
          </w:tcPr>
          <w:p>
            <w:pPr/>
          </w:p>
        </w:tc>
        <w:tc>
          <w:tcPr>
            <w:tcW w:w="53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tabs>
                <w:tab w:pos="1887" w:val="left" w:leader="none"/>
              </w:tabs>
              <w:spacing w:line="240" w:lineRule="auto"/>
              <w:ind w:left="171" w:right="0"/>
              <w:jc w:val="left"/>
              <w:rPr>
                <w:rFonts w:ascii="宋体" w:hAnsi="宋体" w:cs="宋体" w:eastAsia="宋体" w:hint="default"/>
                <w:sz w:val="21"/>
                <w:szCs w:val="21"/>
              </w:rPr>
            </w:pPr>
            <w:r>
              <w:rPr>
                <w:rFonts w:ascii="宋体" w:hAnsi="宋体" w:cs="宋体" w:eastAsia="宋体" w:hint="default"/>
                <w:spacing w:val="-1"/>
                <w:sz w:val="21"/>
                <w:szCs w:val="21"/>
              </w:rPr>
              <w:t>青岛苏宁置业</w:t>
              <w:tab/>
            </w: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受</w:t>
            </w:r>
            <w:r>
              <w:rPr>
                <w:rFonts w:ascii="宋体" w:hAnsi="宋体" w:cs="宋体" w:eastAsia="宋体" w:hint="default"/>
                <w:spacing w:val="-78"/>
                <w:sz w:val="21"/>
                <w:szCs w:val="21"/>
              </w:rPr>
              <w:t> </w:t>
            </w:r>
            <w:r>
              <w:rPr>
                <w:rFonts w:ascii="宋体" w:hAnsi="宋体" w:cs="宋体" w:eastAsia="宋体" w:hint="default"/>
                <w:sz w:val="21"/>
                <w:szCs w:val="21"/>
              </w:rPr>
              <w:t>同</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nil" w:sz="6" w:space="0" w:color="auto"/>
              <w:right w:val="nil" w:sz="6" w:space="0" w:color="auto"/>
            </w:tcBorders>
          </w:tcPr>
          <w:p>
            <w:pPr>
              <w:pStyle w:val="TableParagraph"/>
              <w:spacing w:line="237" w:lineRule="exact"/>
              <w:ind w:left="773" w:right="0"/>
              <w:jc w:val="center"/>
              <w:rPr>
                <w:rFonts w:ascii="Arial" w:hAnsi="Arial" w:cs="Arial" w:eastAsia="Arial" w:hint="default"/>
                <w:sz w:val="21"/>
                <w:szCs w:val="21"/>
              </w:rPr>
            </w:pPr>
            <w:r>
              <w:rPr>
                <w:rFonts w:ascii="Arial"/>
                <w:sz w:val="21"/>
              </w:rPr>
              <w:t>(%)</w:t>
            </w:r>
          </w:p>
        </w:tc>
      </w:tr>
      <w:tr>
        <w:trPr>
          <w:trHeight w:val="274" w:hRule="exact"/>
        </w:trPr>
        <w:tc>
          <w:tcPr>
            <w:tcW w:w="500" w:type="dxa"/>
            <w:vMerge/>
            <w:tcBorders>
              <w:left w:val="nil" w:sz="6" w:space="0" w:color="auto"/>
              <w:right w:val="nil" w:sz="6" w:space="0" w:color="auto"/>
            </w:tcBorders>
          </w:tcPr>
          <w:p>
            <w:pPr/>
          </w:p>
        </w:tc>
        <w:tc>
          <w:tcPr>
            <w:tcW w:w="5385" w:type="dxa"/>
            <w:tcBorders>
              <w:top w:val="nil" w:sz="6" w:space="0" w:color="auto"/>
              <w:left w:val="nil" w:sz="6" w:space="0" w:color="auto"/>
              <w:bottom w:val="nil" w:sz="6" w:space="0" w:color="auto"/>
              <w:right w:val="nil" w:sz="6" w:space="0" w:color="auto"/>
            </w:tcBorders>
          </w:tcPr>
          <w:p>
            <w:pPr>
              <w:pStyle w:val="TableParagraph"/>
              <w:tabs>
                <w:tab w:pos="1887" w:val="left" w:leader="none"/>
              </w:tabs>
              <w:spacing w:line="242" w:lineRule="exact"/>
              <w:ind w:left="351" w:right="0"/>
              <w:jc w:val="left"/>
              <w:rPr>
                <w:rFonts w:ascii="宋体" w:hAnsi="宋体" w:cs="宋体" w:eastAsia="宋体" w:hint="default"/>
                <w:sz w:val="21"/>
                <w:szCs w:val="21"/>
              </w:rPr>
            </w:pPr>
            <w:r>
              <w:rPr>
                <w:rFonts w:ascii="宋体" w:hAnsi="宋体" w:cs="宋体" w:eastAsia="宋体" w:hint="default"/>
                <w:spacing w:val="-1"/>
                <w:sz w:val="21"/>
                <w:szCs w:val="21"/>
              </w:rPr>
              <w:t>有限公司</w:t>
              <w:tab/>
            </w: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实</w:t>
            </w:r>
            <w:r>
              <w:rPr>
                <w:rFonts w:ascii="宋体" w:hAnsi="宋体" w:cs="宋体" w:eastAsia="宋体" w:hint="default"/>
                <w:spacing w:val="-76"/>
                <w:sz w:val="21"/>
                <w:szCs w:val="21"/>
              </w:rPr>
              <w:t> </w:t>
            </w:r>
            <w:r>
              <w:rPr>
                <w:rFonts w:ascii="宋体" w:hAnsi="宋体" w:cs="宋体" w:eastAsia="宋体" w:hint="default"/>
                <w:sz w:val="21"/>
                <w:szCs w:val="21"/>
              </w:rPr>
              <w:t>际</w:t>
            </w:r>
            <w:r>
              <w:rPr>
                <w:rFonts w:ascii="宋体" w:hAnsi="宋体" w:cs="宋体" w:eastAsia="宋体" w:hint="default"/>
                <w:spacing w:val="-76"/>
                <w:sz w:val="21"/>
                <w:szCs w:val="21"/>
              </w:rPr>
              <w:t> </w:t>
            </w:r>
            <w:r>
              <w:rPr>
                <w:rFonts w:ascii="宋体" w:hAnsi="宋体" w:cs="宋体" w:eastAsia="宋体" w:hint="default"/>
                <w:sz w:val="21"/>
                <w:szCs w:val="21"/>
              </w:rPr>
              <w:t>控</w:t>
            </w:r>
            <w:r>
              <w:rPr>
                <w:rFonts w:ascii="宋体" w:hAnsi="宋体" w:cs="宋体" w:eastAsia="宋体" w:hint="default"/>
                <w:spacing w:val="-76"/>
                <w:sz w:val="21"/>
                <w:szCs w:val="21"/>
              </w:rPr>
              <w:t> </w:t>
            </w:r>
            <w:r>
              <w:rPr>
                <w:rFonts w:ascii="宋体" w:hAnsi="宋体" w:cs="宋体" w:eastAsia="宋体" w:hint="default"/>
                <w:sz w:val="21"/>
                <w:szCs w:val="21"/>
              </w:rPr>
              <w:t>制</w:t>
            </w:r>
            <w:r>
              <w:rPr>
                <w:rFonts w:ascii="宋体" w:hAnsi="宋体" w:cs="宋体" w:eastAsia="宋体" w:hint="default"/>
                <w:spacing w:val="-78"/>
                <w:sz w:val="21"/>
                <w:szCs w:val="21"/>
              </w:rPr>
              <w:t> </w:t>
            </w:r>
            <w:r>
              <w:rPr>
                <w:rFonts w:ascii="宋体" w:hAnsi="宋体" w:cs="宋体" w:eastAsia="宋体" w:hint="default"/>
                <w:sz w:val="21"/>
                <w:szCs w:val="21"/>
              </w:rPr>
              <w:t>人</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nil" w:sz="6" w:space="0" w:color="auto"/>
              <w:right w:val="nil" w:sz="6" w:space="0" w:color="auto"/>
            </w:tcBorders>
          </w:tcPr>
          <w:p>
            <w:pPr/>
          </w:p>
        </w:tc>
      </w:tr>
      <w:tr>
        <w:trPr>
          <w:trHeight w:val="539" w:hRule="exact"/>
        </w:trPr>
        <w:tc>
          <w:tcPr>
            <w:tcW w:w="500" w:type="dxa"/>
            <w:vMerge/>
            <w:tcBorders>
              <w:left w:val="nil" w:sz="6" w:space="0" w:color="auto"/>
              <w:bottom w:val="nil" w:sz="6" w:space="0" w:color="auto"/>
              <w:right w:val="nil" w:sz="6" w:space="0" w:color="auto"/>
            </w:tcBorders>
          </w:tcPr>
          <w:p>
            <w:pPr/>
          </w:p>
        </w:tc>
        <w:tc>
          <w:tcPr>
            <w:tcW w:w="5385" w:type="dxa"/>
            <w:tcBorders>
              <w:top w:val="nil" w:sz="6" w:space="0" w:color="auto"/>
              <w:left w:val="nil" w:sz="6" w:space="0" w:color="auto"/>
              <w:bottom w:val="single" w:sz="12" w:space="0" w:color="000000"/>
              <w:right w:val="nil" w:sz="6" w:space="0" w:color="auto"/>
            </w:tcBorders>
          </w:tcPr>
          <w:p>
            <w:pPr>
              <w:pStyle w:val="TableParagraph"/>
              <w:tabs>
                <w:tab w:pos="3402" w:val="left" w:leader="none"/>
                <w:tab w:pos="4799" w:val="left" w:leader="none"/>
                <w:tab w:pos="5365" w:val="left" w:leader="none"/>
              </w:tabs>
              <w:spacing w:line="252" w:lineRule="exact" w:before="23"/>
              <w:ind w:left="3642" w:right="0" w:hanging="1755"/>
              <w:jc w:val="left"/>
              <w:rPr>
                <w:rFonts w:ascii="Arial" w:hAnsi="Arial" w:cs="Arial" w:eastAsia="Arial" w:hint="default"/>
                <w:sz w:val="21"/>
                <w:szCs w:val="21"/>
              </w:rPr>
            </w:pPr>
            <w:r>
              <w:rPr>
                <w:rFonts w:ascii="宋体" w:hAnsi="宋体" w:cs="宋体" w:eastAsia="宋体" w:hint="default"/>
                <w:position w:val="1"/>
                <w:sz w:val="21"/>
                <w:szCs w:val="21"/>
              </w:rPr>
              <w:t>控制</w:t>
              <w:tab/>
            </w:r>
            <w:r>
              <w:rPr>
                <w:rFonts w:ascii="Arial" w:hAnsi="Arial" w:cs="Arial" w:eastAsia="Arial" w:hint="default"/>
                <w:sz w:val="21"/>
                <w:szCs w:val="21"/>
              </w:rPr>
            </w:r>
            <w:r>
              <w:rPr>
                <w:rFonts w:ascii="Arial" w:hAnsi="Arial" w:cs="Arial" w:eastAsia="Arial" w:hint="default"/>
                <w:sz w:val="21"/>
                <w:szCs w:val="21"/>
                <w:u w:val="single" w:color="000000"/>
              </w:rPr>
              <w:t> </w:t>
            </w:r>
            <w:r>
              <w:rPr>
                <w:rFonts w:ascii="Arial" w:hAnsi="Arial" w:cs="Arial" w:eastAsia="Arial" w:hint="default"/>
                <w:spacing w:val="-1"/>
                <w:sz w:val="21"/>
                <w:szCs w:val="21"/>
                <w:u w:val="single" w:color="000000"/>
              </w:rPr>
              <w:t>29,973</w:t>
              <w:tab/>
              <w:t>0.8%</w:t>
              <w:tab/>
            </w:r>
            <w:r>
              <w:rPr>
                <w:rFonts w:ascii="Arial" w:hAnsi="Arial" w:cs="Arial" w:eastAsia="Arial" w:hint="default"/>
                <w:spacing w:val="-1"/>
                <w:sz w:val="21"/>
                <w:szCs w:val="21"/>
              </w:rPr>
            </w:r>
            <w:r>
              <w:rPr>
                <w:rFonts w:ascii="Arial" w:hAnsi="Arial" w:cs="Arial" w:eastAsia="Arial" w:hint="default"/>
                <w:spacing w:val="-1"/>
                <w:sz w:val="21"/>
                <w:szCs w:val="21"/>
              </w:rPr>
            </w:r>
            <w:r>
              <w:rPr>
                <w:rFonts w:ascii="Arial" w:hAnsi="Arial" w:cs="Arial" w:eastAsia="Arial" w:hint="default"/>
                <w:sz w:val="21"/>
                <w:szCs w:val="21"/>
              </w:rPr>
              <w:t> </w:t>
            </w:r>
            <w:r>
              <w:rPr>
                <w:rFonts w:ascii="Arial" w:hAnsi="Arial" w:cs="Arial" w:eastAsia="Arial" w:hint="default"/>
                <w:spacing w:val="-1"/>
                <w:sz w:val="21"/>
                <w:szCs w:val="21"/>
              </w:rPr>
              <w:t>29,973</w:t>
              <w:tab/>
              <w:t>0.8%</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single" w:sz="12" w:space="0" w:color="000000"/>
              <w:right w:val="nil" w:sz="6" w:space="0" w:color="auto"/>
            </w:tcBorders>
          </w:tcPr>
          <w:p>
            <w:pPr>
              <w:pStyle w:val="TableParagraph"/>
              <w:tabs>
                <w:tab w:pos="549" w:val="left" w:leader="none"/>
                <w:tab w:pos="1010" w:val="left" w:leader="none"/>
                <w:tab w:pos="1682" w:val="left" w:leader="none"/>
                <w:tab w:pos="2678" w:val="left" w:leader="none"/>
                <w:tab w:pos="3137" w:val="left" w:leader="none"/>
                <w:tab w:pos="3677" w:val="left" w:leader="none"/>
                <w:tab w:pos="3854" w:val="left" w:leader="none"/>
              </w:tabs>
              <w:spacing w:line="240" w:lineRule="auto" w:before="27"/>
              <w:ind w:left="19"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tab/>
            </w:r>
            <w:r>
              <w:rPr>
                <w:rFonts w:ascii="Arial"/>
                <w:sz w:val="21"/>
                <w:u w:val="single" w:color="000000"/>
              </w:rPr>
              <w:t> </w:t>
              <w:tab/>
              <w:t>-</w:t>
              <w:tab/>
              <w:t>-</w:t>
            </w:r>
            <w:r>
              <w:rPr>
                <w:rFonts w:ascii="Arial"/>
                <w:sz w:val="21"/>
              </w:rPr>
              <w:tab/>
            </w:r>
            <w:r>
              <w:rPr>
                <w:rFonts w:ascii="Arial"/>
                <w:sz w:val="21"/>
                <w:u w:val="single" w:color="000000"/>
              </w:rPr>
              <w:t> </w:t>
              <w:tab/>
              <w:t>-</w:t>
              <w:tab/>
            </w:r>
            <w:r>
              <w:rPr>
                <w:rFonts w:ascii="Arial"/>
                <w:sz w:val="21"/>
              </w:rPr>
            </w:r>
          </w:p>
          <w:p>
            <w:pPr>
              <w:pStyle w:val="TableParagraph"/>
              <w:tabs>
                <w:tab w:pos="1682" w:val="left" w:leader="none"/>
                <w:tab w:pos="2678" w:val="left" w:leader="none"/>
                <w:tab w:pos="3677" w:val="left" w:leader="none"/>
              </w:tabs>
              <w:spacing w:line="240" w:lineRule="auto" w:before="10"/>
              <w:ind w:left="549" w:right="0"/>
              <w:jc w:val="left"/>
              <w:rPr>
                <w:rFonts w:ascii="Arial" w:hAnsi="Arial" w:cs="Arial" w:eastAsia="Arial" w:hint="default"/>
                <w:sz w:val="21"/>
                <w:szCs w:val="21"/>
              </w:rPr>
            </w:pPr>
            <w:r>
              <w:rPr>
                <w:rFonts w:ascii="Arial"/>
                <w:sz w:val="21"/>
              </w:rPr>
              <w:t>-</w:t>
              <w:tab/>
              <w:t>-</w:t>
              <w:tab/>
              <w:t>-</w:t>
              <w:tab/>
              <w:t>-</w:t>
            </w:r>
          </w:p>
        </w:tc>
      </w:tr>
      <w:tr>
        <w:trPr>
          <w:trHeight w:val="739" w:hRule="exact"/>
        </w:trPr>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5" w:right="0"/>
              <w:jc w:val="left"/>
              <w:rPr>
                <w:rFonts w:ascii="Arial" w:hAnsi="Arial" w:cs="Arial" w:eastAsia="Arial" w:hint="default"/>
                <w:sz w:val="24"/>
                <w:szCs w:val="24"/>
              </w:rPr>
            </w:pPr>
            <w:r>
              <w:rPr>
                <w:rFonts w:ascii="Arial"/>
                <w:sz w:val="24"/>
              </w:rPr>
              <w:t>(e)</w:t>
            </w:r>
          </w:p>
        </w:tc>
        <w:tc>
          <w:tcPr>
            <w:tcW w:w="5385"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8" w:right="0"/>
              <w:jc w:val="left"/>
              <w:rPr>
                <w:rFonts w:ascii="宋体" w:hAnsi="宋体" w:cs="宋体" w:eastAsia="宋体" w:hint="default"/>
                <w:sz w:val="24"/>
                <w:szCs w:val="24"/>
              </w:rPr>
            </w:pPr>
            <w:r>
              <w:rPr>
                <w:rFonts w:ascii="宋体" w:hAnsi="宋体" w:cs="宋体" w:eastAsia="宋体" w:hint="default"/>
                <w:sz w:val="24"/>
                <w:szCs w:val="24"/>
              </w:rPr>
              <w:t>预付款项中包括以下外币余额：</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r>
      <w:tr>
        <w:trPr>
          <w:trHeight w:val="433" w:hRule="exact"/>
        </w:trPr>
        <w:tc>
          <w:tcPr>
            <w:tcW w:w="500" w:type="dxa"/>
            <w:tcBorders>
              <w:top w:val="nil" w:sz="6" w:space="0" w:color="auto"/>
              <w:left w:val="nil" w:sz="6" w:space="0" w:color="auto"/>
              <w:bottom w:val="nil" w:sz="6" w:space="0" w:color="auto"/>
              <w:right w:val="nil" w:sz="6" w:space="0" w:color="auto"/>
            </w:tcBorders>
          </w:tcPr>
          <w:p>
            <w:pPr/>
          </w:p>
        </w:tc>
        <w:tc>
          <w:tcPr>
            <w:tcW w:w="5385"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left="2485"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left="95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8" w:hRule="exact"/>
        </w:trPr>
        <w:tc>
          <w:tcPr>
            <w:tcW w:w="500" w:type="dxa"/>
            <w:tcBorders>
              <w:top w:val="nil" w:sz="6" w:space="0" w:color="auto"/>
              <w:left w:val="nil" w:sz="6" w:space="0" w:color="auto"/>
              <w:bottom w:val="nil" w:sz="6" w:space="0" w:color="auto"/>
              <w:right w:val="nil" w:sz="6" w:space="0" w:color="auto"/>
            </w:tcBorders>
          </w:tcPr>
          <w:p>
            <w:pPr/>
          </w:p>
        </w:tc>
        <w:tc>
          <w:tcPr>
            <w:tcW w:w="5385" w:type="dxa"/>
            <w:tcBorders>
              <w:top w:val="single" w:sz="12" w:space="0" w:color="000000"/>
              <w:left w:val="nil" w:sz="6" w:space="0" w:color="auto"/>
              <w:bottom w:val="nil" w:sz="6" w:space="0" w:color="auto"/>
              <w:right w:val="nil" w:sz="6" w:space="0" w:color="auto"/>
            </w:tcBorders>
          </w:tcPr>
          <w:p>
            <w:pPr>
              <w:pStyle w:val="TableParagraph"/>
              <w:tabs>
                <w:tab w:pos="3296" w:val="left" w:leader="none"/>
                <w:tab w:pos="4220" w:val="left" w:leader="none"/>
              </w:tabs>
              <w:spacing w:line="241" w:lineRule="exact"/>
              <w:ind w:left="1767" w:right="0"/>
              <w:jc w:val="left"/>
              <w:rPr>
                <w:rFonts w:ascii="宋体" w:hAnsi="宋体" w:cs="宋体" w:eastAsia="宋体" w:hint="default"/>
                <w:sz w:val="21"/>
                <w:szCs w:val="21"/>
              </w:rPr>
            </w:pP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single" w:sz="12" w:space="0" w:color="000000"/>
              <w:left w:val="nil" w:sz="6" w:space="0" w:color="auto"/>
              <w:bottom w:val="nil" w:sz="6" w:space="0" w:color="auto"/>
              <w:right w:val="nil" w:sz="6" w:space="0" w:color="auto"/>
            </w:tcBorders>
          </w:tcPr>
          <w:p>
            <w:pPr>
              <w:pStyle w:val="TableParagraph"/>
              <w:tabs>
                <w:tab w:pos="1754" w:val="left" w:leader="none"/>
                <w:tab w:pos="2602" w:val="left" w:leader="none"/>
              </w:tabs>
              <w:spacing w:line="241" w:lineRule="exact"/>
              <w:ind w:left="160" w:right="0"/>
              <w:jc w:val="left"/>
              <w:rPr>
                <w:rFonts w:ascii="宋体" w:hAnsi="宋体" w:cs="宋体" w:eastAsia="宋体" w:hint="default"/>
                <w:sz w:val="21"/>
                <w:szCs w:val="21"/>
              </w:rPr>
            </w:pP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tc>
      </w:tr>
      <w:tr>
        <w:trPr>
          <w:trHeight w:val="934" w:hRule="exact"/>
        </w:trPr>
        <w:tc>
          <w:tcPr>
            <w:tcW w:w="500" w:type="dxa"/>
            <w:tcBorders>
              <w:top w:val="nil" w:sz="6" w:space="0" w:color="auto"/>
              <w:left w:val="nil" w:sz="6" w:space="0" w:color="auto"/>
              <w:bottom w:val="nil" w:sz="6" w:space="0" w:color="auto"/>
              <w:right w:val="nil" w:sz="6" w:space="0" w:color="auto"/>
            </w:tcBorders>
          </w:tcPr>
          <w:p>
            <w:pPr/>
          </w:p>
        </w:tc>
        <w:tc>
          <w:tcPr>
            <w:tcW w:w="5385" w:type="dxa"/>
            <w:tcBorders>
              <w:top w:val="nil" w:sz="6" w:space="0" w:color="auto"/>
              <w:left w:val="nil" w:sz="6" w:space="0" w:color="auto"/>
              <w:bottom w:val="single" w:sz="12" w:space="0" w:color="000000"/>
              <w:right w:val="nil" w:sz="6" w:space="0" w:color="auto"/>
            </w:tcBorders>
          </w:tcPr>
          <w:p>
            <w:pPr>
              <w:pStyle w:val="TableParagraph"/>
              <w:tabs>
                <w:tab w:pos="1607" w:val="left" w:leader="none"/>
                <w:tab w:pos="2750" w:val="left" w:leader="none"/>
                <w:tab w:pos="4272" w:val="left" w:leader="none"/>
              </w:tabs>
              <w:spacing w:line="287" w:lineRule="exact" w:before="90"/>
              <w:ind w:right="109"/>
              <w:jc w:val="right"/>
              <w:rPr>
                <w:rFonts w:ascii="Arial" w:hAnsi="Arial" w:cs="Arial" w:eastAsia="Arial" w:hint="default"/>
                <w:sz w:val="21"/>
                <w:szCs w:val="21"/>
              </w:rPr>
            </w:pPr>
            <w:r>
              <w:rPr>
                <w:rFonts w:ascii="宋体" w:hAnsi="宋体" w:cs="宋体" w:eastAsia="宋体" w:hint="default"/>
                <w:position w:val="1"/>
                <w:sz w:val="21"/>
                <w:szCs w:val="21"/>
              </w:rPr>
              <w:t>港币</w:t>
              <w:tab/>
            </w:r>
            <w:r>
              <w:rPr>
                <w:rFonts w:ascii="Arial" w:hAnsi="Arial" w:cs="Arial" w:eastAsia="Arial" w:hint="default"/>
                <w:spacing w:val="-1"/>
                <w:sz w:val="21"/>
                <w:szCs w:val="21"/>
              </w:rPr>
              <w:t>46,387</w:t>
              <w:tab/>
              <w:t>0.8301</w:t>
              <w:tab/>
              <w:t>38,506</w:t>
            </w:r>
          </w:p>
          <w:p>
            <w:pPr>
              <w:pStyle w:val="TableParagraph"/>
              <w:tabs>
                <w:tab w:pos="1492" w:val="left" w:leader="none"/>
                <w:tab w:pos="2750" w:val="left" w:leader="none"/>
                <w:tab w:pos="3727" w:val="left" w:leader="none"/>
                <w:tab w:pos="4270" w:val="left" w:leader="none"/>
                <w:tab w:pos="5002" w:val="left" w:leader="none"/>
              </w:tabs>
              <w:spacing w:line="287" w:lineRule="exact"/>
              <w:ind w:right="24"/>
              <w:jc w:val="right"/>
              <w:rPr>
                <w:rFonts w:ascii="Arial" w:hAnsi="Arial" w:cs="Arial" w:eastAsia="Arial" w:hint="default"/>
                <w:sz w:val="21"/>
                <w:szCs w:val="21"/>
              </w:rPr>
            </w:pPr>
            <w:r>
              <w:rPr>
                <w:rFonts w:ascii="宋体" w:hAnsi="宋体" w:cs="宋体" w:eastAsia="宋体" w:hint="default"/>
                <w:position w:val="1"/>
                <w:sz w:val="21"/>
                <w:szCs w:val="21"/>
              </w:rPr>
              <w:t>日元</w:t>
              <w:tab/>
            </w:r>
            <w:r>
              <w:rPr>
                <w:rFonts w:ascii="Arial" w:hAnsi="Arial" w:cs="Arial" w:eastAsia="Arial" w:hint="default"/>
                <w:spacing w:val="-1"/>
                <w:sz w:val="21"/>
                <w:szCs w:val="21"/>
              </w:rPr>
              <w:t>156,434</w:t>
              <w:tab/>
              <w:t>0.0830</w:t>
              <w:tab/>
            </w:r>
            <w:r>
              <w:rPr>
                <w:rFonts w:ascii="Arial" w:hAnsi="Arial" w:cs="Arial" w:eastAsia="Arial" w:hint="default"/>
                <w:spacing w:val="-1"/>
                <w:sz w:val="21"/>
                <w:szCs w:val="21"/>
                <w:u w:val="single" w:color="000000"/>
              </w:rPr>
              <w:t> </w:t>
              <w:tab/>
              <w:t>12,984</w:t>
              <w:tab/>
            </w:r>
            <w:r>
              <w:rPr>
                <w:rFonts w:ascii="Arial" w:hAnsi="Arial" w:cs="Arial" w:eastAsia="Arial" w:hint="default"/>
                <w:spacing w:val="-1"/>
                <w:sz w:val="21"/>
                <w:szCs w:val="21"/>
              </w:rPr>
            </w:r>
          </w:p>
          <w:p>
            <w:pPr>
              <w:pStyle w:val="TableParagraph"/>
              <w:spacing w:line="240" w:lineRule="auto" w:before="8"/>
              <w:ind w:right="111"/>
              <w:jc w:val="right"/>
              <w:rPr>
                <w:rFonts w:ascii="Arial" w:hAnsi="Arial" w:cs="Arial" w:eastAsia="Arial" w:hint="default"/>
                <w:sz w:val="21"/>
                <w:szCs w:val="21"/>
              </w:rPr>
            </w:pPr>
            <w:r>
              <w:rPr>
                <w:rFonts w:ascii="Arial"/>
                <w:spacing w:val="-1"/>
                <w:sz w:val="21"/>
              </w:rPr>
              <w:t>51,490</w:t>
            </w:r>
          </w:p>
        </w:tc>
        <w:tc>
          <w:tcPr>
            <w:tcW w:w="266" w:type="dxa"/>
            <w:tcBorders>
              <w:top w:val="nil" w:sz="6" w:space="0" w:color="auto"/>
              <w:left w:val="nil" w:sz="6" w:space="0" w:color="auto"/>
              <w:bottom w:val="nil" w:sz="6" w:space="0" w:color="auto"/>
              <w:right w:val="nil" w:sz="6" w:space="0" w:color="auto"/>
            </w:tcBorders>
          </w:tcPr>
          <w:p>
            <w:pPr/>
          </w:p>
        </w:tc>
        <w:tc>
          <w:tcPr>
            <w:tcW w:w="3874" w:type="dxa"/>
            <w:tcBorders>
              <w:top w:val="nil" w:sz="6" w:space="0" w:color="auto"/>
              <w:left w:val="nil" w:sz="6" w:space="0" w:color="auto"/>
              <w:bottom w:val="single" w:sz="12" w:space="0" w:color="000000"/>
              <w:right w:val="nil" w:sz="6" w:space="0" w:color="auto"/>
            </w:tcBorders>
          </w:tcPr>
          <w:p>
            <w:pPr>
              <w:pStyle w:val="TableParagraph"/>
              <w:tabs>
                <w:tab w:pos="1531" w:val="left" w:leader="none"/>
                <w:tab w:pos="3010" w:val="left" w:leader="none"/>
              </w:tabs>
              <w:spacing w:line="240" w:lineRule="auto" w:before="149"/>
              <w:ind w:left="357" w:right="0"/>
              <w:jc w:val="left"/>
              <w:rPr>
                <w:rFonts w:ascii="Arial" w:hAnsi="Arial" w:cs="Arial" w:eastAsia="Arial" w:hint="default"/>
                <w:sz w:val="21"/>
                <w:szCs w:val="21"/>
              </w:rPr>
            </w:pPr>
            <w:r>
              <w:rPr>
                <w:rFonts w:ascii="Arial"/>
                <w:spacing w:val="-1"/>
                <w:sz w:val="21"/>
              </w:rPr>
              <w:t>16,188</w:t>
              <w:tab/>
              <w:t>0.8509</w:t>
              <w:tab/>
              <w:t>13,774</w:t>
            </w:r>
          </w:p>
          <w:p>
            <w:pPr>
              <w:pStyle w:val="TableParagraph"/>
              <w:tabs>
                <w:tab w:pos="2105" w:val="left" w:leader="none"/>
                <w:tab w:pos="2496" w:val="left" w:leader="none"/>
                <w:tab w:pos="3775" w:val="left" w:leader="none"/>
              </w:tabs>
              <w:spacing w:line="247" w:lineRule="auto" w:before="32"/>
              <w:ind w:left="3010" w:right="79" w:hanging="2252"/>
              <w:jc w:val="left"/>
              <w:rPr>
                <w:rFonts w:ascii="Arial" w:hAnsi="Arial" w:cs="Arial" w:eastAsia="Arial" w:hint="default"/>
                <w:sz w:val="21"/>
                <w:szCs w:val="21"/>
              </w:rPr>
            </w:pPr>
            <w:r>
              <w:rPr>
                <w:rFonts w:ascii="Arial"/>
                <w:sz w:val="21"/>
              </w:rPr>
              <w:t>-</w:t>
              <w:tab/>
              <w:t>-</w:t>
              <w:tab/>
            </w:r>
            <w:r>
              <w:rPr>
                <w:rFonts w:ascii="Arial"/>
                <w:w w:val="100"/>
                <w:sz w:val="21"/>
              </w:rPr>
            </w:r>
            <w:r>
              <w:rPr>
                <w:rFonts w:ascii="Arial"/>
                <w:w w:val="100"/>
                <w:sz w:val="21"/>
                <w:u w:val="single" w:color="000000"/>
              </w:rPr>
              <w:t> </w:t>
            </w:r>
            <w:r>
              <w:rPr>
                <w:rFonts w:ascii="Arial"/>
                <w:sz w:val="21"/>
                <w:u w:val="single" w:color="000000"/>
              </w:rPr>
              <w:tab/>
              <w:tab/>
            </w:r>
            <w:r>
              <w:rPr>
                <w:rFonts w:ascii="Arial"/>
                <w:sz w:val="21"/>
              </w:rPr>
            </w:r>
            <w:r>
              <w:rPr>
                <w:rFonts w:ascii="Arial"/>
                <w:sz w:val="21"/>
              </w:rPr>
              <w:t> 13,774</w:t>
            </w:r>
          </w:p>
        </w:tc>
      </w:tr>
    </w:tbl>
    <w:p>
      <w:pPr>
        <w:spacing w:after="0" w:line="247" w:lineRule="auto"/>
        <w:jc w:val="left"/>
        <w:rPr>
          <w:rFonts w:ascii="Arial" w:hAnsi="Arial" w:cs="Arial" w:eastAsia="Arial" w:hint="default"/>
          <w:sz w:val="21"/>
          <w:szCs w:val="21"/>
        </w:rPr>
        <w:sectPr>
          <w:pgSz w:w="11910" w:h="16850"/>
          <w:pgMar w:header="1474" w:footer="956" w:top="2960" w:bottom="1140" w:left="98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776"/>
        <w:gridCol w:w="1555"/>
        <w:gridCol w:w="1191"/>
        <w:gridCol w:w="223"/>
        <w:gridCol w:w="979"/>
        <w:gridCol w:w="226"/>
        <w:gridCol w:w="1287"/>
        <w:gridCol w:w="230"/>
        <w:gridCol w:w="1114"/>
        <w:gridCol w:w="223"/>
        <w:gridCol w:w="982"/>
        <w:gridCol w:w="223"/>
        <w:gridCol w:w="1152"/>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274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Arial" w:hAnsi="Arial" w:cs="Arial" w:eastAsia="Arial" w:hint="default"/>
                <w:sz w:val="24"/>
                <w:szCs w:val="24"/>
              </w:rPr>
            </w:r>
          </w:p>
        </w:tc>
        <w:tc>
          <w:tcPr>
            <w:tcW w:w="223"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8" w:right="0"/>
              <w:jc w:val="left"/>
              <w:rPr>
                <w:rFonts w:ascii="Arial" w:hAnsi="Arial" w:cs="Arial" w:eastAsia="Arial" w:hint="default"/>
                <w:sz w:val="24"/>
                <w:szCs w:val="24"/>
              </w:rPr>
            </w:pP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79" w:type="dxa"/>
            <w:tcBorders>
              <w:top w:val="single" w:sz="6" w:space="0" w:color="000000"/>
              <w:left w:val="nil" w:sz="6" w:space="0" w:color="auto"/>
              <w:bottom w:val="nil" w:sz="6" w:space="0" w:color="auto"/>
              <w:right w:val="nil" w:sz="6" w:space="0" w:color="auto"/>
            </w:tcBorders>
          </w:tcPr>
          <w:p>
            <w:pPr/>
          </w:p>
        </w:tc>
        <w:tc>
          <w:tcPr>
            <w:tcW w:w="226" w:type="dxa"/>
            <w:tcBorders>
              <w:top w:val="single" w:sz="6" w:space="0" w:color="000000"/>
              <w:left w:val="nil" w:sz="6" w:space="0" w:color="auto"/>
              <w:bottom w:val="nil" w:sz="6" w:space="0" w:color="auto"/>
              <w:right w:val="nil" w:sz="6" w:space="0" w:color="auto"/>
            </w:tcBorders>
          </w:tcPr>
          <w:p>
            <w:pPr/>
          </w:p>
        </w:tc>
        <w:tc>
          <w:tcPr>
            <w:tcW w:w="1287" w:type="dxa"/>
            <w:tcBorders>
              <w:top w:val="single" w:sz="6" w:space="0" w:color="000000"/>
              <w:left w:val="nil" w:sz="6" w:space="0" w:color="auto"/>
              <w:bottom w:val="nil" w:sz="6" w:space="0" w:color="auto"/>
              <w:right w:val="nil" w:sz="6" w:space="0" w:color="auto"/>
            </w:tcBorders>
          </w:tcPr>
          <w:p>
            <w:pPr/>
          </w:p>
        </w:tc>
        <w:tc>
          <w:tcPr>
            <w:tcW w:w="230" w:type="dxa"/>
            <w:tcBorders>
              <w:top w:val="single" w:sz="6" w:space="0" w:color="000000"/>
              <w:left w:val="nil" w:sz="6" w:space="0" w:color="auto"/>
              <w:bottom w:val="nil" w:sz="6" w:space="0" w:color="auto"/>
              <w:right w:val="nil" w:sz="6" w:space="0" w:color="auto"/>
            </w:tcBorders>
          </w:tcPr>
          <w:p>
            <w:pPr/>
          </w:p>
        </w:tc>
        <w:tc>
          <w:tcPr>
            <w:tcW w:w="1114" w:type="dxa"/>
            <w:tcBorders>
              <w:top w:val="single" w:sz="6" w:space="0" w:color="000000"/>
              <w:left w:val="nil" w:sz="6" w:space="0" w:color="auto"/>
              <w:bottom w:val="nil" w:sz="6" w:space="0" w:color="auto"/>
              <w:right w:val="nil" w:sz="6" w:space="0" w:color="auto"/>
            </w:tcBorders>
          </w:tcPr>
          <w:p>
            <w:pPr/>
          </w:p>
        </w:tc>
        <w:tc>
          <w:tcPr>
            <w:tcW w:w="223" w:type="dxa"/>
            <w:tcBorders>
              <w:top w:val="single" w:sz="6" w:space="0" w:color="000000"/>
              <w:left w:val="nil" w:sz="6" w:space="0" w:color="auto"/>
              <w:bottom w:val="nil" w:sz="6" w:space="0" w:color="auto"/>
              <w:right w:val="nil" w:sz="6" w:space="0" w:color="auto"/>
            </w:tcBorders>
          </w:tcPr>
          <w:p>
            <w:pPr/>
          </w:p>
        </w:tc>
        <w:tc>
          <w:tcPr>
            <w:tcW w:w="982" w:type="dxa"/>
            <w:tcBorders>
              <w:top w:val="single" w:sz="6" w:space="0" w:color="000000"/>
              <w:left w:val="nil" w:sz="6" w:space="0" w:color="auto"/>
              <w:bottom w:val="nil" w:sz="6" w:space="0" w:color="auto"/>
              <w:right w:val="nil" w:sz="6" w:space="0" w:color="auto"/>
            </w:tcBorders>
          </w:tcPr>
          <w:p>
            <w:pPr/>
          </w:p>
        </w:tc>
        <w:tc>
          <w:tcPr>
            <w:tcW w:w="223" w:type="dxa"/>
            <w:tcBorders>
              <w:top w:val="single" w:sz="6" w:space="0" w:color="000000"/>
              <w:left w:val="nil" w:sz="6" w:space="0" w:color="auto"/>
              <w:bottom w:val="nil" w:sz="6" w:space="0" w:color="auto"/>
              <w:right w:val="nil" w:sz="6" w:space="0" w:color="auto"/>
            </w:tcBorders>
          </w:tcPr>
          <w:p>
            <w:pPr/>
          </w:p>
        </w:tc>
        <w:tc>
          <w:tcPr>
            <w:tcW w:w="1152" w:type="dxa"/>
            <w:tcBorders>
              <w:top w:val="single" w:sz="6" w:space="0" w:color="000000"/>
              <w:left w:val="nil" w:sz="6" w:space="0" w:color="auto"/>
              <w:bottom w:val="nil" w:sz="6" w:space="0" w:color="auto"/>
              <w:right w:val="nil" w:sz="6" w:space="0" w:color="auto"/>
            </w:tcBorders>
          </w:tcPr>
          <w:p>
            <w:pPr/>
          </w:p>
        </w:tc>
      </w:tr>
      <w:tr>
        <w:trPr>
          <w:trHeight w:val="58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存货</w:t>
            </w:r>
            <w:r>
              <w:rPr>
                <w:rFonts w:ascii="宋体" w:hAnsi="宋体" w:cs="宋体" w:eastAsia="宋体" w:hint="default"/>
                <w:sz w:val="24"/>
                <w:szCs w:val="24"/>
              </w:rPr>
            </w:r>
          </w:p>
        </w:tc>
        <w:tc>
          <w:tcPr>
            <w:tcW w:w="119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5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27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36" w:right="0"/>
              <w:jc w:val="left"/>
              <w:rPr>
                <w:rFonts w:ascii="宋体" w:hAnsi="宋体" w:cs="宋体" w:eastAsia="宋体" w:hint="default"/>
                <w:sz w:val="24"/>
                <w:szCs w:val="24"/>
              </w:rPr>
            </w:pPr>
            <w:r>
              <w:rPr>
                <w:rFonts w:ascii="宋体" w:hAnsi="宋体" w:cs="宋体" w:eastAsia="宋体" w:hint="default"/>
                <w:sz w:val="24"/>
                <w:szCs w:val="24"/>
              </w:rPr>
              <w:t>存货分类如下：</w:t>
            </w:r>
          </w:p>
        </w:tc>
        <w:tc>
          <w:tcPr>
            <w:tcW w:w="223"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294" w:hRule="exact"/>
        </w:trPr>
        <w:tc>
          <w:tcPr>
            <w:tcW w:w="77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3906" w:type="dxa"/>
            <w:gridSpan w:val="5"/>
            <w:tcBorders>
              <w:top w:val="nil" w:sz="6" w:space="0" w:color="auto"/>
              <w:left w:val="nil" w:sz="6" w:space="0" w:color="auto"/>
              <w:bottom w:val="single" w:sz="12" w:space="0" w:color="000000"/>
              <w:right w:val="nil" w:sz="6" w:space="0" w:color="auto"/>
            </w:tcBorders>
          </w:tcPr>
          <w:p>
            <w:pPr>
              <w:pStyle w:val="TableParagraph"/>
              <w:spacing w:line="261" w:lineRule="exact"/>
              <w:ind w:left="1049"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925" w:type="dxa"/>
            <w:gridSpan w:val="6"/>
            <w:tcBorders>
              <w:top w:val="nil" w:sz="6" w:space="0" w:color="auto"/>
              <w:left w:val="nil" w:sz="6" w:space="0" w:color="auto"/>
              <w:bottom w:val="nil" w:sz="6" w:space="0" w:color="auto"/>
              <w:right w:val="nil" w:sz="6" w:space="0" w:color="auto"/>
            </w:tcBorders>
          </w:tcPr>
          <w:p>
            <w:pPr>
              <w:pStyle w:val="TableParagraph"/>
              <w:spacing w:line="261" w:lineRule="exact"/>
              <w:ind w:left="117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698" w:hRule="exact"/>
        </w:trPr>
        <w:tc>
          <w:tcPr>
            <w:tcW w:w="77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191" w:type="dxa"/>
            <w:tcBorders>
              <w:top w:val="single" w:sz="12" w:space="0" w:color="000000"/>
              <w:left w:val="nil" w:sz="6" w:space="0" w:color="auto"/>
              <w:bottom w:val="nil" w:sz="6" w:space="0" w:color="auto"/>
              <w:right w:val="nil" w:sz="6" w:space="0" w:color="auto"/>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684"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223" w:type="dxa"/>
            <w:tcBorders>
              <w:top w:val="single" w:sz="12" w:space="0" w:color="000000"/>
              <w:left w:val="nil" w:sz="6" w:space="0" w:color="auto"/>
              <w:bottom w:val="nil" w:sz="6" w:space="0" w:color="auto"/>
              <w:right w:val="nil" w:sz="6" w:space="0" w:color="auto"/>
            </w:tcBorders>
          </w:tcPr>
          <w:p>
            <w:pPr/>
          </w:p>
        </w:tc>
        <w:tc>
          <w:tcPr>
            <w:tcW w:w="979" w:type="dxa"/>
            <w:tcBorders>
              <w:top w:val="single" w:sz="12" w:space="0" w:color="000000"/>
              <w:left w:val="nil" w:sz="6" w:space="0" w:color="auto"/>
              <w:bottom w:val="nil" w:sz="6" w:space="0" w:color="auto"/>
              <w:right w:val="nil" w:sz="6" w:space="0" w:color="auto"/>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存货跌</w:t>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sz w:val="21"/>
                <w:szCs w:val="21"/>
              </w:rPr>
              <w:t>价准备</w:t>
            </w:r>
          </w:p>
        </w:tc>
        <w:tc>
          <w:tcPr>
            <w:tcW w:w="226" w:type="dxa"/>
            <w:tcBorders>
              <w:top w:val="single" w:sz="12" w:space="0" w:color="000000"/>
              <w:left w:val="nil" w:sz="6" w:space="0" w:color="auto"/>
              <w:bottom w:val="nil" w:sz="6" w:space="0" w:color="auto"/>
              <w:right w:val="nil" w:sz="6" w:space="0" w:color="auto"/>
            </w:tcBorders>
          </w:tcPr>
          <w:p>
            <w:pPr/>
          </w:p>
        </w:tc>
        <w:tc>
          <w:tcPr>
            <w:tcW w:w="1287" w:type="dxa"/>
            <w:tcBorders>
              <w:top w:val="single" w:sz="12" w:space="0" w:color="000000"/>
              <w:left w:val="nil" w:sz="6" w:space="0" w:color="auto"/>
              <w:bottom w:val="nil" w:sz="6" w:space="0" w:color="auto"/>
              <w:right w:val="nil" w:sz="6" w:space="0" w:color="auto"/>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78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single" w:sz="12" w:space="0" w:color="000000"/>
              <w:left w:val="nil" w:sz="6" w:space="0" w:color="auto"/>
              <w:bottom w:val="nil" w:sz="6" w:space="0" w:color="auto"/>
              <w:right w:val="nil" w:sz="6" w:space="0" w:color="auto"/>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607"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223" w:type="dxa"/>
            <w:tcBorders>
              <w:top w:val="single" w:sz="12" w:space="0" w:color="000000"/>
              <w:left w:val="nil" w:sz="6" w:space="0" w:color="auto"/>
              <w:bottom w:val="nil" w:sz="6" w:space="0" w:color="auto"/>
              <w:right w:val="nil" w:sz="6" w:space="0" w:color="auto"/>
            </w:tcBorders>
          </w:tcPr>
          <w:p>
            <w:pPr/>
          </w:p>
        </w:tc>
        <w:tc>
          <w:tcPr>
            <w:tcW w:w="982" w:type="dxa"/>
            <w:tcBorders>
              <w:top w:val="single" w:sz="12" w:space="0" w:color="000000"/>
              <w:left w:val="nil" w:sz="6" w:space="0" w:color="auto"/>
              <w:bottom w:val="nil" w:sz="6" w:space="0" w:color="auto"/>
              <w:right w:val="nil" w:sz="6" w:space="0" w:color="auto"/>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存货跌</w:t>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sz w:val="21"/>
                <w:szCs w:val="21"/>
              </w:rPr>
              <w:t>价准备</w:t>
            </w:r>
          </w:p>
        </w:tc>
        <w:tc>
          <w:tcPr>
            <w:tcW w:w="223" w:type="dxa"/>
            <w:tcBorders>
              <w:top w:val="single" w:sz="12" w:space="0" w:color="000000"/>
              <w:left w:val="nil" w:sz="6" w:space="0" w:color="auto"/>
              <w:bottom w:val="nil" w:sz="6" w:space="0" w:color="auto"/>
              <w:right w:val="nil" w:sz="6" w:space="0" w:color="auto"/>
            </w:tcBorders>
          </w:tcPr>
          <w:p>
            <w:pPr/>
          </w:p>
        </w:tc>
        <w:tc>
          <w:tcPr>
            <w:tcW w:w="1152" w:type="dxa"/>
            <w:tcBorders>
              <w:top w:val="single" w:sz="12" w:space="0" w:color="000000"/>
              <w:left w:val="nil" w:sz="6" w:space="0" w:color="auto"/>
              <w:bottom w:val="nil" w:sz="6" w:space="0" w:color="auto"/>
              <w:right w:val="nil" w:sz="6" w:space="0" w:color="auto"/>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647"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423" w:hRule="exact"/>
        </w:trPr>
        <w:tc>
          <w:tcPr>
            <w:tcW w:w="77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3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4"/>
              <w:jc w:val="center"/>
              <w:rPr>
                <w:rFonts w:ascii="Arial" w:hAnsi="Arial" w:cs="Arial" w:eastAsia="Arial" w:hint="default"/>
                <w:sz w:val="21"/>
                <w:szCs w:val="21"/>
              </w:rPr>
            </w:pPr>
            <w:r>
              <w:rPr>
                <w:rFonts w:ascii="Arial"/>
                <w:sz w:val="21"/>
              </w:rPr>
              <w:t>13,390,755</w:t>
            </w:r>
          </w:p>
        </w:tc>
        <w:tc>
          <w:tcPr>
            <w:tcW w:w="223"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41" w:right="0"/>
              <w:jc w:val="center"/>
              <w:rPr>
                <w:rFonts w:ascii="Arial" w:hAnsi="Arial" w:cs="Arial" w:eastAsia="Arial" w:hint="default"/>
                <w:sz w:val="21"/>
                <w:szCs w:val="21"/>
              </w:rPr>
            </w:pPr>
            <w:r>
              <w:rPr>
                <w:rFonts w:ascii="Arial"/>
                <w:sz w:val="21"/>
              </w:rPr>
              <w:t>(41,534)</w:t>
            </w:r>
          </w:p>
        </w:tc>
        <w:tc>
          <w:tcPr>
            <w:tcW w:w="22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6" w:right="0"/>
              <w:jc w:val="center"/>
              <w:rPr>
                <w:rFonts w:ascii="Arial" w:hAnsi="Arial" w:cs="Arial" w:eastAsia="Arial" w:hint="default"/>
                <w:sz w:val="21"/>
                <w:szCs w:val="21"/>
              </w:rPr>
            </w:pPr>
            <w:r>
              <w:rPr>
                <w:rFonts w:ascii="Arial"/>
                <w:sz w:val="21"/>
              </w:rPr>
              <w:t>13,349,221</w:t>
            </w: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 w:right="0"/>
              <w:jc w:val="center"/>
              <w:rPr>
                <w:rFonts w:ascii="Arial" w:hAnsi="Arial" w:cs="Arial" w:eastAsia="Arial" w:hint="default"/>
                <w:sz w:val="21"/>
                <w:szCs w:val="21"/>
              </w:rPr>
            </w:pPr>
            <w:r>
              <w:rPr>
                <w:rFonts w:ascii="Arial"/>
                <w:sz w:val="21"/>
              </w:rPr>
              <w:t>9,481,736</w:t>
            </w:r>
          </w:p>
        </w:tc>
        <w:tc>
          <w:tcPr>
            <w:tcW w:w="223"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9" w:right="0"/>
              <w:jc w:val="center"/>
              <w:rPr>
                <w:rFonts w:ascii="Arial" w:hAnsi="Arial" w:cs="Arial" w:eastAsia="Arial" w:hint="default"/>
                <w:sz w:val="21"/>
                <w:szCs w:val="21"/>
              </w:rPr>
            </w:pPr>
            <w:r>
              <w:rPr>
                <w:rFonts w:ascii="Arial"/>
                <w:sz w:val="21"/>
              </w:rPr>
              <w:t>(57,159)</w:t>
            </w:r>
          </w:p>
        </w:tc>
        <w:tc>
          <w:tcPr>
            <w:tcW w:w="223"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2" w:right="0"/>
              <w:jc w:val="center"/>
              <w:rPr>
                <w:rFonts w:ascii="Arial" w:hAnsi="Arial" w:cs="Arial" w:eastAsia="Arial" w:hint="default"/>
                <w:sz w:val="21"/>
                <w:szCs w:val="21"/>
              </w:rPr>
            </w:pPr>
            <w:r>
              <w:rPr>
                <w:rFonts w:ascii="Arial"/>
                <w:sz w:val="21"/>
              </w:rPr>
              <w:t>9,424,577</w:t>
            </w:r>
          </w:p>
        </w:tc>
      </w:tr>
      <w:tr>
        <w:trPr>
          <w:trHeight w:val="548" w:hRule="exact"/>
        </w:trPr>
        <w:tc>
          <w:tcPr>
            <w:tcW w:w="77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30" w:lineRule="exact"/>
              <w:ind w:left="136" w:right="0"/>
              <w:jc w:val="left"/>
              <w:rPr>
                <w:rFonts w:ascii="宋体" w:hAnsi="宋体" w:cs="宋体" w:eastAsia="宋体" w:hint="default"/>
                <w:sz w:val="21"/>
                <w:szCs w:val="21"/>
              </w:rPr>
            </w:pPr>
            <w:r>
              <w:rPr>
                <w:rFonts w:ascii="宋体" w:hAnsi="宋体" w:cs="宋体" w:eastAsia="宋体" w:hint="default"/>
                <w:spacing w:val="9"/>
                <w:sz w:val="21"/>
                <w:szCs w:val="21"/>
              </w:rPr>
              <w:t>安装维修用备</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458" w:val="left" w:leader="none"/>
                <w:tab w:pos="1190" w:val="left" w:leader="none"/>
              </w:tabs>
              <w:spacing w:line="240" w:lineRule="auto"/>
              <w:ind w:left="-1"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77,520</w:t>
              <w:tab/>
            </w:r>
            <w:r>
              <w:rPr>
                <w:rFonts w:ascii="Arial"/>
                <w:sz w:val="21"/>
              </w:rPr>
            </w:r>
          </w:p>
        </w:tc>
        <w:tc>
          <w:tcPr>
            <w:tcW w:w="223"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813" w:val="left" w:leader="none"/>
              </w:tabs>
              <w:spacing w:line="240" w:lineRule="auto"/>
              <w:ind w:left="14"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22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535" w:val="left" w:leader="none"/>
                <w:tab w:pos="1286" w:val="left" w:leader="none"/>
              </w:tabs>
              <w:spacing w:line="240" w:lineRule="auto"/>
              <w:ind w:left="14"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77,520</w:t>
              <w:tab/>
            </w:r>
            <w:r>
              <w:rPr>
                <w:rFonts w:ascii="Arial"/>
                <w:sz w:val="21"/>
              </w:rPr>
            </w: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383" w:val="left" w:leader="none"/>
                <w:tab w:pos="1113" w:val="left" w:leader="none"/>
              </w:tabs>
              <w:spacing w:line="240" w:lineRule="auto"/>
              <w:ind w:left="7"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49,872</w:t>
              <w:tab/>
            </w:r>
            <w:r>
              <w:rPr>
                <w:rFonts w:ascii="Arial"/>
                <w:sz w:val="21"/>
              </w:rPr>
            </w:r>
          </w:p>
        </w:tc>
        <w:tc>
          <w:tcPr>
            <w:tcW w:w="223"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756" w:val="left" w:leader="none"/>
                <w:tab w:pos="982" w:val="left" w:leader="none"/>
              </w:tabs>
              <w:spacing w:line="240" w:lineRule="auto"/>
              <w:ind w:left="14" w:right="-1"/>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223"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tabs>
                <w:tab w:pos="424" w:val="left" w:leader="none"/>
                <w:tab w:pos="1151" w:val="left" w:leader="none"/>
              </w:tabs>
              <w:spacing w:line="240" w:lineRule="auto"/>
              <w:ind w:left="14" w:right="0"/>
              <w:jc w:val="center"/>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49,872</w:t>
              <w:tab/>
            </w:r>
            <w:r>
              <w:rPr>
                <w:rFonts w:ascii="Arial"/>
                <w:sz w:val="21"/>
              </w:rPr>
            </w:r>
          </w:p>
        </w:tc>
      </w:tr>
      <w:tr>
        <w:trPr>
          <w:trHeight w:val="256" w:hRule="exact"/>
        </w:trPr>
        <w:tc>
          <w:tcPr>
            <w:tcW w:w="77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single" w:sz="12" w:space="0" w:color="000000"/>
              <w:right w:val="nil" w:sz="6" w:space="0" w:color="auto"/>
            </w:tcBorders>
          </w:tcPr>
          <w:p>
            <w:pPr>
              <w:pStyle w:val="TableParagraph"/>
              <w:spacing w:line="236" w:lineRule="exact"/>
              <w:ind w:right="34"/>
              <w:jc w:val="center"/>
              <w:rPr>
                <w:rFonts w:ascii="Arial" w:hAnsi="Arial" w:cs="Arial" w:eastAsia="Arial" w:hint="default"/>
                <w:sz w:val="21"/>
                <w:szCs w:val="21"/>
              </w:rPr>
            </w:pPr>
            <w:r>
              <w:rPr>
                <w:rFonts w:ascii="Arial"/>
                <w:sz w:val="21"/>
              </w:rPr>
              <w:t>13,468,275</w:t>
            </w:r>
          </w:p>
        </w:tc>
        <w:tc>
          <w:tcPr>
            <w:tcW w:w="223"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12" w:space="0" w:color="000000"/>
              <w:right w:val="nil" w:sz="6" w:space="0" w:color="auto"/>
            </w:tcBorders>
          </w:tcPr>
          <w:p>
            <w:pPr>
              <w:pStyle w:val="TableParagraph"/>
              <w:spacing w:line="236" w:lineRule="exact"/>
              <w:ind w:left="141" w:right="0"/>
              <w:jc w:val="center"/>
              <w:rPr>
                <w:rFonts w:ascii="Arial" w:hAnsi="Arial" w:cs="Arial" w:eastAsia="Arial" w:hint="default"/>
                <w:sz w:val="21"/>
                <w:szCs w:val="21"/>
              </w:rPr>
            </w:pPr>
            <w:r>
              <w:rPr>
                <w:rFonts w:ascii="Arial"/>
                <w:sz w:val="21"/>
              </w:rPr>
              <w:t>(41,534)</w:t>
            </w:r>
          </w:p>
        </w:tc>
        <w:tc>
          <w:tcPr>
            <w:tcW w:w="22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12" w:space="0" w:color="000000"/>
              <w:right w:val="nil" w:sz="6" w:space="0" w:color="auto"/>
            </w:tcBorders>
          </w:tcPr>
          <w:p>
            <w:pPr>
              <w:pStyle w:val="TableParagraph"/>
              <w:spacing w:line="236" w:lineRule="exact"/>
              <w:ind w:left="21" w:right="0"/>
              <w:jc w:val="center"/>
              <w:rPr>
                <w:rFonts w:ascii="Arial" w:hAnsi="Arial" w:cs="Arial" w:eastAsia="Arial" w:hint="default"/>
                <w:sz w:val="21"/>
                <w:szCs w:val="21"/>
              </w:rPr>
            </w:pPr>
            <w:r>
              <w:rPr>
                <w:rFonts w:ascii="Arial"/>
                <w:sz w:val="21"/>
              </w:rPr>
              <w:t>13,426,741</w:t>
            </w:r>
          </w:p>
        </w:tc>
        <w:tc>
          <w:tcPr>
            <w:tcW w:w="23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12" w:space="0" w:color="000000"/>
              <w:right w:val="nil" w:sz="6" w:space="0" w:color="auto"/>
            </w:tcBorders>
          </w:tcPr>
          <w:p>
            <w:pPr>
              <w:pStyle w:val="TableParagraph"/>
              <w:spacing w:line="236" w:lineRule="exact"/>
              <w:ind w:left="9" w:right="0"/>
              <w:jc w:val="center"/>
              <w:rPr>
                <w:rFonts w:ascii="Arial" w:hAnsi="Arial" w:cs="Arial" w:eastAsia="Arial" w:hint="default"/>
                <w:sz w:val="21"/>
                <w:szCs w:val="21"/>
              </w:rPr>
            </w:pPr>
            <w:r>
              <w:rPr>
                <w:rFonts w:ascii="Arial"/>
                <w:sz w:val="21"/>
              </w:rPr>
              <w:t>9,531,608</w:t>
            </w:r>
          </w:p>
        </w:tc>
        <w:tc>
          <w:tcPr>
            <w:tcW w:w="223"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12" w:space="0" w:color="000000"/>
              <w:right w:val="nil" w:sz="6" w:space="0" w:color="auto"/>
            </w:tcBorders>
          </w:tcPr>
          <w:p>
            <w:pPr>
              <w:pStyle w:val="TableParagraph"/>
              <w:spacing w:line="236" w:lineRule="exact"/>
              <w:ind w:left="29" w:right="0"/>
              <w:jc w:val="center"/>
              <w:rPr>
                <w:rFonts w:ascii="Arial" w:hAnsi="Arial" w:cs="Arial" w:eastAsia="Arial" w:hint="default"/>
                <w:sz w:val="21"/>
                <w:szCs w:val="21"/>
              </w:rPr>
            </w:pPr>
            <w:r>
              <w:rPr>
                <w:rFonts w:ascii="Arial"/>
                <w:sz w:val="21"/>
              </w:rPr>
              <w:t>(57,159)</w:t>
            </w:r>
          </w:p>
        </w:tc>
        <w:tc>
          <w:tcPr>
            <w:tcW w:w="223"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12" w:space="0" w:color="000000"/>
              <w:right w:val="nil" w:sz="6" w:space="0" w:color="auto"/>
            </w:tcBorders>
          </w:tcPr>
          <w:p>
            <w:pPr>
              <w:pStyle w:val="TableParagraph"/>
              <w:spacing w:line="236" w:lineRule="exact"/>
              <w:ind w:left="52" w:right="0"/>
              <w:jc w:val="center"/>
              <w:rPr>
                <w:rFonts w:ascii="Arial" w:hAnsi="Arial" w:cs="Arial" w:eastAsia="Arial" w:hint="default"/>
                <w:sz w:val="21"/>
                <w:szCs w:val="21"/>
              </w:rPr>
            </w:pPr>
            <w:r>
              <w:rPr>
                <w:rFonts w:ascii="Arial"/>
                <w:sz w:val="21"/>
              </w:rPr>
              <w:t>9,474,449</w:t>
            </w:r>
          </w:p>
        </w:tc>
      </w:tr>
    </w:tbl>
    <w:p>
      <w:pPr>
        <w:spacing w:line="240" w:lineRule="auto" w:before="4"/>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702"/>
        <w:gridCol w:w="1909"/>
        <w:gridCol w:w="2076"/>
        <w:gridCol w:w="1943"/>
        <w:gridCol w:w="1835"/>
        <w:gridCol w:w="1846"/>
      </w:tblGrid>
      <w:tr>
        <w:trPr>
          <w:trHeight w:val="419"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986"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8" w:right="0"/>
              <w:jc w:val="left"/>
              <w:rPr>
                <w:rFonts w:ascii="宋体" w:hAnsi="宋体" w:cs="宋体" w:eastAsia="宋体" w:hint="default"/>
                <w:sz w:val="24"/>
                <w:szCs w:val="24"/>
              </w:rPr>
            </w:pPr>
            <w:r>
              <w:rPr>
                <w:rFonts w:ascii="宋体" w:hAnsi="宋体" w:cs="宋体" w:eastAsia="宋体" w:hint="default"/>
                <w:sz w:val="24"/>
                <w:szCs w:val="24"/>
              </w:rPr>
              <w:t>存货跌价准备分析如下：</w:t>
            </w:r>
          </w:p>
        </w:tc>
        <w:tc>
          <w:tcPr>
            <w:tcW w:w="1943"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906" w:hRule="exact"/>
        </w:trPr>
        <w:tc>
          <w:tcPr>
            <w:tcW w:w="70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
        </w:tc>
        <w:tc>
          <w:tcPr>
            <w:tcW w:w="2076"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80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44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440" w:right="0"/>
              <w:jc w:val="left"/>
              <w:rPr>
                <w:rFonts w:ascii="宋体" w:hAnsi="宋体" w:cs="宋体" w:eastAsia="宋体" w:hint="default"/>
                <w:sz w:val="24"/>
                <w:szCs w:val="24"/>
              </w:rPr>
            </w:pPr>
            <w:r>
              <w:rPr>
                <w:rFonts w:ascii="宋体" w:hAnsi="宋体" w:cs="宋体" w:eastAsia="宋体" w:hint="default"/>
                <w:sz w:val="24"/>
                <w:szCs w:val="24"/>
              </w:rPr>
              <w:t>本年计提</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480" w:right="0"/>
              <w:jc w:val="left"/>
              <w:rPr>
                <w:rFonts w:ascii="宋体" w:hAnsi="宋体" w:cs="宋体" w:eastAsia="宋体" w:hint="default"/>
                <w:sz w:val="24"/>
                <w:szCs w:val="24"/>
              </w:rPr>
            </w:pPr>
            <w:r>
              <w:rPr>
                <w:rFonts w:ascii="宋体" w:hAnsi="宋体" w:cs="宋体" w:eastAsia="宋体" w:hint="default"/>
                <w:sz w:val="24"/>
                <w:szCs w:val="24"/>
              </w:rPr>
              <w:t>本年转销</w:t>
            </w:r>
          </w:p>
        </w:tc>
        <w:tc>
          <w:tcPr>
            <w:tcW w:w="1846"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771"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39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39" w:hRule="exact"/>
        </w:trPr>
        <w:tc>
          <w:tcPr>
            <w:tcW w:w="702"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8"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076" w:type="dxa"/>
            <w:tcBorders>
              <w:top w:val="nil" w:sz="6" w:space="0" w:color="auto"/>
              <w:left w:val="nil" w:sz="6" w:space="0" w:color="auto"/>
              <w:bottom w:val="nil" w:sz="6" w:space="0" w:color="auto"/>
              <w:right w:val="nil" w:sz="6" w:space="0" w:color="auto"/>
            </w:tcBorders>
          </w:tcPr>
          <w:p>
            <w:pPr>
              <w:pStyle w:val="TableParagraph"/>
              <w:tabs>
                <w:tab w:pos="740" w:val="left" w:leader="none"/>
                <w:tab w:pos="2010" w:val="left" w:leader="none"/>
                <w:tab w:pos="2643" w:val="left" w:leader="none"/>
              </w:tabs>
              <w:spacing w:line="240" w:lineRule="auto" w:before="168"/>
              <w:ind w:left="166" w:right="-56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(57,159) </w:t>
            </w:r>
            <w:r>
              <w:rPr>
                <w:rFonts w:ascii="Arial"/>
                <w:spacing w:val="-28"/>
                <w:sz w:val="24"/>
                <w:u w:val="thick" w:color="000000"/>
              </w:rPr>
              <w:t> </w:t>
            </w:r>
            <w:r>
              <w:rPr>
                <w:rFonts w:ascii="Arial"/>
                <w:spacing w:val="-2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43" w:type="dxa"/>
            <w:tcBorders>
              <w:top w:val="nil" w:sz="6" w:space="0" w:color="auto"/>
              <w:left w:val="nil" w:sz="6" w:space="0" w:color="auto"/>
              <w:bottom w:val="nil" w:sz="6" w:space="0" w:color="auto"/>
              <w:right w:val="nil" w:sz="6" w:space="0" w:color="auto"/>
            </w:tcBorders>
          </w:tcPr>
          <w:p>
            <w:pPr>
              <w:pStyle w:val="TableParagraph"/>
              <w:tabs>
                <w:tab w:pos="1775" w:val="left" w:leader="none"/>
                <w:tab w:pos="2636" w:val="left" w:leader="none"/>
              </w:tabs>
              <w:spacing w:line="240" w:lineRule="auto" w:before="168"/>
              <w:ind w:left="567" w:right="-694"/>
              <w:jc w:val="left"/>
              <w:rPr>
                <w:rFonts w:ascii="Arial" w:hAnsi="Arial" w:cs="Arial" w:eastAsia="Arial" w:hint="default"/>
                <w:sz w:val="24"/>
                <w:szCs w:val="24"/>
              </w:rPr>
            </w:pPr>
            <w:r>
              <w:rPr>
                <w:rFonts w:ascii="Arial"/>
                <w:w w:val="99"/>
                <w:sz w:val="24"/>
              </w:rPr>
            </w:r>
            <w:r>
              <w:rPr>
                <w:rFonts w:ascii="Arial"/>
                <w:sz w:val="24"/>
                <w:u w:val="thick" w:color="000000"/>
              </w:rPr>
              <w:t>(34,445)</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35" w:type="dxa"/>
            <w:tcBorders>
              <w:top w:val="nil" w:sz="6" w:space="0" w:color="auto"/>
              <w:left w:val="nil" w:sz="6" w:space="0" w:color="auto"/>
              <w:bottom w:val="nil" w:sz="6" w:space="0" w:color="auto"/>
              <w:right w:val="nil" w:sz="6" w:space="0" w:color="auto"/>
            </w:tcBorders>
          </w:tcPr>
          <w:p>
            <w:pPr>
              <w:pStyle w:val="TableParagraph"/>
              <w:tabs>
                <w:tab w:pos="1548" w:val="left" w:leader="none"/>
              </w:tabs>
              <w:spacing w:line="240" w:lineRule="auto" w:before="168"/>
              <w:ind w:left="693" w:right="0"/>
              <w:jc w:val="left"/>
              <w:rPr>
                <w:rFonts w:ascii="Arial" w:hAnsi="Arial" w:cs="Arial" w:eastAsia="Arial" w:hint="default"/>
                <w:sz w:val="24"/>
                <w:szCs w:val="24"/>
              </w:rPr>
            </w:pPr>
            <w:r>
              <w:rPr>
                <w:rFonts w:ascii="Arial"/>
                <w:w w:val="99"/>
                <w:sz w:val="24"/>
              </w:rPr>
            </w:r>
            <w:r>
              <w:rPr>
                <w:rFonts w:ascii="Arial"/>
                <w:sz w:val="24"/>
                <w:u w:val="thick" w:color="000000"/>
              </w:rPr>
              <w:t>50,070</w:t>
              <w:tab/>
            </w:r>
            <w:r>
              <w:rPr>
                <w:rFonts w:ascii="Arial"/>
                <w:sz w:val="24"/>
              </w:rPr>
            </w:r>
          </w:p>
        </w:tc>
        <w:tc>
          <w:tcPr>
            <w:tcW w:w="1846" w:type="dxa"/>
            <w:tcBorders>
              <w:top w:val="nil" w:sz="6" w:space="0" w:color="auto"/>
              <w:left w:val="nil" w:sz="6" w:space="0" w:color="auto"/>
              <w:bottom w:val="nil" w:sz="6" w:space="0" w:color="auto"/>
              <w:right w:val="nil" w:sz="6" w:space="0" w:color="auto"/>
            </w:tcBorders>
          </w:tcPr>
          <w:p>
            <w:pPr>
              <w:pStyle w:val="TableParagraph"/>
              <w:tabs>
                <w:tab w:pos="750" w:val="left" w:leader="none"/>
              </w:tabs>
              <w:spacing w:line="240" w:lineRule="auto" w:before="168"/>
              <w:ind w:left="-1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(41,534)</w:t>
            </w:r>
            <w:r>
              <w:rPr>
                <w:rFonts w:ascii="Arial"/>
                <w:sz w:val="24"/>
              </w:rPr>
            </w:r>
          </w:p>
        </w:tc>
      </w:tr>
    </w:tbl>
    <w:p>
      <w:pPr>
        <w:spacing w:line="240" w:lineRule="auto" w:before="8"/>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02"/>
        <w:gridCol w:w="1186"/>
        <w:gridCol w:w="2501"/>
        <w:gridCol w:w="3286"/>
        <w:gridCol w:w="2604"/>
      </w:tblGrid>
      <w:tr>
        <w:trPr>
          <w:trHeight w:val="41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5" w:lineRule="exact"/>
              <w:ind w:right="20"/>
              <w:jc w:val="center"/>
              <w:rPr>
                <w:rFonts w:ascii="Arial" w:hAnsi="Arial" w:cs="Arial" w:eastAsia="Arial" w:hint="default"/>
                <w:sz w:val="24"/>
                <w:szCs w:val="24"/>
              </w:rPr>
            </w:pPr>
            <w:r>
              <w:rPr>
                <w:rFonts w:ascii="Arial"/>
                <w:sz w:val="24"/>
              </w:rPr>
              <w:t>(c)</w:t>
            </w:r>
          </w:p>
        </w:tc>
        <w:tc>
          <w:tcPr>
            <w:tcW w:w="3688"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8" w:right="0"/>
              <w:jc w:val="left"/>
              <w:rPr>
                <w:rFonts w:ascii="宋体" w:hAnsi="宋体" w:cs="宋体" w:eastAsia="宋体" w:hint="default"/>
                <w:sz w:val="24"/>
                <w:szCs w:val="24"/>
              </w:rPr>
            </w:pPr>
            <w:r>
              <w:rPr>
                <w:rFonts w:ascii="宋体" w:hAnsi="宋体" w:cs="宋体" w:eastAsia="宋体" w:hint="default"/>
                <w:sz w:val="24"/>
                <w:szCs w:val="24"/>
              </w:rPr>
              <w:t>存货跌价准备情况如下：</w:t>
            </w:r>
          </w:p>
        </w:tc>
        <w:tc>
          <w:tcPr>
            <w:tcW w:w="3286"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
        </w:tc>
      </w:tr>
      <w:tr>
        <w:trPr>
          <w:trHeight w:val="826" w:hRule="exact"/>
        </w:trPr>
        <w:tc>
          <w:tcPr>
            <w:tcW w:w="702"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84" w:right="260" w:hanging="209"/>
              <w:jc w:val="left"/>
              <w:rPr>
                <w:rFonts w:ascii="宋体" w:hAnsi="宋体" w:cs="宋体" w:eastAsia="宋体" w:hint="default"/>
                <w:sz w:val="21"/>
                <w:szCs w:val="21"/>
              </w:rPr>
            </w:pPr>
            <w:r>
              <w:rPr>
                <w:rFonts w:ascii="宋体" w:hAnsi="宋体" w:cs="宋体" w:eastAsia="宋体" w:hint="default"/>
                <w:spacing w:val="-1"/>
                <w:sz w:val="21"/>
                <w:szCs w:val="21"/>
              </w:rPr>
              <w:t>计提存货跌价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准备的依据</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523" w:right="287" w:firstLine="211"/>
              <w:jc w:val="left"/>
              <w:rPr>
                <w:rFonts w:ascii="宋体" w:hAnsi="宋体" w:cs="宋体" w:eastAsia="宋体" w:hint="default"/>
                <w:sz w:val="21"/>
                <w:szCs w:val="21"/>
              </w:rPr>
            </w:pPr>
            <w:r>
              <w:rPr>
                <w:rFonts w:ascii="宋体" w:hAnsi="宋体" w:cs="宋体" w:eastAsia="宋体" w:hint="default"/>
                <w:spacing w:val="-1"/>
                <w:sz w:val="21"/>
                <w:szCs w:val="21"/>
              </w:rPr>
              <w:t>本年转销存货</w:t>
            </w:r>
            <w:r>
              <w:rPr>
                <w:rFonts w:ascii="宋体" w:hAnsi="宋体" w:cs="宋体" w:eastAsia="宋体" w:hint="default"/>
                <w:w w:val="100"/>
                <w:sz w:val="21"/>
                <w:szCs w:val="21"/>
              </w:rPr>
              <w:t> </w:t>
            </w:r>
            <w:r>
              <w:rPr>
                <w:rFonts w:ascii="宋体" w:hAnsi="宋体" w:cs="宋体" w:eastAsia="宋体" w:hint="default"/>
                <w:spacing w:val="-1"/>
                <w:sz w:val="21"/>
                <w:szCs w:val="21"/>
              </w:rPr>
              <w:t>跌价准备的原因</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10" w:right="198"/>
              <w:jc w:val="left"/>
              <w:rPr>
                <w:rFonts w:ascii="宋体" w:hAnsi="宋体" w:cs="宋体" w:eastAsia="宋体" w:hint="default"/>
                <w:sz w:val="21"/>
                <w:szCs w:val="21"/>
              </w:rPr>
            </w:pPr>
            <w:r>
              <w:rPr>
                <w:rFonts w:ascii="宋体" w:hAnsi="宋体" w:cs="宋体" w:eastAsia="宋体" w:hint="default"/>
                <w:spacing w:val="-1"/>
                <w:sz w:val="21"/>
                <w:szCs w:val="21"/>
              </w:rPr>
              <w:t>本期转销金额占该项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存货年末余额的比例</w:t>
            </w:r>
          </w:p>
        </w:tc>
      </w:tr>
      <w:tr>
        <w:trPr>
          <w:trHeight w:val="1105" w:hRule="exact"/>
        </w:trPr>
        <w:tc>
          <w:tcPr>
            <w:tcW w:w="702"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501" w:type="dxa"/>
            <w:tcBorders>
              <w:top w:val="nil" w:sz="6" w:space="0" w:color="auto"/>
              <w:left w:val="nil" w:sz="6" w:space="0" w:color="auto"/>
              <w:bottom w:val="nil" w:sz="6" w:space="0" w:color="auto"/>
              <w:right w:val="nil" w:sz="6" w:space="0" w:color="auto"/>
            </w:tcBorders>
          </w:tcPr>
          <w:p>
            <w:pPr>
              <w:pStyle w:val="TableParagraph"/>
              <w:spacing w:line="237" w:lineRule="auto" w:before="108"/>
              <w:ind w:left="135" w:right="261"/>
              <w:jc w:val="right"/>
              <w:rPr>
                <w:rFonts w:ascii="宋体" w:hAnsi="宋体" w:cs="宋体" w:eastAsia="宋体" w:hint="default"/>
                <w:sz w:val="21"/>
                <w:szCs w:val="21"/>
              </w:rPr>
            </w:pPr>
            <w:r>
              <w:rPr>
                <w:rFonts w:ascii="宋体" w:hAnsi="宋体" w:cs="宋体" w:eastAsia="宋体" w:hint="default"/>
                <w:spacing w:val="-2"/>
                <w:sz w:val="21"/>
                <w:szCs w:val="21"/>
              </w:rPr>
              <w:t>库存商品价格下降导致</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库存商品可变现净值低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于其账面价值的差额</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471" w:right="287" w:hanging="209"/>
              <w:jc w:val="left"/>
              <w:rPr>
                <w:rFonts w:ascii="宋体" w:hAnsi="宋体" w:cs="宋体" w:eastAsia="宋体" w:hint="default"/>
                <w:sz w:val="21"/>
                <w:szCs w:val="21"/>
              </w:rPr>
            </w:pPr>
            <w:r>
              <w:rPr>
                <w:rFonts w:ascii="宋体" w:hAnsi="宋体" w:cs="宋体" w:eastAsia="宋体" w:hint="default"/>
                <w:spacing w:val="-2"/>
                <w:sz w:val="21"/>
                <w:szCs w:val="21"/>
              </w:rPr>
              <w:t>以前年度计提了存货跌价准备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的库存商品本年度实现销售</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21"/>
                <w:szCs w:val="21"/>
              </w:rPr>
            </w:pPr>
            <w:r>
              <w:rPr>
                <w:rFonts w:ascii="Arial"/>
                <w:spacing w:val="-1"/>
                <w:sz w:val="21"/>
              </w:rPr>
              <w:t>0.37%</w:t>
            </w:r>
          </w:p>
        </w:tc>
      </w:tr>
      <w:tr>
        <w:trPr>
          <w:trHeight w:val="57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
              <w:jc w:val="center"/>
              <w:rPr>
                <w:rFonts w:ascii="Arial" w:hAnsi="Arial" w:cs="Arial" w:eastAsia="Arial" w:hint="default"/>
                <w:sz w:val="24"/>
                <w:szCs w:val="24"/>
              </w:rPr>
            </w:pPr>
            <w:r>
              <w:rPr>
                <w:rFonts w:ascii="Arial"/>
                <w:sz w:val="24"/>
              </w:rPr>
              <w:t>(8)</w:t>
            </w:r>
          </w:p>
        </w:tc>
        <w:tc>
          <w:tcPr>
            <w:tcW w:w="36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208" w:right="0"/>
              <w:jc w:val="left"/>
              <w:rPr>
                <w:rFonts w:ascii="宋体" w:hAnsi="宋体" w:cs="宋体" w:eastAsia="宋体" w:hint="default"/>
                <w:sz w:val="24"/>
                <w:szCs w:val="24"/>
              </w:rPr>
            </w:pPr>
            <w:r>
              <w:rPr>
                <w:rFonts w:ascii="宋体" w:hAnsi="宋体" w:cs="宋体" w:eastAsia="宋体" w:hint="default"/>
                <w:b/>
                <w:bCs/>
                <w:sz w:val="24"/>
                <w:szCs w:val="24"/>
              </w:rPr>
              <w:t>其他流动资产</w:t>
            </w:r>
            <w:r>
              <w:rPr>
                <w:rFonts w:ascii="宋体" w:hAnsi="宋体" w:cs="宋体" w:eastAsia="宋体" w:hint="default"/>
                <w:sz w:val="24"/>
                <w:szCs w:val="24"/>
              </w:rPr>
            </w:r>
          </w:p>
        </w:tc>
        <w:tc>
          <w:tcPr>
            <w:tcW w:w="3286"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nil" w:sz="6" w:space="0" w:color="auto"/>
              <w:right w:val="nil" w:sz="6" w:space="0" w:color="auto"/>
            </w:tcBorders>
          </w:tcPr>
          <w:p>
            <w:pPr/>
          </w:p>
        </w:tc>
      </w:tr>
      <w:tr>
        <w:trPr>
          <w:trHeight w:val="714" w:hRule="exact"/>
        </w:trPr>
        <w:tc>
          <w:tcPr>
            <w:tcW w:w="702"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5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700" w:hRule="exact"/>
        </w:trPr>
        <w:tc>
          <w:tcPr>
            <w:tcW w:w="702" w:type="dxa"/>
            <w:tcBorders>
              <w:top w:val="nil" w:sz="6" w:space="0" w:color="auto"/>
              <w:left w:val="nil" w:sz="6" w:space="0" w:color="auto"/>
              <w:bottom w:val="nil" w:sz="6" w:space="0" w:color="auto"/>
              <w:right w:val="nil" w:sz="6" w:space="0" w:color="auto"/>
            </w:tcBorders>
          </w:tcPr>
          <w:p>
            <w:pPr/>
          </w:p>
        </w:tc>
        <w:tc>
          <w:tcPr>
            <w:tcW w:w="36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4"/>
              <w:ind w:left="208" w:right="0"/>
              <w:jc w:val="left"/>
              <w:rPr>
                <w:rFonts w:ascii="宋体" w:hAnsi="宋体" w:cs="宋体" w:eastAsia="宋体" w:hint="default"/>
                <w:sz w:val="24"/>
                <w:szCs w:val="24"/>
              </w:rPr>
            </w:pPr>
            <w:r>
              <w:rPr>
                <w:rFonts w:ascii="宋体" w:hAnsi="宋体" w:cs="宋体" w:eastAsia="宋体" w:hint="default"/>
                <w:sz w:val="24"/>
                <w:szCs w:val="24"/>
              </w:rPr>
              <w:t>待摊的房屋租赁费</w:t>
            </w: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717" w:right="0"/>
              <w:jc w:val="left"/>
              <w:rPr>
                <w:rFonts w:ascii="Arial" w:hAnsi="Arial" w:cs="Arial" w:eastAsia="Arial" w:hint="default"/>
                <w:sz w:val="24"/>
                <w:szCs w:val="24"/>
              </w:rPr>
            </w:pPr>
            <w:r>
              <w:rPr>
                <w:rFonts w:ascii="Arial"/>
                <w:sz w:val="24"/>
              </w:rPr>
              <w:t>1,297,334</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376" w:right="0"/>
              <w:jc w:val="left"/>
              <w:rPr>
                <w:rFonts w:ascii="Arial" w:hAnsi="Arial" w:cs="Arial" w:eastAsia="Arial" w:hint="default"/>
                <w:sz w:val="24"/>
                <w:szCs w:val="24"/>
              </w:rPr>
            </w:pPr>
            <w:r>
              <w:rPr>
                <w:rFonts w:ascii="Arial"/>
                <w:sz w:val="24"/>
              </w:rPr>
              <w:t>771,550</w:t>
            </w:r>
          </w:p>
        </w:tc>
      </w:tr>
      <w:tr>
        <w:trPr>
          <w:trHeight w:val="434" w:hRule="exact"/>
        </w:trPr>
        <w:tc>
          <w:tcPr>
            <w:tcW w:w="702"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01"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tabs>
                <w:tab w:pos="1687" w:val="left" w:leader="none"/>
                <w:tab w:pos="2551" w:val="left" w:leader="none"/>
              </w:tabs>
              <w:spacing w:line="240" w:lineRule="auto" w:before="141"/>
              <w:ind w:right="34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11,728</w:t>
              <w:tab/>
            </w:r>
            <w:r>
              <w:rPr>
                <w:rFonts w:ascii="Arial"/>
                <w:spacing w:val="-4"/>
                <w:sz w:val="24"/>
              </w:rPr>
            </w:r>
          </w:p>
        </w:tc>
        <w:tc>
          <w:tcPr>
            <w:tcW w:w="2604" w:type="dxa"/>
            <w:tcBorders>
              <w:top w:val="nil" w:sz="6" w:space="0" w:color="auto"/>
              <w:left w:val="nil" w:sz="6" w:space="0" w:color="auto"/>
              <w:bottom w:val="nil" w:sz="6" w:space="0" w:color="auto"/>
              <w:right w:val="nil" w:sz="6" w:space="0" w:color="auto"/>
            </w:tcBorders>
          </w:tcPr>
          <w:p>
            <w:pPr>
              <w:pStyle w:val="TableParagraph"/>
              <w:tabs>
                <w:tab w:pos="1508" w:val="left" w:leader="none"/>
                <w:tab w:pos="2485" w:val="left" w:leader="none"/>
              </w:tabs>
              <w:spacing w:line="240" w:lineRule="auto" w:before="141"/>
              <w:ind w:left="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22,106</w:t>
              <w:tab/>
            </w:r>
            <w:r>
              <w:rPr>
                <w:rFonts w:ascii="Arial"/>
                <w:sz w:val="24"/>
              </w:rPr>
            </w:r>
          </w:p>
        </w:tc>
      </w:tr>
      <w:tr>
        <w:trPr>
          <w:trHeight w:val="263" w:hRule="exact"/>
        </w:trPr>
        <w:tc>
          <w:tcPr>
            <w:tcW w:w="702"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tabs>
                <w:tab w:pos="1334" w:val="left" w:leader="none"/>
                <w:tab w:pos="2551" w:val="left" w:leader="none"/>
              </w:tabs>
              <w:spacing w:line="268" w:lineRule="exact"/>
              <w:ind w:right="34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1,309,062</w:t>
              <w:tab/>
            </w:r>
            <w:r>
              <w:rPr>
                <w:rFonts w:ascii="Arial"/>
                <w:spacing w:val="-1"/>
                <w:sz w:val="24"/>
              </w:rPr>
            </w:r>
          </w:p>
        </w:tc>
        <w:tc>
          <w:tcPr>
            <w:tcW w:w="2604" w:type="dxa"/>
            <w:tcBorders>
              <w:top w:val="nil" w:sz="6" w:space="0" w:color="auto"/>
              <w:left w:val="nil" w:sz="6" w:space="0" w:color="auto"/>
              <w:bottom w:val="nil" w:sz="6" w:space="0" w:color="auto"/>
              <w:right w:val="nil" w:sz="6" w:space="0" w:color="auto"/>
            </w:tcBorders>
          </w:tcPr>
          <w:p>
            <w:pPr>
              <w:pStyle w:val="TableParagraph"/>
              <w:tabs>
                <w:tab w:pos="1376" w:val="left" w:leader="none"/>
                <w:tab w:pos="2485" w:val="left" w:leader="none"/>
              </w:tabs>
              <w:spacing w:line="268" w:lineRule="exact"/>
              <w:ind w:left="3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793,656</w:t>
              <w:tab/>
            </w:r>
            <w:r>
              <w:rPr>
                <w:rFonts w:ascii="Arial"/>
                <w:sz w:val="24"/>
              </w:rPr>
            </w:r>
          </w:p>
        </w:tc>
      </w:tr>
    </w:tbl>
    <w:p>
      <w:pPr>
        <w:spacing w:after="0" w:line="268" w:lineRule="exact"/>
        <w:jc w:val="left"/>
        <w:rPr>
          <w:rFonts w:ascii="Arial" w:hAnsi="Arial" w:cs="Arial" w:eastAsia="Arial" w:hint="default"/>
          <w:sz w:val="24"/>
          <w:szCs w:val="24"/>
        </w:rPr>
        <w:sectPr>
          <w:pgSz w:w="11910" w:h="16850"/>
          <w:pgMar w:header="1474" w:footer="956" w:top="2960" w:bottom="1140" w:left="820" w:right="0"/>
        </w:sectPr>
      </w:pPr>
    </w:p>
    <w:p>
      <w:pPr>
        <w:spacing w:line="240" w:lineRule="auto" w:before="11"/>
        <w:rPr>
          <w:rFonts w:ascii="Times New Roman" w:hAnsi="Times New Roman" w:cs="Times New Roman" w:eastAsia="Times New Roman"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786"/>
        <w:gridCol w:w="4508"/>
        <w:gridCol w:w="2305"/>
        <w:gridCol w:w="2719"/>
      </w:tblGrid>
      <w:tr>
        <w:trPr>
          <w:trHeight w:val="69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144"/>
              <w:jc w:val="center"/>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50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05" w:type="dxa"/>
            <w:tcBorders>
              <w:top w:val="single" w:sz="6" w:space="0" w:color="000000"/>
              <w:left w:val="nil" w:sz="6" w:space="0" w:color="auto"/>
              <w:bottom w:val="nil" w:sz="6" w:space="0" w:color="auto"/>
              <w:right w:val="nil" w:sz="6" w:space="0" w:color="auto"/>
            </w:tcBorders>
          </w:tcPr>
          <w:p>
            <w:pPr/>
          </w:p>
        </w:tc>
        <w:tc>
          <w:tcPr>
            <w:tcW w:w="2719" w:type="dxa"/>
            <w:tcBorders>
              <w:top w:val="single" w:sz="6" w:space="0" w:color="000000"/>
              <w:left w:val="nil" w:sz="6" w:space="0" w:color="auto"/>
              <w:bottom w:val="nil" w:sz="6" w:space="0" w:color="auto"/>
              <w:right w:val="nil" w:sz="6" w:space="0" w:color="auto"/>
            </w:tcBorders>
          </w:tcPr>
          <w:p>
            <w:pPr/>
          </w:p>
        </w:tc>
      </w:tr>
      <w:tr>
        <w:trPr>
          <w:trHeight w:val="447"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0"/>
              <w:jc w:val="center"/>
              <w:rPr>
                <w:rFonts w:ascii="Arial" w:hAnsi="Arial" w:cs="Arial" w:eastAsia="Arial" w:hint="default"/>
                <w:sz w:val="24"/>
                <w:szCs w:val="24"/>
              </w:rPr>
            </w:pPr>
            <w:r>
              <w:rPr>
                <w:rFonts w:ascii="Arial"/>
                <w:sz w:val="24"/>
              </w:rPr>
              <w:t>(9)</w:t>
            </w:r>
          </w:p>
        </w:tc>
        <w:tc>
          <w:tcPr>
            <w:tcW w:w="450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c>
          <w:tcPr>
            <w:tcW w:w="2305"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
        </w:tc>
      </w:tr>
      <w:tr>
        <w:trPr>
          <w:trHeight w:val="456" w:hRule="exact"/>
        </w:trPr>
        <w:tc>
          <w:tcPr>
            <w:tcW w:w="786" w:type="dxa"/>
            <w:tcBorders>
              <w:top w:val="nil" w:sz="6" w:space="0" w:color="auto"/>
              <w:left w:val="nil" w:sz="6" w:space="0" w:color="auto"/>
              <w:bottom w:val="nil" w:sz="6" w:space="0" w:color="auto"/>
              <w:right w:val="nil" w:sz="6" w:space="0" w:color="auto"/>
            </w:tcBorders>
          </w:tcPr>
          <w:p>
            <w:pPr/>
          </w:p>
        </w:tc>
        <w:tc>
          <w:tcPr>
            <w:tcW w:w="6812"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436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19" w:type="dxa"/>
            <w:tcBorders>
              <w:top w:val="nil" w:sz="6" w:space="0" w:color="auto"/>
              <w:left w:val="nil" w:sz="6" w:space="0" w:color="auto"/>
              <w:bottom w:val="nil" w:sz="6" w:space="0" w:color="auto"/>
              <w:right w:val="nil" w:sz="6" w:space="0" w:color="auto"/>
            </w:tcBorders>
          </w:tcPr>
          <w:p>
            <w:pPr>
              <w:pStyle w:val="TableParagraph"/>
              <w:spacing w:line="293" w:lineRule="exact"/>
              <w:ind w:right="249"/>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0" w:hRule="exact"/>
        </w:trPr>
        <w:tc>
          <w:tcPr>
            <w:tcW w:w="786" w:type="dxa"/>
            <w:tcBorders>
              <w:top w:val="nil" w:sz="6" w:space="0" w:color="auto"/>
              <w:left w:val="nil" w:sz="6" w:space="0" w:color="auto"/>
              <w:bottom w:val="nil" w:sz="6" w:space="0" w:color="auto"/>
              <w:right w:val="nil" w:sz="6" w:space="0" w:color="auto"/>
            </w:tcBorders>
          </w:tcPr>
          <w:p>
            <w:pPr/>
          </w:p>
        </w:tc>
        <w:tc>
          <w:tcPr>
            <w:tcW w:w="45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4"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(a)</w:t>
            </w:r>
          </w:p>
        </w:tc>
        <w:tc>
          <w:tcPr>
            <w:tcW w:w="2305" w:type="dxa"/>
            <w:tcBorders>
              <w:top w:val="nil" w:sz="6" w:space="0" w:color="auto"/>
              <w:left w:val="nil" w:sz="6" w:space="0" w:color="auto"/>
              <w:bottom w:val="nil" w:sz="6" w:space="0" w:color="auto"/>
              <w:right w:val="nil" w:sz="6" w:space="0" w:color="auto"/>
            </w:tcBorders>
          </w:tcPr>
          <w:p>
            <w:pPr/>
          </w:p>
        </w:tc>
        <w:tc>
          <w:tcPr>
            <w:tcW w:w="2719" w:type="dxa"/>
            <w:tcBorders>
              <w:top w:val="nil" w:sz="6" w:space="0" w:color="auto"/>
              <w:left w:val="nil" w:sz="6" w:space="0" w:color="auto"/>
              <w:bottom w:val="nil" w:sz="6" w:space="0" w:color="auto"/>
              <w:right w:val="nil" w:sz="6" w:space="0" w:color="auto"/>
            </w:tcBorders>
          </w:tcPr>
          <w:p>
            <w:pPr/>
          </w:p>
        </w:tc>
      </w:tr>
      <w:tr>
        <w:trPr>
          <w:trHeight w:val="322" w:hRule="exact"/>
        </w:trPr>
        <w:tc>
          <w:tcPr>
            <w:tcW w:w="786" w:type="dxa"/>
            <w:tcBorders>
              <w:top w:val="nil" w:sz="6" w:space="0" w:color="auto"/>
              <w:left w:val="nil" w:sz="6" w:space="0" w:color="auto"/>
              <w:bottom w:val="nil" w:sz="6" w:space="0" w:color="auto"/>
              <w:right w:val="nil" w:sz="6" w:space="0" w:color="auto"/>
            </w:tcBorders>
          </w:tcPr>
          <w:p>
            <w:pPr/>
          </w:p>
        </w:tc>
        <w:tc>
          <w:tcPr>
            <w:tcW w:w="4508" w:type="dxa"/>
            <w:tcBorders>
              <w:top w:val="nil" w:sz="6" w:space="0" w:color="auto"/>
              <w:left w:val="nil" w:sz="6" w:space="0" w:color="auto"/>
              <w:bottom w:val="nil" w:sz="6" w:space="0" w:color="auto"/>
              <w:right w:val="nil" w:sz="6" w:space="0" w:color="auto"/>
            </w:tcBorders>
          </w:tcPr>
          <w:p>
            <w:pPr>
              <w:pStyle w:val="TableParagraph"/>
              <w:spacing w:line="288" w:lineRule="exact"/>
              <w:ind w:left="525"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66"/>
                <w:sz w:val="24"/>
                <w:szCs w:val="24"/>
              </w:rPr>
              <w:t> </w:t>
            </w:r>
            <w:r>
              <w:rPr>
                <w:rFonts w:ascii="宋体" w:hAnsi="宋体" w:cs="宋体" w:eastAsia="宋体" w:hint="default"/>
                <w:sz w:val="24"/>
                <w:szCs w:val="24"/>
              </w:rPr>
              <w:t>有公开报价</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22"/>
              <w:jc w:val="right"/>
              <w:rPr>
                <w:rFonts w:ascii="Arial" w:hAnsi="Arial" w:cs="Arial" w:eastAsia="Arial" w:hint="default"/>
                <w:sz w:val="24"/>
                <w:szCs w:val="24"/>
              </w:rPr>
            </w:pPr>
            <w:r>
              <w:rPr>
                <w:rFonts w:ascii="Arial"/>
                <w:w w:val="99"/>
                <w:sz w:val="24"/>
              </w:rPr>
              <w:t>-</w:t>
            </w:r>
            <w:r>
              <w:rPr>
                <w:rFonts w:ascii="Arial"/>
                <w:sz w:val="24"/>
              </w:rPr>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Arial" w:hAnsi="Arial" w:cs="Arial" w:eastAsia="Arial" w:hint="default"/>
                <w:sz w:val="24"/>
                <w:szCs w:val="24"/>
              </w:rPr>
            </w:pPr>
            <w:r>
              <w:rPr>
                <w:rFonts w:ascii="Arial"/>
                <w:spacing w:val="-1"/>
                <w:sz w:val="24"/>
              </w:rPr>
              <w:t>251,903</w:t>
            </w:r>
          </w:p>
        </w:tc>
      </w:tr>
      <w:tr>
        <w:trPr>
          <w:trHeight w:val="332" w:hRule="exact"/>
        </w:trPr>
        <w:tc>
          <w:tcPr>
            <w:tcW w:w="786" w:type="dxa"/>
            <w:tcBorders>
              <w:top w:val="nil" w:sz="6" w:space="0" w:color="auto"/>
              <w:left w:val="nil" w:sz="6" w:space="0" w:color="auto"/>
              <w:bottom w:val="nil" w:sz="6" w:space="0" w:color="auto"/>
              <w:right w:val="nil" w:sz="6" w:space="0" w:color="auto"/>
            </w:tcBorders>
          </w:tcPr>
          <w:p>
            <w:pPr/>
          </w:p>
        </w:tc>
        <w:tc>
          <w:tcPr>
            <w:tcW w:w="4508" w:type="dxa"/>
            <w:tcBorders>
              <w:top w:val="nil" w:sz="6" w:space="0" w:color="auto"/>
              <w:left w:val="nil" w:sz="6" w:space="0" w:color="auto"/>
              <w:bottom w:val="nil" w:sz="6" w:space="0" w:color="auto"/>
              <w:right w:val="nil" w:sz="6" w:space="0" w:color="auto"/>
            </w:tcBorders>
          </w:tcPr>
          <w:p>
            <w:pPr>
              <w:pStyle w:val="TableParagraph"/>
              <w:tabs>
                <w:tab w:pos="3996" w:val="left" w:leader="none"/>
                <w:tab w:pos="5520" w:val="left" w:leader="none"/>
              </w:tabs>
              <w:spacing w:line="277" w:lineRule="exact"/>
              <w:ind w:left="134" w:right="-1014"/>
              <w:jc w:val="left"/>
              <w:rPr>
                <w:rFonts w:ascii="Arial" w:hAnsi="Arial" w:cs="Arial" w:eastAsia="Arial" w:hint="default"/>
                <w:sz w:val="24"/>
                <w:szCs w:val="24"/>
              </w:rPr>
            </w:pPr>
            <w:r>
              <w:rPr>
                <w:rFonts w:ascii="宋体" w:hAnsi="宋体" w:cs="宋体" w:eastAsia="宋体" w:hint="default"/>
                <w:position w:val="2"/>
                <w:sz w:val="24"/>
                <w:szCs w:val="24"/>
              </w:rPr>
              <w:t>其他长期股权投资</w:t>
            </w:r>
            <w:r>
              <w:rPr>
                <w:rFonts w:ascii="Arial" w:hAnsi="Arial" w:cs="Arial" w:eastAsia="Arial" w:hint="default"/>
                <w:position w:val="2"/>
                <w:sz w:val="24"/>
                <w:szCs w:val="24"/>
              </w:rPr>
              <w:t>(b)</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05" w:type="dxa"/>
            <w:tcBorders>
              <w:top w:val="nil" w:sz="6" w:space="0" w:color="auto"/>
              <w:left w:val="nil" w:sz="6" w:space="0" w:color="auto"/>
              <w:bottom w:val="nil" w:sz="6" w:space="0" w:color="auto"/>
              <w:right w:val="nil" w:sz="6" w:space="0" w:color="auto"/>
            </w:tcBorders>
          </w:tcPr>
          <w:p>
            <w:pPr>
              <w:pStyle w:val="TableParagraph"/>
              <w:tabs>
                <w:tab w:pos="1019" w:val="left" w:leader="none"/>
              </w:tabs>
              <w:spacing w:line="240" w:lineRule="auto" w:before="21"/>
              <w:ind w:right="269"/>
              <w:jc w:val="right"/>
              <w:rPr>
                <w:rFonts w:ascii="Arial" w:hAnsi="Arial" w:cs="Arial" w:eastAsia="Arial" w:hint="default"/>
                <w:sz w:val="24"/>
                <w:szCs w:val="24"/>
              </w:rPr>
            </w:pPr>
            <w:r>
              <w:rPr>
                <w:rFonts w:ascii="Arial"/>
                <w:w w:val="99"/>
                <w:sz w:val="24"/>
              </w:rPr>
            </w:r>
            <w:r>
              <w:rPr>
                <w:rFonts w:ascii="Arial"/>
                <w:spacing w:val="-1"/>
                <w:sz w:val="24"/>
                <w:u w:val="single" w:color="000000"/>
              </w:rPr>
              <w:t>554,793</w:t>
              <w:tab/>
            </w:r>
            <w:r>
              <w:rPr>
                <w:rFonts w:ascii="Arial"/>
                <w:spacing w:val="-1"/>
                <w:sz w:val="24"/>
              </w:rPr>
            </w:r>
          </w:p>
        </w:tc>
        <w:tc>
          <w:tcPr>
            <w:tcW w:w="2719"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40" w:lineRule="auto" w:before="21"/>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540,993</w:t>
            </w:r>
            <w:r>
              <w:rPr>
                <w:rFonts w:ascii="Arial"/>
                <w:spacing w:val="-1"/>
                <w:sz w:val="24"/>
              </w:rPr>
            </w:r>
          </w:p>
        </w:tc>
      </w:tr>
      <w:tr>
        <w:trPr>
          <w:trHeight w:val="455" w:hRule="exact"/>
        </w:trPr>
        <w:tc>
          <w:tcPr>
            <w:tcW w:w="786" w:type="dxa"/>
            <w:tcBorders>
              <w:top w:val="nil" w:sz="6" w:space="0" w:color="auto"/>
              <w:left w:val="nil" w:sz="6" w:space="0" w:color="auto"/>
              <w:bottom w:val="nil" w:sz="6" w:space="0" w:color="auto"/>
              <w:right w:val="nil" w:sz="6" w:space="0" w:color="auto"/>
            </w:tcBorders>
          </w:tcPr>
          <w:p>
            <w:pPr/>
          </w:p>
        </w:tc>
        <w:tc>
          <w:tcPr>
            <w:tcW w:w="6812" w:type="dxa"/>
            <w:gridSpan w:val="2"/>
            <w:tcBorders>
              <w:top w:val="nil" w:sz="6" w:space="0" w:color="auto"/>
              <w:left w:val="nil" w:sz="6" w:space="0" w:color="auto"/>
              <w:bottom w:val="nil" w:sz="6" w:space="0" w:color="auto"/>
              <w:right w:val="nil" w:sz="6" w:space="0" w:color="auto"/>
            </w:tcBorders>
          </w:tcPr>
          <w:p>
            <w:pPr>
              <w:pStyle w:val="TableParagraph"/>
              <w:tabs>
                <w:tab w:pos="5520" w:val="left" w:leader="none"/>
                <w:tab w:pos="6540" w:val="left" w:leader="none"/>
              </w:tabs>
              <w:spacing w:line="240" w:lineRule="auto" w:before="10"/>
              <w:ind w:left="399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554,793</w:t>
              <w:tab/>
            </w:r>
            <w:r>
              <w:rPr>
                <w:rFonts w:ascii="Arial"/>
                <w:sz w:val="24"/>
              </w:rPr>
            </w:r>
          </w:p>
        </w:tc>
        <w:tc>
          <w:tcPr>
            <w:tcW w:w="2719"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40" w:lineRule="auto" w:before="10"/>
              <w:ind w:right="19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792,896</w:t>
            </w:r>
            <w:r>
              <w:rPr>
                <w:rFonts w:ascii="Arial"/>
                <w:spacing w:val="-1"/>
                <w:sz w:val="24"/>
              </w:rPr>
            </w:r>
          </w:p>
        </w:tc>
      </w:tr>
      <w:tr>
        <w:trPr>
          <w:trHeight w:val="930" w:hRule="exact"/>
        </w:trPr>
        <w:tc>
          <w:tcPr>
            <w:tcW w:w="786" w:type="dxa"/>
            <w:tcBorders>
              <w:top w:val="nil" w:sz="6" w:space="0" w:color="auto"/>
              <w:left w:val="nil" w:sz="6" w:space="0" w:color="auto"/>
              <w:bottom w:val="nil" w:sz="6" w:space="0" w:color="auto"/>
              <w:right w:val="nil" w:sz="6" w:space="0" w:color="auto"/>
            </w:tcBorders>
          </w:tcPr>
          <w:p>
            <w:pPr/>
          </w:p>
        </w:tc>
        <w:tc>
          <w:tcPr>
            <w:tcW w:w="4508" w:type="dxa"/>
            <w:tcBorders>
              <w:top w:val="nil" w:sz="6" w:space="0" w:color="auto"/>
              <w:left w:val="nil" w:sz="6" w:space="0" w:color="auto"/>
              <w:bottom w:val="nil" w:sz="6" w:space="0" w:color="auto"/>
              <w:right w:val="nil" w:sz="6" w:space="0" w:color="auto"/>
            </w:tcBorders>
          </w:tcPr>
          <w:p>
            <w:pPr>
              <w:pStyle w:val="TableParagraph"/>
              <w:spacing w:line="313" w:lineRule="exact" w:before="100"/>
              <w:ind w:left="134" w:right="0"/>
              <w:jc w:val="left"/>
              <w:rPr>
                <w:rFonts w:ascii="宋体" w:hAnsi="宋体" w:cs="宋体" w:eastAsia="宋体" w:hint="default"/>
                <w:sz w:val="24"/>
                <w:szCs w:val="24"/>
              </w:rPr>
            </w:pPr>
            <w:r>
              <w:rPr>
                <w:rFonts w:ascii="宋体" w:hAnsi="宋体" w:cs="宋体" w:eastAsia="宋体" w:hint="default"/>
                <w:sz w:val="24"/>
                <w:szCs w:val="24"/>
              </w:rPr>
              <w:t>上述有公开报价的联营企业投资</w:t>
            </w:r>
          </w:p>
          <w:p>
            <w:pPr>
              <w:pStyle w:val="TableParagraph"/>
              <w:tabs>
                <w:tab w:pos="3996" w:val="left" w:leader="none"/>
                <w:tab w:pos="6308" w:val="left" w:leader="none"/>
              </w:tabs>
              <w:spacing w:line="313" w:lineRule="exact"/>
              <w:ind w:left="381" w:right="-1801"/>
              <w:jc w:val="left"/>
              <w:rPr>
                <w:rFonts w:ascii="Arial" w:hAnsi="Arial" w:cs="Arial" w:eastAsia="Arial" w:hint="default"/>
                <w:sz w:val="24"/>
                <w:szCs w:val="24"/>
              </w:rPr>
            </w:pPr>
            <w:r>
              <w:rPr>
                <w:rFonts w:ascii="宋体" w:hAnsi="宋体" w:cs="宋体" w:eastAsia="宋体" w:hint="default"/>
                <w:position w:val="2"/>
                <w:sz w:val="24"/>
                <w:szCs w:val="24"/>
              </w:rPr>
              <w:t>的公允价值</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232" w:val="left" w:leader="none"/>
              </w:tabs>
              <w:spacing w:line="240" w:lineRule="auto" w:before="210"/>
              <w:ind w:right="269"/>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531" w:val="left" w:leader="none"/>
              </w:tabs>
              <w:spacing w:line="240" w:lineRule="auto" w:before="210"/>
              <w:ind w:right="19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544,850</w:t>
            </w:r>
            <w:r>
              <w:rPr>
                <w:rFonts w:ascii="Arial"/>
                <w:spacing w:val="-1"/>
                <w:sz w:val="24"/>
              </w:rPr>
            </w:r>
          </w:p>
        </w:tc>
      </w:tr>
      <w:tr>
        <w:trPr>
          <w:trHeight w:val="413" w:hRule="exact"/>
        </w:trPr>
        <w:tc>
          <w:tcPr>
            <w:tcW w:w="786" w:type="dxa"/>
            <w:tcBorders>
              <w:top w:val="nil" w:sz="6" w:space="0" w:color="auto"/>
              <w:left w:val="nil" w:sz="6" w:space="0" w:color="auto"/>
              <w:bottom w:val="nil" w:sz="6" w:space="0" w:color="auto"/>
              <w:right w:val="nil" w:sz="6" w:space="0" w:color="auto"/>
            </w:tcBorders>
          </w:tcPr>
          <w:p>
            <w:pPr/>
          </w:p>
        </w:tc>
        <w:tc>
          <w:tcPr>
            <w:tcW w:w="68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34" w:right="0"/>
              <w:jc w:val="left"/>
              <w:rPr>
                <w:rFonts w:ascii="宋体" w:hAnsi="宋体" w:cs="宋体" w:eastAsia="宋体" w:hint="default"/>
                <w:sz w:val="24"/>
                <w:szCs w:val="24"/>
              </w:rPr>
            </w:pPr>
            <w:r>
              <w:rPr>
                <w:rFonts w:ascii="宋体" w:hAnsi="宋体" w:cs="宋体" w:eastAsia="宋体" w:hint="default"/>
                <w:sz w:val="24"/>
                <w:szCs w:val="24"/>
              </w:rPr>
              <w:t>本集团不存在长期股权投资变现的重大限制。</w:t>
            </w:r>
          </w:p>
        </w:tc>
        <w:tc>
          <w:tcPr>
            <w:tcW w:w="2719"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1474" w:footer="956" w:top="2960" w:bottom="1140" w:left="8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640"/>
        <w:gridCol w:w="1214"/>
        <w:gridCol w:w="860"/>
        <w:gridCol w:w="1031"/>
        <w:gridCol w:w="1138"/>
        <w:gridCol w:w="886"/>
        <w:gridCol w:w="1070"/>
        <w:gridCol w:w="1073"/>
        <w:gridCol w:w="1003"/>
        <w:gridCol w:w="1126"/>
        <w:gridCol w:w="715"/>
        <w:gridCol w:w="719"/>
        <w:gridCol w:w="1514"/>
        <w:gridCol w:w="1003"/>
        <w:gridCol w:w="864"/>
      </w:tblGrid>
      <w:tr>
        <w:trPr>
          <w:trHeight w:val="735" w:hRule="exact"/>
        </w:trPr>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06"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138" w:type="dxa"/>
            <w:tcBorders>
              <w:top w:val="single" w:sz="6" w:space="0" w:color="000000"/>
              <w:left w:val="nil" w:sz="6" w:space="0" w:color="auto"/>
              <w:bottom w:val="nil" w:sz="6" w:space="0" w:color="auto"/>
              <w:right w:val="nil" w:sz="6" w:space="0" w:color="auto"/>
            </w:tcBorders>
          </w:tcPr>
          <w:p>
            <w:pPr/>
          </w:p>
        </w:tc>
        <w:tc>
          <w:tcPr>
            <w:tcW w:w="886" w:type="dxa"/>
            <w:tcBorders>
              <w:top w:val="single" w:sz="6" w:space="0" w:color="000000"/>
              <w:left w:val="nil" w:sz="6" w:space="0" w:color="auto"/>
              <w:bottom w:val="nil" w:sz="6" w:space="0" w:color="auto"/>
              <w:right w:val="nil" w:sz="6" w:space="0" w:color="auto"/>
            </w:tcBorders>
          </w:tcPr>
          <w:p>
            <w:pPr/>
          </w:p>
        </w:tc>
        <w:tc>
          <w:tcPr>
            <w:tcW w:w="1070" w:type="dxa"/>
            <w:tcBorders>
              <w:top w:val="single" w:sz="6" w:space="0" w:color="000000"/>
              <w:left w:val="nil" w:sz="6" w:space="0" w:color="auto"/>
              <w:bottom w:val="nil" w:sz="6" w:space="0" w:color="auto"/>
              <w:right w:val="nil" w:sz="6" w:space="0" w:color="auto"/>
            </w:tcBorders>
          </w:tcPr>
          <w:p>
            <w:pPr/>
          </w:p>
        </w:tc>
        <w:tc>
          <w:tcPr>
            <w:tcW w:w="1073" w:type="dxa"/>
            <w:tcBorders>
              <w:top w:val="single" w:sz="6" w:space="0" w:color="000000"/>
              <w:left w:val="nil" w:sz="6" w:space="0" w:color="auto"/>
              <w:bottom w:val="nil" w:sz="6" w:space="0" w:color="auto"/>
              <w:right w:val="nil" w:sz="6" w:space="0" w:color="auto"/>
            </w:tcBorders>
          </w:tcPr>
          <w:p>
            <w:pPr/>
          </w:p>
        </w:tc>
        <w:tc>
          <w:tcPr>
            <w:tcW w:w="1003" w:type="dxa"/>
            <w:tcBorders>
              <w:top w:val="single" w:sz="6" w:space="0" w:color="000000"/>
              <w:left w:val="nil" w:sz="6" w:space="0" w:color="auto"/>
              <w:bottom w:val="nil" w:sz="6" w:space="0" w:color="auto"/>
              <w:right w:val="nil" w:sz="6" w:space="0" w:color="auto"/>
            </w:tcBorders>
          </w:tcPr>
          <w:p>
            <w:pPr/>
          </w:p>
        </w:tc>
        <w:tc>
          <w:tcPr>
            <w:tcW w:w="1126" w:type="dxa"/>
            <w:tcBorders>
              <w:top w:val="single" w:sz="6" w:space="0" w:color="000000"/>
              <w:left w:val="nil" w:sz="6" w:space="0" w:color="auto"/>
              <w:bottom w:val="nil" w:sz="6" w:space="0" w:color="auto"/>
              <w:right w:val="nil" w:sz="6" w:space="0" w:color="auto"/>
            </w:tcBorders>
          </w:tcPr>
          <w:p>
            <w:pPr/>
          </w:p>
        </w:tc>
        <w:tc>
          <w:tcPr>
            <w:tcW w:w="715" w:type="dxa"/>
            <w:tcBorders>
              <w:top w:val="single" w:sz="6" w:space="0" w:color="000000"/>
              <w:left w:val="nil" w:sz="6" w:space="0" w:color="auto"/>
              <w:bottom w:val="nil" w:sz="6" w:space="0" w:color="auto"/>
              <w:right w:val="nil" w:sz="6" w:space="0" w:color="auto"/>
            </w:tcBorders>
          </w:tcPr>
          <w:p>
            <w:pPr/>
          </w:p>
        </w:tc>
        <w:tc>
          <w:tcPr>
            <w:tcW w:w="719" w:type="dxa"/>
            <w:tcBorders>
              <w:top w:val="single" w:sz="6" w:space="0" w:color="000000"/>
              <w:left w:val="nil" w:sz="6" w:space="0" w:color="auto"/>
              <w:bottom w:val="nil" w:sz="6" w:space="0" w:color="auto"/>
              <w:right w:val="nil" w:sz="6" w:space="0" w:color="auto"/>
            </w:tcBorders>
          </w:tcPr>
          <w:p>
            <w:pPr/>
          </w:p>
        </w:tc>
        <w:tc>
          <w:tcPr>
            <w:tcW w:w="1514" w:type="dxa"/>
            <w:tcBorders>
              <w:top w:val="single" w:sz="6" w:space="0" w:color="000000"/>
              <w:left w:val="nil" w:sz="6" w:space="0" w:color="auto"/>
              <w:bottom w:val="nil" w:sz="6" w:space="0" w:color="auto"/>
              <w:right w:val="nil" w:sz="6" w:space="0" w:color="auto"/>
            </w:tcBorders>
          </w:tcPr>
          <w:p>
            <w:pPr/>
          </w:p>
        </w:tc>
        <w:tc>
          <w:tcPr>
            <w:tcW w:w="1003" w:type="dxa"/>
            <w:tcBorders>
              <w:top w:val="single" w:sz="6" w:space="0" w:color="000000"/>
              <w:left w:val="nil" w:sz="6" w:space="0" w:color="auto"/>
              <w:bottom w:val="nil" w:sz="6" w:space="0" w:color="auto"/>
              <w:right w:val="nil" w:sz="6" w:space="0" w:color="auto"/>
            </w:tcBorders>
          </w:tcPr>
          <w:p>
            <w:pPr/>
          </w:p>
        </w:tc>
        <w:tc>
          <w:tcPr>
            <w:tcW w:w="864" w:type="dxa"/>
            <w:tcBorders>
              <w:top w:val="single" w:sz="6" w:space="0" w:color="000000"/>
              <w:left w:val="nil" w:sz="6" w:space="0" w:color="auto"/>
              <w:bottom w:val="nil" w:sz="6" w:space="0" w:color="auto"/>
              <w:right w:val="nil" w:sz="6" w:space="0" w:color="auto"/>
            </w:tcBorders>
          </w:tcPr>
          <w:p>
            <w:pPr/>
          </w:p>
        </w:tc>
      </w:tr>
      <w:tr>
        <w:trPr>
          <w:trHeight w:val="588" w:hRule="exact"/>
        </w:trPr>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4"/>
              <w:jc w:val="right"/>
              <w:rPr>
                <w:rFonts w:ascii="Arial" w:hAnsi="Arial" w:cs="Arial" w:eastAsia="Arial" w:hint="default"/>
                <w:sz w:val="24"/>
                <w:szCs w:val="24"/>
              </w:rPr>
            </w:pPr>
            <w:r>
              <w:rPr>
                <w:rFonts w:ascii="Arial"/>
                <w:spacing w:val="-1"/>
                <w:sz w:val="24"/>
              </w:rPr>
              <w:t>(9)</w:t>
            </w:r>
          </w:p>
        </w:tc>
        <w:tc>
          <w:tcPr>
            <w:tcW w:w="20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77"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3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r>
        <w:trPr>
          <w:trHeight w:val="580" w:hRule="exact"/>
        </w:trPr>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4"/>
              <w:jc w:val="right"/>
              <w:rPr>
                <w:rFonts w:ascii="Arial" w:hAnsi="Arial" w:cs="Arial" w:eastAsia="Arial" w:hint="default"/>
                <w:sz w:val="24"/>
                <w:szCs w:val="24"/>
              </w:rPr>
            </w:pPr>
            <w:r>
              <w:rPr>
                <w:rFonts w:ascii="Arial"/>
                <w:w w:val="95"/>
                <w:sz w:val="24"/>
              </w:rPr>
              <w:t>(a)</w:t>
            </w:r>
            <w:r>
              <w:rPr>
                <w:rFonts w:ascii="Arial"/>
                <w:sz w:val="24"/>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7"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860"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r>
        <w:trPr>
          <w:trHeight w:val="392" w:hRule="exact"/>
        </w:trPr>
        <w:tc>
          <w:tcPr>
            <w:tcW w:w="640"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single" w:sz="12" w:space="0" w:color="000000"/>
              <w:right w:val="nil" w:sz="6" w:space="0" w:color="auto"/>
            </w:tcBorders>
          </w:tcPr>
          <w:p>
            <w:pPr/>
          </w:p>
        </w:tc>
        <w:tc>
          <w:tcPr>
            <w:tcW w:w="214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14"/>
              <w:ind w:left="53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003" w:type="dxa"/>
            <w:tcBorders>
              <w:top w:val="nil" w:sz="6" w:space="0" w:color="auto"/>
              <w:left w:val="nil" w:sz="6" w:space="0" w:color="auto"/>
              <w:bottom w:val="single" w:sz="12" w:space="0" w:color="000000"/>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r>
        <w:trPr>
          <w:trHeight w:val="598" w:hRule="exact"/>
        </w:trPr>
        <w:tc>
          <w:tcPr>
            <w:tcW w:w="640"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4" w:right="181"/>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38" w:type="dxa"/>
            <w:tcBorders>
              <w:top w:val="nil" w:sz="6" w:space="0" w:color="auto"/>
              <w:left w:val="nil" w:sz="6" w:space="0" w:color="auto"/>
              <w:bottom w:val="nil" w:sz="6" w:space="0" w:color="auto"/>
              <w:right w:val="nil" w:sz="6" w:space="0" w:color="auto"/>
            </w:tcBorders>
          </w:tcPr>
          <w:p>
            <w:pPr>
              <w:pStyle w:val="TableParagraph"/>
              <w:spacing w:line="227" w:lineRule="exact"/>
              <w:ind w:left="401"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13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886" w:type="dxa"/>
            <w:tcBorders>
              <w:top w:val="single" w:sz="12" w:space="0" w:color="000000"/>
              <w:left w:val="nil" w:sz="6" w:space="0" w:color="auto"/>
              <w:bottom w:val="nil" w:sz="6" w:space="0" w:color="auto"/>
              <w:right w:val="nil" w:sz="6" w:space="0" w:color="auto"/>
            </w:tcBorders>
          </w:tcPr>
          <w:p>
            <w:pPr>
              <w:pStyle w:val="TableParagraph"/>
              <w:spacing w:line="206" w:lineRule="exact"/>
              <w:ind w:left="93" w:right="0" w:firstLine="180"/>
              <w:jc w:val="left"/>
              <w:rPr>
                <w:rFonts w:ascii="宋体" w:hAnsi="宋体" w:cs="宋体" w:eastAsia="宋体" w:hint="default"/>
                <w:sz w:val="18"/>
                <w:szCs w:val="18"/>
              </w:rPr>
            </w:pPr>
            <w:r>
              <w:rPr>
                <w:rFonts w:ascii="宋体" w:hAnsi="宋体" w:cs="宋体" w:eastAsia="宋体" w:hint="default"/>
                <w:sz w:val="18"/>
                <w:szCs w:val="18"/>
              </w:rPr>
              <w:t>追加或</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070" w:type="dxa"/>
            <w:tcBorders>
              <w:top w:val="single" w:sz="12" w:space="0" w:color="000000"/>
              <w:left w:val="nil" w:sz="6" w:space="0" w:color="auto"/>
              <w:bottom w:val="nil" w:sz="6" w:space="0" w:color="auto"/>
              <w:right w:val="nil" w:sz="6" w:space="0" w:color="auto"/>
            </w:tcBorders>
          </w:tcPr>
          <w:p>
            <w:pPr>
              <w:pStyle w:val="TableParagraph"/>
              <w:spacing w:line="206" w:lineRule="exact"/>
              <w:ind w:left="71" w:right="0"/>
              <w:jc w:val="left"/>
              <w:rPr>
                <w:rFonts w:ascii="宋体" w:hAnsi="宋体" w:cs="宋体" w:eastAsia="宋体" w:hint="default"/>
                <w:sz w:val="18"/>
                <w:szCs w:val="18"/>
              </w:rPr>
            </w:pPr>
            <w:r>
              <w:rPr>
                <w:rFonts w:ascii="宋体" w:hAnsi="宋体" w:cs="宋体" w:eastAsia="宋体" w:hint="default"/>
                <w:sz w:val="18"/>
                <w:szCs w:val="18"/>
              </w:rPr>
              <w:t>按权益法调</w:t>
            </w:r>
          </w:p>
          <w:p>
            <w:pPr>
              <w:pStyle w:val="TableParagraph"/>
              <w:spacing w:line="234" w:lineRule="exact"/>
              <w:ind w:left="71" w:right="0"/>
              <w:jc w:val="left"/>
              <w:rPr>
                <w:rFonts w:ascii="宋体" w:hAnsi="宋体" w:cs="宋体" w:eastAsia="宋体" w:hint="default"/>
                <w:sz w:val="18"/>
                <w:szCs w:val="18"/>
              </w:rPr>
            </w:pPr>
            <w:r>
              <w:rPr>
                <w:rFonts w:ascii="宋体" w:hAnsi="宋体" w:cs="宋体" w:eastAsia="宋体" w:hint="default"/>
                <w:sz w:val="18"/>
                <w:szCs w:val="18"/>
              </w:rPr>
              <w:t>整的净损益</w:t>
            </w:r>
          </w:p>
        </w:tc>
        <w:tc>
          <w:tcPr>
            <w:tcW w:w="1073" w:type="dxa"/>
            <w:tcBorders>
              <w:top w:val="single" w:sz="12" w:space="0" w:color="000000"/>
              <w:left w:val="nil" w:sz="6" w:space="0" w:color="auto"/>
              <w:bottom w:val="nil" w:sz="6" w:space="0" w:color="auto"/>
              <w:right w:val="nil" w:sz="6" w:space="0" w:color="auto"/>
            </w:tcBorders>
          </w:tcPr>
          <w:p>
            <w:pPr>
              <w:pStyle w:val="TableParagraph"/>
              <w:spacing w:line="206" w:lineRule="exact"/>
              <w:ind w:left="276" w:right="0" w:hanging="180"/>
              <w:jc w:val="left"/>
              <w:rPr>
                <w:rFonts w:ascii="宋体" w:hAnsi="宋体" w:cs="宋体" w:eastAsia="宋体" w:hint="default"/>
                <w:sz w:val="18"/>
                <w:szCs w:val="18"/>
              </w:rPr>
            </w:pPr>
            <w:r>
              <w:rPr>
                <w:rFonts w:ascii="宋体" w:hAnsi="宋体" w:cs="宋体" w:eastAsia="宋体" w:hint="default"/>
                <w:sz w:val="18"/>
                <w:szCs w:val="18"/>
              </w:rPr>
              <w:t>宣告分派的</w:t>
            </w:r>
          </w:p>
          <w:p>
            <w:pPr>
              <w:pStyle w:val="TableParagraph"/>
              <w:spacing w:line="234" w:lineRule="exact"/>
              <w:ind w:left="276" w:right="0"/>
              <w:jc w:val="left"/>
              <w:rPr>
                <w:rFonts w:ascii="宋体" w:hAnsi="宋体" w:cs="宋体" w:eastAsia="宋体" w:hint="default"/>
                <w:sz w:val="18"/>
                <w:szCs w:val="18"/>
              </w:rPr>
            </w:pPr>
            <w:r>
              <w:rPr>
                <w:rFonts w:ascii="宋体" w:hAnsi="宋体" w:cs="宋体" w:eastAsia="宋体" w:hint="default"/>
                <w:sz w:val="18"/>
                <w:szCs w:val="18"/>
              </w:rPr>
              <w:t>现金股利</w:t>
            </w:r>
          </w:p>
        </w:tc>
        <w:tc>
          <w:tcPr>
            <w:tcW w:w="1003" w:type="dxa"/>
            <w:tcBorders>
              <w:top w:val="single" w:sz="12" w:space="0" w:color="000000"/>
              <w:left w:val="nil" w:sz="6" w:space="0" w:color="auto"/>
              <w:bottom w:val="nil" w:sz="6" w:space="0" w:color="auto"/>
              <w:right w:val="nil" w:sz="6" w:space="0" w:color="auto"/>
            </w:tcBorders>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取得控制权</w:t>
            </w:r>
          </w:p>
          <w:p>
            <w:pPr>
              <w:pStyle w:val="TableParagraph"/>
              <w:spacing w:line="234" w:lineRule="exact"/>
              <w:ind w:left="76" w:right="0"/>
              <w:jc w:val="left"/>
              <w:rPr>
                <w:rFonts w:ascii="宋体" w:hAnsi="宋体" w:cs="宋体" w:eastAsia="宋体" w:hint="default"/>
                <w:sz w:val="18"/>
                <w:szCs w:val="18"/>
              </w:rPr>
            </w:pPr>
            <w:r>
              <w:rPr>
                <w:rFonts w:ascii="宋体" w:hAnsi="宋体" w:cs="宋体" w:eastAsia="宋体" w:hint="default"/>
                <w:sz w:val="18"/>
                <w:szCs w:val="18"/>
              </w:rPr>
              <w:t>转为子公司</w:t>
            </w:r>
          </w:p>
        </w:tc>
        <w:tc>
          <w:tcPr>
            <w:tcW w:w="1126" w:type="dxa"/>
            <w:tcBorders>
              <w:top w:val="nil" w:sz="6" w:space="0" w:color="auto"/>
              <w:left w:val="nil" w:sz="6" w:space="0" w:color="auto"/>
              <w:bottom w:val="nil" w:sz="6" w:space="0" w:color="auto"/>
              <w:right w:val="nil" w:sz="6" w:space="0" w:color="auto"/>
            </w:tcBorders>
          </w:tcPr>
          <w:p>
            <w:pPr>
              <w:pStyle w:val="TableParagraph"/>
              <w:spacing w:line="227" w:lineRule="exact"/>
              <w:ind w:left="48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20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304" w:right="4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19"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298" w:right="58"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59" w:right="12"/>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64" w:type="dxa"/>
            <w:tcBorders>
              <w:top w:val="nil" w:sz="6" w:space="0" w:color="auto"/>
              <w:left w:val="nil" w:sz="6" w:space="0" w:color="auto"/>
              <w:bottom w:val="nil" w:sz="6" w:space="0" w:color="auto"/>
              <w:right w:val="nil" w:sz="6" w:space="0" w:color="auto"/>
            </w:tcBorders>
          </w:tcPr>
          <w:p>
            <w:pPr>
              <w:pStyle w:val="TableParagraph"/>
              <w:spacing w:line="232" w:lineRule="exact" w:before="11"/>
              <w:ind w:left="115" w:right="26"/>
              <w:jc w:val="left"/>
              <w:rPr>
                <w:rFonts w:ascii="宋体" w:hAnsi="宋体" w:cs="宋体" w:eastAsia="宋体" w:hint="default"/>
                <w:sz w:val="18"/>
                <w:szCs w:val="18"/>
              </w:rPr>
            </w:pPr>
            <w:r>
              <w:rPr>
                <w:rFonts w:ascii="宋体" w:hAnsi="宋体" w:cs="宋体" w:eastAsia="宋体" w:hint="default"/>
                <w:sz w:val="18"/>
                <w:szCs w:val="18"/>
              </w:rPr>
              <w:t>本年计提 减值准备</w:t>
            </w:r>
          </w:p>
        </w:tc>
      </w:tr>
      <w:tr>
        <w:trPr>
          <w:trHeight w:val="836" w:hRule="exact"/>
        </w:trPr>
        <w:tc>
          <w:tcPr>
            <w:tcW w:w="640"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2" w:lineRule="exact" w:before="140"/>
              <w:ind w:left="177" w:right="0"/>
              <w:jc w:val="left"/>
              <w:rPr>
                <w:rFonts w:ascii="Arial" w:hAnsi="Arial" w:cs="Arial" w:eastAsia="Arial" w:hint="default"/>
                <w:sz w:val="18"/>
                <w:szCs w:val="18"/>
              </w:rPr>
            </w:pPr>
            <w:r>
              <w:rPr>
                <w:rFonts w:ascii="Arial"/>
                <w:sz w:val="18"/>
              </w:rPr>
              <w:t>LAOX</w:t>
            </w:r>
          </w:p>
          <w:p>
            <w:pPr>
              <w:pStyle w:val="TableParagraph"/>
              <w:spacing w:line="221" w:lineRule="exact"/>
              <w:ind w:left="357"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81"/>
              <w:jc w:val="right"/>
              <w:rPr>
                <w:rFonts w:ascii="宋体" w:hAnsi="宋体" w:cs="宋体" w:eastAsia="宋体" w:hint="default"/>
                <w:sz w:val="18"/>
                <w:szCs w:val="18"/>
              </w:rPr>
            </w:pPr>
            <w:r>
              <w:rPr>
                <w:rFonts w:ascii="宋体" w:hAnsi="宋体" w:cs="宋体" w:eastAsia="宋体" w:hint="default"/>
                <w:sz w:val="18"/>
                <w:szCs w:val="18"/>
              </w:rPr>
              <w:t>权益法</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5" w:lineRule="exact"/>
              <w:ind w:left="579" w:right="0"/>
              <w:jc w:val="left"/>
              <w:rPr>
                <w:rFonts w:ascii="宋体" w:hAnsi="宋体" w:cs="宋体" w:eastAsia="宋体" w:hint="default"/>
                <w:sz w:val="18"/>
                <w:szCs w:val="18"/>
              </w:rPr>
            </w:pPr>
            <w:r>
              <w:rPr>
                <w:rFonts w:ascii="宋体" w:hAnsi="宋体" w:cs="宋体" w:eastAsia="宋体" w:hint="default"/>
                <w:sz w:val="18"/>
                <w:szCs w:val="18"/>
              </w:rPr>
              <w:t>日元</w:t>
            </w:r>
          </w:p>
          <w:p>
            <w:pPr>
              <w:pStyle w:val="TableParagraph"/>
              <w:spacing w:line="240" w:lineRule="auto"/>
              <w:ind w:left="183" w:right="0"/>
              <w:jc w:val="left"/>
              <w:rPr>
                <w:rFonts w:ascii="宋体" w:hAnsi="宋体" w:cs="宋体" w:eastAsia="宋体" w:hint="default"/>
                <w:sz w:val="18"/>
                <w:szCs w:val="18"/>
              </w:rPr>
            </w:pPr>
            <w:r>
              <w:rPr>
                <w:rFonts w:ascii="Arial" w:hAnsi="Arial" w:cs="Arial" w:eastAsia="Arial" w:hint="default"/>
                <w:sz w:val="18"/>
                <w:szCs w:val="18"/>
              </w:rPr>
              <w:t>30.9</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338" w:val="left" w:leader="none"/>
                <w:tab w:pos="1039" w:val="left" w:leader="none"/>
              </w:tabs>
              <w:spacing w:line="240" w:lineRule="auto"/>
              <w:ind w:right="8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251,903</w:t>
              <w:tab/>
            </w:r>
            <w:r>
              <w:rPr>
                <w:rFonts w:ascii="Arial"/>
                <w:spacing w:val="-1"/>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753" w:val="left" w:leader="none"/>
              </w:tabs>
              <w:spacing w:line="240" w:lineRule="auto"/>
              <w:ind w:right="7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266" w:val="left" w:leader="none"/>
              </w:tabs>
              <w:spacing w:line="240" w:lineRule="auto"/>
              <w:ind w:right="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(39,031)</w:t>
            </w:r>
            <w:r>
              <w:rPr>
                <w:rFonts w:ascii="Arial"/>
                <w:spacing w:val="-1"/>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931" w:val="left" w:leader="none"/>
              </w:tabs>
              <w:spacing w:line="240" w:lineRule="auto"/>
              <w:ind w:right="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(212,872)</w:t>
            </w:r>
            <w:r>
              <w:rPr>
                <w:rFonts w:ascii="Arial"/>
                <w:spacing w:val="-1"/>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919" w:val="left" w:leader="none"/>
                <w:tab w:pos="1048"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715" w:type="dxa"/>
            <w:tcBorders>
              <w:top w:val="nil" w:sz="6" w:space="0" w:color="auto"/>
              <w:left w:val="nil" w:sz="6" w:space="0" w:color="auto"/>
              <w:bottom w:val="nil" w:sz="6" w:space="0" w:color="auto"/>
              <w:right w:val="nil" w:sz="6" w:space="0" w:color="auto"/>
            </w:tcBorders>
          </w:tcPr>
          <w:p>
            <w:pPr>
              <w:pStyle w:val="TableParagraph"/>
              <w:spacing w:line="192" w:lineRule="exact" w:before="111"/>
              <w:ind w:left="55" w:right="0"/>
              <w:jc w:val="left"/>
              <w:rPr>
                <w:rFonts w:ascii="Arial" w:hAnsi="Arial" w:cs="Arial" w:eastAsia="Arial" w:hint="default"/>
                <w:sz w:val="18"/>
                <w:szCs w:val="18"/>
              </w:rPr>
            </w:pPr>
            <w:r>
              <w:rPr>
                <w:rFonts w:ascii="Arial"/>
                <w:sz w:val="18"/>
              </w:rPr>
              <w:t>34.28%</w:t>
            </w:r>
          </w:p>
          <w:p>
            <w:pPr>
              <w:pStyle w:val="TableParagraph"/>
              <w:spacing w:line="236" w:lineRule="exact" w:before="6"/>
              <w:ind w:left="244" w:right="48" w:hanging="18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扣除库</w:t>
            </w:r>
            <w:r>
              <w:rPr>
                <w:rFonts w:ascii="宋体" w:hAnsi="宋体" w:cs="宋体" w:eastAsia="宋体" w:hint="default"/>
                <w:w w:val="99"/>
                <w:sz w:val="18"/>
                <w:szCs w:val="18"/>
              </w:rPr>
              <w:t> </w:t>
            </w:r>
            <w:r>
              <w:rPr>
                <w:rFonts w:ascii="宋体" w:hAnsi="宋体" w:cs="宋体" w:eastAsia="宋体" w:hint="default"/>
                <w:sz w:val="18"/>
                <w:szCs w:val="18"/>
              </w:rPr>
              <w:t>存股</w:t>
            </w:r>
            <w:r>
              <w:rPr>
                <w:rFonts w:ascii="Arial" w:hAnsi="Arial" w:cs="Arial" w:eastAsia="Arial" w:hint="default"/>
                <w:sz w:val="18"/>
                <w:szCs w:val="18"/>
              </w:rPr>
              <w:t>)</w:t>
            </w:r>
          </w:p>
        </w:tc>
        <w:tc>
          <w:tcPr>
            <w:tcW w:w="719" w:type="dxa"/>
            <w:tcBorders>
              <w:top w:val="nil" w:sz="6" w:space="0" w:color="auto"/>
              <w:left w:val="nil" w:sz="6" w:space="0" w:color="auto"/>
              <w:bottom w:val="nil" w:sz="6" w:space="0" w:color="auto"/>
              <w:right w:val="nil" w:sz="6" w:space="0" w:color="auto"/>
            </w:tcBorders>
          </w:tcPr>
          <w:p>
            <w:pPr>
              <w:pStyle w:val="TableParagraph"/>
              <w:spacing w:line="192" w:lineRule="exact" w:before="111"/>
              <w:ind w:left="48" w:right="0"/>
              <w:jc w:val="left"/>
              <w:rPr>
                <w:rFonts w:ascii="Arial" w:hAnsi="Arial" w:cs="Arial" w:eastAsia="Arial" w:hint="default"/>
                <w:sz w:val="18"/>
                <w:szCs w:val="18"/>
              </w:rPr>
            </w:pPr>
            <w:r>
              <w:rPr>
                <w:rFonts w:ascii="Arial"/>
                <w:sz w:val="18"/>
              </w:rPr>
              <w:t>34.28%</w:t>
            </w:r>
          </w:p>
          <w:p>
            <w:pPr>
              <w:pStyle w:val="TableParagraph"/>
              <w:spacing w:line="236" w:lineRule="exact" w:before="6"/>
              <w:ind w:left="238" w:right="58" w:hanging="18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扣除库</w:t>
            </w:r>
            <w:r>
              <w:rPr>
                <w:rFonts w:ascii="宋体" w:hAnsi="宋体" w:cs="宋体" w:eastAsia="宋体" w:hint="default"/>
                <w:w w:val="99"/>
                <w:sz w:val="18"/>
                <w:szCs w:val="18"/>
              </w:rPr>
              <w:t> </w:t>
            </w:r>
            <w:r>
              <w:rPr>
                <w:rFonts w:ascii="宋体" w:hAnsi="宋体" w:cs="宋体" w:eastAsia="宋体" w:hint="default"/>
                <w:sz w:val="18"/>
                <w:szCs w:val="18"/>
              </w:rPr>
              <w:t>存股</w:t>
            </w:r>
            <w:r>
              <w:rPr>
                <w:rFonts w:ascii="Arial" w:hAnsi="Arial" w:cs="Arial" w:eastAsia="Arial" w:hint="default"/>
                <w:sz w:val="18"/>
                <w:szCs w:val="18"/>
              </w:rPr>
              <w:t>)</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0"/>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787" w:val="left" w:leader="none"/>
                <w:tab w:pos="899" w:val="left" w:leader="none"/>
              </w:tabs>
              <w:spacing w:line="240" w:lineRule="auto"/>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tabs>
                <w:tab w:pos="758" w:val="left" w:leader="none"/>
              </w:tabs>
              <w:spacing w:line="240" w:lineRule="auto"/>
              <w:ind w:left="-15" w:right="4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54" w:hRule="exact"/>
        </w:trPr>
        <w:tc>
          <w:tcPr>
            <w:tcW w:w="640"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60" w:type="dxa"/>
            <w:tcBorders>
              <w:top w:val="nil" w:sz="6" w:space="0" w:color="auto"/>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31"/>
              <w:jc w:val="right"/>
              <w:rPr>
                <w:rFonts w:ascii="Arial" w:hAnsi="Arial" w:cs="Arial" w:eastAsia="Arial" w:hint="default"/>
                <w:sz w:val="18"/>
                <w:szCs w:val="18"/>
              </w:rPr>
            </w:pPr>
            <w:r>
              <w:rPr>
                <w:rFonts w:ascii="Arial"/>
                <w:spacing w:val="-1"/>
                <w:sz w:val="18"/>
              </w:rPr>
              <w:t>251,903</w:t>
            </w:r>
          </w:p>
        </w:tc>
        <w:tc>
          <w:tcPr>
            <w:tcW w:w="88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0"/>
              <w:jc w:val="right"/>
              <w:rPr>
                <w:rFonts w:ascii="Arial" w:hAnsi="Arial" w:cs="Arial" w:eastAsia="Arial" w:hint="default"/>
                <w:sz w:val="18"/>
                <w:szCs w:val="18"/>
              </w:rPr>
            </w:pPr>
            <w:r>
              <w:rPr>
                <w:rFonts w:ascii="Arial"/>
                <w:w w:val="99"/>
                <w:sz w:val="18"/>
              </w:rPr>
              <w:t>-</w:t>
            </w:r>
            <w:r>
              <w:rPr>
                <w:rFonts w:ascii="Arial"/>
                <w:sz w:val="18"/>
              </w:rPr>
            </w:r>
          </w:p>
        </w:tc>
        <w:tc>
          <w:tcPr>
            <w:tcW w:w="107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4"/>
              <w:jc w:val="right"/>
              <w:rPr>
                <w:rFonts w:ascii="Arial" w:hAnsi="Arial" w:cs="Arial" w:eastAsia="Arial" w:hint="default"/>
                <w:sz w:val="18"/>
                <w:szCs w:val="18"/>
              </w:rPr>
            </w:pPr>
            <w:r>
              <w:rPr>
                <w:rFonts w:ascii="Arial"/>
                <w:spacing w:val="-1"/>
                <w:sz w:val="18"/>
              </w:rPr>
              <w:t>(39,031)</w:t>
            </w:r>
          </w:p>
        </w:tc>
        <w:tc>
          <w:tcPr>
            <w:tcW w:w="107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4"/>
              <w:jc w:val="right"/>
              <w:rPr>
                <w:rFonts w:ascii="Arial" w:hAnsi="Arial" w:cs="Arial" w:eastAsia="Arial" w:hint="default"/>
                <w:sz w:val="18"/>
                <w:szCs w:val="18"/>
              </w:rPr>
            </w:pPr>
            <w:r>
              <w:rPr>
                <w:rFonts w:ascii="Arial"/>
                <w:w w:val="99"/>
                <w:sz w:val="18"/>
              </w:rPr>
              <w:t>-</w:t>
            </w:r>
            <w:r>
              <w:rPr>
                <w:rFonts w:ascii="Arial"/>
                <w:sz w:val="18"/>
              </w:rPr>
            </w:r>
          </w:p>
        </w:tc>
        <w:tc>
          <w:tcPr>
            <w:tcW w:w="100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2"/>
              <w:jc w:val="right"/>
              <w:rPr>
                <w:rFonts w:ascii="Arial" w:hAnsi="Arial" w:cs="Arial" w:eastAsia="Arial" w:hint="default"/>
                <w:sz w:val="18"/>
                <w:szCs w:val="18"/>
              </w:rPr>
            </w:pPr>
            <w:r>
              <w:rPr>
                <w:rFonts w:ascii="Arial"/>
                <w:spacing w:val="-1"/>
                <w:sz w:val="18"/>
              </w:rPr>
              <w:t>(212,872)</w:t>
            </w: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7"/>
              <w:jc w:val="right"/>
              <w:rPr>
                <w:rFonts w:ascii="Arial" w:hAnsi="Arial" w:cs="Arial" w:eastAsia="Arial" w:hint="default"/>
                <w:sz w:val="18"/>
                <w:szCs w:val="18"/>
              </w:rPr>
            </w:pPr>
            <w:r>
              <w:rPr>
                <w:rFonts w:ascii="Arial"/>
                <w:w w:val="99"/>
                <w:sz w:val="18"/>
              </w:rPr>
              <w:t>-</w:t>
            </w:r>
            <w:r>
              <w:rPr>
                <w:rFonts w:ascii="Arial"/>
                <w:sz w:val="18"/>
              </w:rPr>
            </w:r>
          </w:p>
        </w:tc>
        <w:tc>
          <w:tcPr>
            <w:tcW w:w="715"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39"/>
              <w:jc w:val="right"/>
              <w:rPr>
                <w:rFonts w:ascii="Arial" w:hAnsi="Arial" w:cs="Arial" w:eastAsia="Arial" w:hint="default"/>
                <w:sz w:val="18"/>
                <w:szCs w:val="18"/>
              </w:rPr>
            </w:pPr>
            <w:r>
              <w:rPr>
                <w:rFonts w:ascii="Arial"/>
                <w:w w:val="99"/>
                <w:sz w:val="18"/>
              </w:rPr>
              <w:t>-</w:t>
            </w:r>
            <w:r>
              <w:rPr>
                <w:rFonts w:ascii="Arial"/>
                <w:sz w:val="18"/>
              </w:rPr>
            </w:r>
          </w:p>
        </w:tc>
        <w:tc>
          <w:tcPr>
            <w:tcW w:w="86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78"/>
          <w:footerReference w:type="default" r:id="rId79"/>
          <w:pgSz w:w="16850" w:h="11910" w:orient="landscape"/>
          <w:pgMar w:header="1474" w:footer="954" w:top="2960" w:bottom="1140" w:left="960" w:right="0"/>
          <w:pgNumType w:start="158"/>
        </w:sectPr>
      </w:pPr>
    </w:p>
    <w:p>
      <w:pPr>
        <w:spacing w:line="240" w:lineRule="auto" w:before="1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644"/>
        <w:gridCol w:w="1423"/>
        <w:gridCol w:w="883"/>
        <w:gridCol w:w="1057"/>
        <w:gridCol w:w="1658"/>
        <w:gridCol w:w="1261"/>
        <w:gridCol w:w="1699"/>
        <w:gridCol w:w="636"/>
        <w:gridCol w:w="673"/>
        <w:gridCol w:w="1528"/>
        <w:gridCol w:w="1091"/>
        <w:gridCol w:w="937"/>
        <w:gridCol w:w="1378"/>
      </w:tblGrid>
      <w:tr>
        <w:trPr>
          <w:trHeight w:val="699" w:hRule="exact"/>
        </w:trPr>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202"/>
              <w:jc w:val="righ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363"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18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58" w:type="dxa"/>
            <w:tcBorders>
              <w:top w:val="single" w:sz="6" w:space="0" w:color="000000"/>
              <w:left w:val="nil" w:sz="6" w:space="0" w:color="auto"/>
              <w:bottom w:val="nil" w:sz="6" w:space="0" w:color="auto"/>
              <w:right w:val="nil" w:sz="6" w:space="0" w:color="auto"/>
            </w:tcBorders>
          </w:tcPr>
          <w:p>
            <w:pPr/>
          </w:p>
        </w:tc>
        <w:tc>
          <w:tcPr>
            <w:tcW w:w="1261" w:type="dxa"/>
            <w:tcBorders>
              <w:top w:val="single" w:sz="6" w:space="0" w:color="000000"/>
              <w:left w:val="nil" w:sz="6" w:space="0" w:color="auto"/>
              <w:bottom w:val="nil" w:sz="6" w:space="0" w:color="auto"/>
              <w:right w:val="nil" w:sz="6" w:space="0" w:color="auto"/>
            </w:tcBorders>
          </w:tcPr>
          <w:p>
            <w:pPr/>
          </w:p>
        </w:tc>
        <w:tc>
          <w:tcPr>
            <w:tcW w:w="1699" w:type="dxa"/>
            <w:tcBorders>
              <w:top w:val="single" w:sz="6" w:space="0" w:color="000000"/>
              <w:left w:val="nil" w:sz="6" w:space="0" w:color="auto"/>
              <w:bottom w:val="nil" w:sz="6" w:space="0" w:color="auto"/>
              <w:right w:val="nil" w:sz="6" w:space="0" w:color="auto"/>
            </w:tcBorders>
          </w:tcPr>
          <w:p>
            <w:pPr/>
          </w:p>
        </w:tc>
        <w:tc>
          <w:tcPr>
            <w:tcW w:w="636" w:type="dxa"/>
            <w:tcBorders>
              <w:top w:val="single" w:sz="6" w:space="0" w:color="000000"/>
              <w:left w:val="nil" w:sz="6" w:space="0" w:color="auto"/>
              <w:bottom w:val="nil" w:sz="6" w:space="0" w:color="auto"/>
              <w:right w:val="nil" w:sz="6" w:space="0" w:color="auto"/>
            </w:tcBorders>
          </w:tcPr>
          <w:p>
            <w:pPr/>
          </w:p>
        </w:tc>
        <w:tc>
          <w:tcPr>
            <w:tcW w:w="673" w:type="dxa"/>
            <w:tcBorders>
              <w:top w:val="single" w:sz="6" w:space="0" w:color="000000"/>
              <w:left w:val="nil" w:sz="6" w:space="0" w:color="auto"/>
              <w:bottom w:val="nil" w:sz="6" w:space="0" w:color="auto"/>
              <w:right w:val="nil" w:sz="6" w:space="0" w:color="auto"/>
            </w:tcBorders>
          </w:tcPr>
          <w:p>
            <w:pPr/>
          </w:p>
        </w:tc>
        <w:tc>
          <w:tcPr>
            <w:tcW w:w="1528" w:type="dxa"/>
            <w:tcBorders>
              <w:top w:val="single" w:sz="6" w:space="0" w:color="000000"/>
              <w:left w:val="nil" w:sz="6" w:space="0" w:color="auto"/>
              <w:bottom w:val="nil" w:sz="6" w:space="0" w:color="auto"/>
              <w:right w:val="nil" w:sz="6" w:space="0" w:color="auto"/>
            </w:tcBorders>
          </w:tcPr>
          <w:p>
            <w:pPr/>
          </w:p>
        </w:tc>
        <w:tc>
          <w:tcPr>
            <w:tcW w:w="1091" w:type="dxa"/>
            <w:tcBorders>
              <w:top w:val="single" w:sz="6" w:space="0" w:color="000000"/>
              <w:left w:val="nil" w:sz="6" w:space="0" w:color="auto"/>
              <w:bottom w:val="nil" w:sz="6" w:space="0" w:color="auto"/>
              <w:right w:val="nil" w:sz="6" w:space="0" w:color="auto"/>
            </w:tcBorders>
          </w:tcPr>
          <w:p>
            <w:pPr/>
          </w:p>
        </w:tc>
        <w:tc>
          <w:tcPr>
            <w:tcW w:w="937" w:type="dxa"/>
            <w:tcBorders>
              <w:top w:val="single" w:sz="6" w:space="0" w:color="000000"/>
              <w:left w:val="nil" w:sz="6" w:space="0" w:color="auto"/>
              <w:bottom w:val="nil" w:sz="6" w:space="0" w:color="auto"/>
              <w:right w:val="nil" w:sz="6" w:space="0" w:color="auto"/>
            </w:tcBorders>
          </w:tcPr>
          <w:p>
            <w:pPr/>
          </w:p>
        </w:tc>
        <w:tc>
          <w:tcPr>
            <w:tcW w:w="1378" w:type="dxa"/>
            <w:tcBorders>
              <w:top w:val="single" w:sz="6" w:space="0" w:color="000000"/>
              <w:left w:val="nil" w:sz="6" w:space="0" w:color="auto"/>
              <w:bottom w:val="nil" w:sz="6" w:space="0" w:color="auto"/>
              <w:right w:val="nil" w:sz="6" w:space="0" w:color="auto"/>
            </w:tcBorders>
          </w:tcPr>
          <w:p>
            <w:pPr/>
          </w:p>
        </w:tc>
      </w:tr>
      <w:tr>
        <w:trPr>
          <w:trHeight w:val="588" w:hRule="exact"/>
        </w:trPr>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8"/>
              <w:jc w:val="right"/>
              <w:rPr>
                <w:rFonts w:ascii="Arial" w:hAnsi="Arial" w:cs="Arial" w:eastAsia="Arial" w:hint="default"/>
                <w:sz w:val="24"/>
                <w:szCs w:val="24"/>
              </w:rPr>
            </w:pPr>
            <w:r>
              <w:rPr>
                <w:rFonts w:ascii="Arial"/>
                <w:spacing w:val="-1"/>
                <w:sz w:val="24"/>
              </w:rPr>
              <w:t>(9)</w:t>
            </w:r>
          </w:p>
        </w:tc>
        <w:tc>
          <w:tcPr>
            <w:tcW w:w="23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84"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580" w:hRule="exact"/>
        </w:trPr>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48"/>
              <w:jc w:val="right"/>
              <w:rPr>
                <w:rFonts w:ascii="Arial" w:hAnsi="Arial" w:cs="Arial" w:eastAsia="Arial" w:hint="default"/>
                <w:sz w:val="24"/>
                <w:szCs w:val="24"/>
              </w:rPr>
            </w:pPr>
            <w:r>
              <w:rPr>
                <w:rFonts w:ascii="Arial"/>
                <w:spacing w:val="-1"/>
                <w:sz w:val="24"/>
              </w:rPr>
              <w:t>(b)</w:t>
            </w:r>
          </w:p>
        </w:tc>
        <w:tc>
          <w:tcPr>
            <w:tcW w:w="23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84" w:right="0"/>
              <w:jc w:val="left"/>
              <w:rPr>
                <w:rFonts w:ascii="宋体" w:hAnsi="宋体" w:cs="宋体" w:eastAsia="宋体" w:hint="default"/>
                <w:sz w:val="24"/>
                <w:szCs w:val="24"/>
              </w:rPr>
            </w:pPr>
            <w:r>
              <w:rPr>
                <w:rFonts w:ascii="宋体" w:hAnsi="宋体" w:cs="宋体" w:eastAsia="宋体" w:hint="default"/>
                <w:sz w:val="24"/>
                <w:szCs w:val="24"/>
              </w:rPr>
              <w:t>其他长期股权投资</w:t>
            </w:r>
          </w:p>
        </w:tc>
        <w:tc>
          <w:tcPr>
            <w:tcW w:w="10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730" w:hRule="exact"/>
        </w:trPr>
        <w:tc>
          <w:tcPr>
            <w:tcW w:w="644" w:type="dxa"/>
            <w:tcBorders>
              <w:top w:val="nil" w:sz="6" w:space="0" w:color="auto"/>
              <w:left w:val="nil" w:sz="6" w:space="0" w:color="auto"/>
              <w:bottom w:val="nil" w:sz="6" w:space="0" w:color="auto"/>
              <w:right w:val="nil" w:sz="6" w:space="0" w:color="auto"/>
            </w:tcBorders>
          </w:tcPr>
          <w:p>
            <w:pPr/>
          </w:p>
        </w:tc>
        <w:tc>
          <w:tcPr>
            <w:tcW w:w="230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35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9"/>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59"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2"/>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1" w:right="7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52" w:right="59"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8" w:right="27"/>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25"/>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5" w:right="89"/>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378" w:type="dxa"/>
            <w:tcBorders>
              <w:top w:val="nil" w:sz="6" w:space="0" w:color="auto"/>
              <w:left w:val="nil" w:sz="6" w:space="0" w:color="auto"/>
              <w:bottom w:val="nil" w:sz="6" w:space="0" w:color="auto"/>
              <w:right w:val="nil" w:sz="6" w:space="0" w:color="auto"/>
            </w:tcBorders>
          </w:tcPr>
          <w:p>
            <w:pPr>
              <w:pStyle w:val="TableParagraph"/>
              <w:spacing w:line="235" w:lineRule="exact" w:before="114"/>
              <w:ind w:left="91"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822" w:hRule="exact"/>
        </w:trPr>
        <w:tc>
          <w:tcPr>
            <w:tcW w:w="64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37" w:lineRule="auto" w:before="82"/>
              <w:ind w:left="364" w:right="156" w:hanging="180"/>
              <w:jc w:val="left"/>
              <w:rPr>
                <w:rFonts w:ascii="宋体" w:hAnsi="宋体" w:cs="宋体" w:eastAsia="宋体" w:hint="default"/>
                <w:sz w:val="18"/>
                <w:szCs w:val="18"/>
              </w:rPr>
            </w:pPr>
            <w:r>
              <w:rPr>
                <w:rFonts w:ascii="宋体" w:hAnsi="宋体" w:cs="宋体" w:eastAsia="宋体" w:hint="default"/>
                <w:sz w:val="18"/>
                <w:szCs w:val="18"/>
              </w:rPr>
              <w:t>南京苏宁工程 设备销售 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1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12"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47" w:right="0"/>
              <w:jc w:val="left"/>
              <w:rPr>
                <w:rFonts w:ascii="宋体" w:hAnsi="宋体" w:cs="宋体" w:eastAsia="宋体" w:hint="default"/>
                <w:sz w:val="18"/>
                <w:szCs w:val="18"/>
              </w:rPr>
            </w:pPr>
            <w:r>
              <w:rPr>
                <w:rFonts w:ascii="Arial" w:hAnsi="Arial" w:cs="Arial" w:eastAsia="Arial" w:hint="default"/>
                <w:sz w:val="18"/>
                <w:szCs w:val="18"/>
              </w:rPr>
              <w:t>83</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9"/>
              <w:jc w:val="right"/>
              <w:rPr>
                <w:rFonts w:ascii="Arial" w:hAnsi="Arial" w:cs="Arial" w:eastAsia="Arial" w:hint="default"/>
                <w:sz w:val="18"/>
                <w:szCs w:val="18"/>
              </w:rPr>
            </w:pPr>
            <w:r>
              <w:rPr>
                <w:rFonts w:ascii="Arial"/>
                <w:w w:val="95"/>
                <w:sz w:val="18"/>
              </w:rPr>
              <w:t>993</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8"/>
              <w:jc w:val="right"/>
              <w:rPr>
                <w:rFonts w:ascii="Arial" w:hAnsi="Arial" w:cs="Arial" w:eastAsia="Arial" w:hint="default"/>
                <w:sz w:val="18"/>
                <w:szCs w:val="18"/>
              </w:rPr>
            </w:pPr>
            <w:r>
              <w:rPr>
                <w:rFonts w:ascii="Arial"/>
                <w:w w:val="95"/>
                <w:sz w:val="18"/>
              </w:rPr>
              <w:t>993</w:t>
            </w:r>
            <w:r>
              <w:rPr>
                <w:rFonts w:ascii="Arial"/>
                <w:sz w:val="18"/>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0"/>
              <w:jc w:val="right"/>
              <w:rPr>
                <w:rFonts w:ascii="Arial" w:hAnsi="Arial" w:cs="Arial" w:eastAsia="Arial" w:hint="default"/>
                <w:sz w:val="18"/>
                <w:szCs w:val="18"/>
              </w:rPr>
            </w:pPr>
            <w:r>
              <w:rPr>
                <w:rFonts w:ascii="Arial"/>
                <w:w w:val="95"/>
                <w:sz w:val="18"/>
              </w:rPr>
              <w:t>10%</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w w:val="95"/>
                <w:sz w:val="18"/>
              </w:rPr>
              <w:t>10%</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60"/>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78"/>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64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195" w:lineRule="exact"/>
              <w:ind w:left="63" w:right="0"/>
              <w:jc w:val="center"/>
              <w:rPr>
                <w:rFonts w:ascii="宋体" w:hAnsi="宋体" w:cs="宋体" w:eastAsia="宋体" w:hint="default"/>
                <w:sz w:val="18"/>
                <w:szCs w:val="18"/>
              </w:rPr>
            </w:pPr>
            <w:r>
              <w:rPr>
                <w:rFonts w:ascii="宋体" w:hAnsi="宋体" w:cs="宋体" w:eastAsia="宋体" w:hint="default"/>
                <w:spacing w:val="6"/>
                <w:sz w:val="18"/>
                <w:szCs w:val="18"/>
              </w:rPr>
              <w:t>江苏银行股份</w:t>
            </w: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7" w:type="dxa"/>
            <w:tcBorders>
              <w:top w:val="nil" w:sz="6" w:space="0" w:color="auto"/>
              <w:left w:val="nil" w:sz="6" w:space="0" w:color="auto"/>
              <w:bottom w:val="nil" w:sz="6" w:space="0" w:color="auto"/>
              <w:right w:val="nil" w:sz="6" w:space="0" w:color="auto"/>
            </w:tcBorders>
          </w:tcPr>
          <w:p>
            <w:pPr>
              <w:pStyle w:val="TableParagraph"/>
              <w:spacing w:line="195" w:lineRule="exact"/>
              <w:ind w:left="196"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96" w:right="0"/>
              <w:jc w:val="center"/>
              <w:rPr>
                <w:rFonts w:ascii="宋体" w:hAnsi="宋体" w:cs="宋体" w:eastAsia="宋体" w:hint="default"/>
                <w:sz w:val="18"/>
                <w:szCs w:val="18"/>
              </w:rPr>
            </w:pPr>
            <w:r>
              <w:rPr>
                <w:rFonts w:ascii="Arial" w:hAnsi="Arial" w:cs="Arial" w:eastAsia="Arial" w:hint="default"/>
                <w:sz w:val="18"/>
                <w:szCs w:val="18"/>
              </w:rPr>
              <w:t>5.4</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9"/>
              <w:jc w:val="right"/>
              <w:rPr>
                <w:rFonts w:ascii="Arial" w:hAnsi="Arial" w:cs="Arial" w:eastAsia="Arial" w:hint="default"/>
                <w:sz w:val="18"/>
                <w:szCs w:val="18"/>
              </w:rPr>
            </w:pPr>
            <w:r>
              <w:rPr>
                <w:rFonts w:ascii="Arial"/>
                <w:spacing w:val="-1"/>
                <w:sz w:val="18"/>
              </w:rPr>
              <w:t>540,000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0"/>
              <w:jc w:val="right"/>
              <w:rPr>
                <w:rFonts w:ascii="Arial" w:hAnsi="Arial" w:cs="Arial" w:eastAsia="Arial" w:hint="default"/>
                <w:sz w:val="18"/>
                <w:szCs w:val="18"/>
              </w:rPr>
            </w:pPr>
            <w:r>
              <w:rPr>
                <w:rFonts w:ascii="Arial"/>
                <w:spacing w:val="-1"/>
                <w:sz w:val="18"/>
              </w:rPr>
              <w:t>540,000</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1"/>
              <w:jc w:val="right"/>
              <w:rPr>
                <w:rFonts w:ascii="Arial" w:hAnsi="Arial" w:cs="Arial" w:eastAsia="Arial" w:hint="default"/>
                <w:sz w:val="18"/>
                <w:szCs w:val="18"/>
              </w:rPr>
            </w:pPr>
            <w:r>
              <w:rPr>
                <w:rFonts w:ascii="Arial"/>
                <w:w w:val="95"/>
                <w:sz w:val="18"/>
              </w:rPr>
              <w:t>1.79%</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Arial" w:hAnsi="Arial" w:cs="Arial" w:eastAsia="Arial" w:hint="default"/>
                <w:sz w:val="18"/>
                <w:szCs w:val="18"/>
              </w:rPr>
            </w:pPr>
            <w:r>
              <w:rPr>
                <w:rFonts w:ascii="Arial"/>
                <w:w w:val="95"/>
                <w:sz w:val="18"/>
              </w:rPr>
              <w:t>1.79%</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0"/>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8" w:right="0"/>
              <w:jc w:val="left"/>
              <w:rPr>
                <w:rFonts w:ascii="Arial" w:hAnsi="Arial" w:cs="Arial" w:eastAsia="Arial" w:hint="default"/>
                <w:sz w:val="18"/>
                <w:szCs w:val="18"/>
              </w:rPr>
            </w:pPr>
            <w:r>
              <w:rPr>
                <w:rFonts w:ascii="Arial"/>
                <w:sz w:val="18"/>
              </w:rPr>
              <w:t>12,000</w:t>
            </w:r>
          </w:p>
        </w:tc>
      </w:tr>
      <w:tr>
        <w:trPr>
          <w:trHeight w:val="702" w:hRule="exact"/>
        </w:trPr>
        <w:tc>
          <w:tcPr>
            <w:tcW w:w="64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195" w:lineRule="exact"/>
              <w:ind w:left="364" w:right="0" w:hanging="180"/>
              <w:jc w:val="left"/>
              <w:rPr>
                <w:rFonts w:ascii="宋体" w:hAnsi="宋体" w:cs="宋体" w:eastAsia="宋体" w:hint="default"/>
                <w:sz w:val="18"/>
                <w:szCs w:val="18"/>
              </w:rPr>
            </w:pPr>
            <w:r>
              <w:rPr>
                <w:rFonts w:ascii="宋体" w:hAnsi="宋体" w:cs="宋体" w:eastAsia="宋体" w:hint="default"/>
                <w:spacing w:val="6"/>
                <w:sz w:val="18"/>
                <w:szCs w:val="18"/>
              </w:rPr>
              <w:t>菱重家用空调</w:t>
            </w:r>
          </w:p>
          <w:p>
            <w:pPr>
              <w:pStyle w:val="TableParagraph"/>
              <w:spacing w:line="232" w:lineRule="exact" w:before="24"/>
              <w:ind w:left="364" w:right="118"/>
              <w:jc w:val="left"/>
              <w:rPr>
                <w:rFonts w:ascii="宋体" w:hAnsi="宋体" w:cs="宋体" w:eastAsia="宋体" w:hint="default"/>
                <w:sz w:val="18"/>
                <w:szCs w:val="18"/>
              </w:rPr>
            </w:pPr>
            <w:r>
              <w:rPr>
                <w:rFonts w:ascii="宋体" w:hAnsi="宋体" w:cs="宋体" w:eastAsia="宋体" w:hint="default"/>
                <w:spacing w:val="12"/>
                <w:sz w:val="18"/>
                <w:szCs w:val="18"/>
              </w:rPr>
              <w:t>系统</w:t>
            </w:r>
            <w:r>
              <w:rPr>
                <w:rFonts w:ascii="Arial" w:hAnsi="Arial" w:cs="Arial" w:eastAsia="Arial" w:hint="default"/>
                <w:spacing w:val="12"/>
                <w:sz w:val="18"/>
                <w:szCs w:val="18"/>
              </w:rPr>
              <w:t>(</w:t>
            </w:r>
            <w:r>
              <w:rPr>
                <w:rFonts w:ascii="Arial" w:hAnsi="Arial" w:cs="Arial" w:eastAsia="Arial" w:hint="default"/>
                <w:spacing w:val="-29"/>
                <w:sz w:val="18"/>
                <w:szCs w:val="18"/>
              </w:rPr>
              <w:t> </w:t>
            </w:r>
            <w:r>
              <w:rPr>
                <w:rFonts w:ascii="宋体" w:hAnsi="宋体" w:cs="宋体" w:eastAsia="宋体" w:hint="default"/>
                <w:spacing w:val="13"/>
                <w:sz w:val="18"/>
                <w:szCs w:val="18"/>
              </w:rPr>
              <w:t>上海</w:t>
            </w:r>
            <w:r>
              <w:rPr>
                <w:rFonts w:ascii="Arial" w:hAnsi="Arial" w:cs="Arial" w:eastAsia="Arial" w:hint="default"/>
                <w:spacing w:val="13"/>
                <w:sz w:val="18"/>
                <w:szCs w:val="18"/>
              </w:rPr>
              <w:t>)</w:t>
            </w:r>
            <w:r>
              <w:rPr>
                <w:rFonts w:ascii="Arial" w:hAnsi="Arial" w:cs="Arial" w:eastAsia="Arial" w:hint="default"/>
                <w:sz w:val="18"/>
                <w:szCs w:val="18"/>
              </w:rPr>
              <w:t> </w:t>
            </w:r>
            <w:r>
              <w:rPr>
                <w:rFonts w:ascii="宋体" w:hAnsi="宋体" w:cs="宋体" w:eastAsia="宋体" w:hint="default"/>
                <w:sz w:val="18"/>
                <w:szCs w:val="18"/>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34" w:lineRule="exact"/>
              <w:ind w:left="309"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7" w:lineRule="exact"/>
              <w:ind w:left="145" w:right="0"/>
              <w:jc w:val="center"/>
              <w:rPr>
                <w:rFonts w:ascii="宋体" w:hAnsi="宋体" w:cs="宋体" w:eastAsia="宋体" w:hint="default"/>
                <w:sz w:val="18"/>
                <w:szCs w:val="18"/>
              </w:rPr>
            </w:pPr>
            <w:r>
              <w:rPr>
                <w:rFonts w:ascii="Arial" w:hAnsi="Arial" w:cs="Arial" w:eastAsia="Arial" w:hint="default"/>
                <w:sz w:val="18"/>
                <w:szCs w:val="18"/>
              </w:rPr>
              <w:t>480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688" w:right="0"/>
              <w:jc w:val="left"/>
              <w:rPr>
                <w:rFonts w:ascii="Arial" w:hAnsi="Arial" w:cs="Arial" w:eastAsia="Arial" w:hint="default"/>
                <w:sz w:val="18"/>
                <w:szCs w:val="18"/>
              </w:rPr>
            </w:pPr>
            <w:r>
              <w:rPr>
                <w:rFonts w:ascii="Arial"/>
                <w:sz w:val="18"/>
              </w:rPr>
              <w:t>4,800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40"/>
              <w:jc w:val="right"/>
              <w:rPr>
                <w:rFonts w:ascii="Arial" w:hAnsi="Arial" w:cs="Arial" w:eastAsia="Arial" w:hint="default"/>
                <w:sz w:val="18"/>
                <w:szCs w:val="18"/>
              </w:rPr>
            </w:pPr>
            <w:r>
              <w:rPr>
                <w:rFonts w:ascii="Arial"/>
                <w:w w:val="95"/>
                <w:sz w:val="18"/>
              </w:rPr>
              <w:t>4,800</w:t>
            </w:r>
            <w:r>
              <w:rPr>
                <w:rFonts w:ascii="Arial"/>
                <w:sz w:val="18"/>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70"/>
              <w:jc w:val="right"/>
              <w:rPr>
                <w:rFonts w:ascii="Arial" w:hAnsi="Arial" w:cs="Arial" w:eastAsia="Arial" w:hint="default"/>
                <w:sz w:val="18"/>
                <w:szCs w:val="18"/>
              </w:rPr>
            </w:pPr>
            <w:r>
              <w:rPr>
                <w:rFonts w:ascii="Arial"/>
                <w:w w:val="95"/>
                <w:sz w:val="18"/>
              </w:rPr>
              <w:t>15%</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56"/>
              <w:jc w:val="right"/>
              <w:rPr>
                <w:rFonts w:ascii="Arial" w:hAnsi="Arial" w:cs="Arial" w:eastAsia="Arial" w:hint="default"/>
                <w:sz w:val="18"/>
                <w:szCs w:val="18"/>
              </w:rPr>
            </w:pPr>
            <w:r>
              <w:rPr>
                <w:rFonts w:ascii="Arial"/>
                <w:w w:val="95"/>
                <w:sz w:val="18"/>
              </w:rPr>
              <w:t>15%</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160"/>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178"/>
              <w:jc w:val="right"/>
              <w:rPr>
                <w:rFonts w:ascii="Arial" w:hAnsi="Arial" w:cs="Arial" w:eastAsia="Arial" w:hint="default"/>
                <w:sz w:val="18"/>
                <w:szCs w:val="18"/>
              </w:rPr>
            </w:pPr>
            <w:r>
              <w:rPr>
                <w:rFonts w:ascii="Arial"/>
                <w:w w:val="99"/>
                <w:sz w:val="18"/>
              </w:rPr>
              <w:t>-</w:t>
            </w:r>
            <w:r>
              <w:rPr>
                <w:rFonts w:ascii="Arial"/>
                <w:sz w:val="18"/>
              </w:rPr>
            </w:r>
          </w:p>
        </w:tc>
      </w:tr>
      <w:tr>
        <w:trPr>
          <w:trHeight w:val="740" w:hRule="exact"/>
        </w:trPr>
        <w:tc>
          <w:tcPr>
            <w:tcW w:w="64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195" w:lineRule="exact"/>
              <w:ind w:left="364" w:right="0" w:hanging="180"/>
              <w:jc w:val="left"/>
              <w:rPr>
                <w:rFonts w:ascii="宋体" w:hAnsi="宋体" w:cs="宋体" w:eastAsia="宋体" w:hint="default"/>
                <w:sz w:val="18"/>
                <w:szCs w:val="18"/>
              </w:rPr>
            </w:pPr>
            <w:r>
              <w:rPr>
                <w:rFonts w:ascii="宋体" w:hAnsi="宋体" w:cs="宋体" w:eastAsia="宋体" w:hint="default"/>
                <w:spacing w:val="6"/>
                <w:sz w:val="18"/>
                <w:szCs w:val="18"/>
              </w:rPr>
              <w:t>北京通州国开</w:t>
            </w:r>
          </w:p>
          <w:p>
            <w:pPr>
              <w:pStyle w:val="TableParagraph"/>
              <w:spacing w:line="240" w:lineRule="auto"/>
              <w:ind w:left="364" w:right="108"/>
              <w:jc w:val="left"/>
              <w:rPr>
                <w:rFonts w:ascii="宋体" w:hAnsi="宋体" w:cs="宋体" w:eastAsia="宋体" w:hint="default"/>
                <w:sz w:val="18"/>
                <w:szCs w:val="18"/>
              </w:rPr>
            </w:pPr>
            <w:r>
              <w:rPr>
                <w:rFonts w:ascii="宋体" w:hAnsi="宋体" w:cs="宋体" w:eastAsia="宋体" w:hint="default"/>
                <w:spacing w:val="9"/>
                <w:sz w:val="18"/>
                <w:szCs w:val="18"/>
              </w:rPr>
              <w:t>村镇银行股 </w:t>
            </w:r>
            <w:r>
              <w:rPr>
                <w:rFonts w:ascii="宋体" w:hAnsi="宋体" w:cs="宋体" w:eastAsia="宋体" w:hint="default"/>
                <w:sz w:val="18"/>
                <w:szCs w:val="18"/>
              </w:rPr>
              <w:t>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5" w:lineRule="exact"/>
              <w:ind w:left="309"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145" w:right="0"/>
              <w:jc w:val="center"/>
              <w:rPr>
                <w:rFonts w:ascii="宋体" w:hAnsi="宋体" w:cs="宋体" w:eastAsia="宋体" w:hint="default"/>
                <w:sz w:val="18"/>
                <w:szCs w:val="18"/>
              </w:rPr>
            </w:pPr>
            <w:r>
              <w:rPr>
                <w:rFonts w:ascii="Arial" w:hAnsi="Arial" w:cs="Arial" w:eastAsia="Arial" w:hint="default"/>
                <w:sz w:val="18"/>
                <w:szCs w:val="18"/>
              </w:rPr>
              <w:t>900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1535" w:val="left" w:leader="none"/>
              </w:tabs>
              <w:spacing w:line="240" w:lineRule="auto"/>
              <w:ind w:right="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688" w:val="left" w:leader="none"/>
                <w:tab w:pos="1259" w:val="left" w:leader="none"/>
              </w:tabs>
              <w:spacing w:line="240" w:lineRule="auto"/>
              <w:ind w:left="4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9,000</w:t>
              <w:tab/>
            </w:r>
            <w:r>
              <w:rPr>
                <w:rFonts w:ascii="Arial"/>
                <w:sz w:val="18"/>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1130" w:val="left" w:leader="none"/>
              </w:tabs>
              <w:spacing w:line="240" w:lineRule="auto"/>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9,000</w:t>
            </w:r>
            <w:r>
              <w:rPr>
                <w:rFonts w:ascii="Arial"/>
                <w:w w:val="95"/>
                <w:sz w:val="18"/>
              </w:rPr>
            </w:r>
            <w:r>
              <w:rPr>
                <w:rFonts w:ascii="Arial"/>
                <w:sz w:val="18"/>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70"/>
              <w:jc w:val="right"/>
              <w:rPr>
                <w:rFonts w:ascii="Arial" w:hAnsi="Arial" w:cs="Arial" w:eastAsia="Arial" w:hint="default"/>
                <w:sz w:val="18"/>
                <w:szCs w:val="18"/>
              </w:rPr>
            </w:pPr>
            <w:r>
              <w:rPr>
                <w:rFonts w:ascii="Arial"/>
                <w:w w:val="95"/>
                <w:sz w:val="18"/>
              </w:rPr>
              <w:t>9%</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56"/>
              <w:jc w:val="right"/>
              <w:rPr>
                <w:rFonts w:ascii="Arial" w:hAnsi="Arial" w:cs="Arial" w:eastAsia="Arial" w:hint="default"/>
                <w:sz w:val="18"/>
                <w:szCs w:val="18"/>
              </w:rPr>
            </w:pPr>
            <w:r>
              <w:rPr>
                <w:rFonts w:ascii="Arial"/>
                <w:w w:val="95"/>
                <w:sz w:val="18"/>
              </w:rPr>
              <w:t>9%</w:t>
            </w:r>
            <w:r>
              <w:rPr>
                <w:rFonts w:ascii="Arial"/>
                <w:sz w:val="18"/>
              </w:rPr>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868" w:val="left" w:leader="none"/>
              </w:tabs>
              <w:spacing w:line="240" w:lineRule="auto"/>
              <w:ind w:right="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785" w:val="left" w:leader="none"/>
              </w:tabs>
              <w:spacing w:line="240" w:lineRule="auto"/>
              <w:ind w:left="-23"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tabs>
                <w:tab w:pos="1137" w:val="left" w:leader="none"/>
                <w:tab w:pos="1377" w:val="left" w:leader="none"/>
              </w:tabs>
              <w:spacing w:line="240" w:lineRule="auto"/>
              <w:ind w:left="1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1" w:hRule="exact"/>
        </w:trPr>
        <w:tc>
          <w:tcPr>
            <w:tcW w:w="64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9"/>
              <w:jc w:val="right"/>
              <w:rPr>
                <w:rFonts w:ascii="Arial" w:hAnsi="Arial" w:cs="Arial" w:eastAsia="Arial" w:hint="default"/>
                <w:sz w:val="18"/>
                <w:szCs w:val="18"/>
              </w:rPr>
            </w:pPr>
            <w:r>
              <w:rPr>
                <w:rFonts w:ascii="Arial"/>
                <w:spacing w:val="-1"/>
                <w:sz w:val="18"/>
              </w:rPr>
              <w:t>540,993</w:t>
            </w:r>
          </w:p>
        </w:tc>
        <w:tc>
          <w:tcPr>
            <w:tcW w:w="126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587" w:right="0"/>
              <w:jc w:val="left"/>
              <w:rPr>
                <w:rFonts w:ascii="Arial" w:hAnsi="Arial" w:cs="Arial" w:eastAsia="Arial" w:hint="default"/>
                <w:sz w:val="18"/>
                <w:szCs w:val="18"/>
              </w:rPr>
            </w:pPr>
            <w:r>
              <w:rPr>
                <w:rFonts w:ascii="Arial"/>
                <w:sz w:val="18"/>
              </w:rPr>
              <w:t>13,800</w:t>
            </w:r>
          </w:p>
        </w:tc>
        <w:tc>
          <w:tcPr>
            <w:tcW w:w="169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42"/>
              <w:jc w:val="right"/>
              <w:rPr>
                <w:rFonts w:ascii="Arial" w:hAnsi="Arial" w:cs="Arial" w:eastAsia="Arial" w:hint="default"/>
                <w:sz w:val="18"/>
                <w:szCs w:val="18"/>
              </w:rPr>
            </w:pPr>
            <w:r>
              <w:rPr>
                <w:rFonts w:ascii="Arial"/>
                <w:spacing w:val="-1"/>
                <w:sz w:val="18"/>
              </w:rPr>
              <w:t>554,793</w:t>
            </w: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60"/>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89"/>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48" w:right="0"/>
              <w:jc w:val="left"/>
              <w:rPr>
                <w:rFonts w:ascii="Arial" w:hAnsi="Arial" w:cs="Arial" w:eastAsia="Arial" w:hint="default"/>
                <w:sz w:val="18"/>
                <w:szCs w:val="18"/>
              </w:rPr>
            </w:pPr>
            <w:r>
              <w:rPr>
                <w:rFonts w:ascii="Arial"/>
                <w:sz w:val="18"/>
              </w:rPr>
              <w:t>12,000</w:t>
            </w:r>
          </w:p>
        </w:tc>
      </w:tr>
    </w:tbl>
    <w:p>
      <w:pPr>
        <w:spacing w:after="0" w:line="240" w:lineRule="auto"/>
        <w:jc w:val="left"/>
        <w:rPr>
          <w:rFonts w:ascii="Arial" w:hAnsi="Arial" w:cs="Arial" w:eastAsia="Arial" w:hint="default"/>
          <w:sz w:val="18"/>
          <w:szCs w:val="18"/>
        </w:rPr>
        <w:sectPr>
          <w:pgSz w:w="16850" w:h="11910" w:orient="landscape"/>
          <w:pgMar w:header="1474" w:footer="954" w:top="2960" w:bottom="1140" w:left="94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772"/>
        <w:gridCol w:w="2352"/>
        <w:gridCol w:w="1844"/>
        <w:gridCol w:w="1415"/>
        <w:gridCol w:w="1429"/>
        <w:gridCol w:w="1692"/>
        <w:gridCol w:w="109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19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1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415" w:type="dxa"/>
            <w:tcBorders>
              <w:top w:val="single" w:sz="6" w:space="0" w:color="000000"/>
              <w:left w:val="nil" w:sz="6" w:space="0" w:color="auto"/>
              <w:bottom w:val="nil" w:sz="6" w:space="0" w:color="auto"/>
              <w:right w:val="nil" w:sz="6" w:space="0" w:color="auto"/>
            </w:tcBorders>
          </w:tcPr>
          <w:p>
            <w:pPr/>
          </w:p>
        </w:tc>
        <w:tc>
          <w:tcPr>
            <w:tcW w:w="1429" w:type="dxa"/>
            <w:tcBorders>
              <w:top w:val="single" w:sz="6" w:space="0" w:color="000000"/>
              <w:left w:val="nil" w:sz="6" w:space="0" w:color="auto"/>
              <w:bottom w:val="nil" w:sz="6" w:space="0" w:color="auto"/>
              <w:right w:val="nil" w:sz="6" w:space="0" w:color="auto"/>
            </w:tcBorders>
          </w:tcPr>
          <w:p>
            <w:pPr/>
          </w:p>
        </w:tc>
        <w:tc>
          <w:tcPr>
            <w:tcW w:w="1692" w:type="dxa"/>
            <w:tcBorders>
              <w:top w:val="single" w:sz="6" w:space="0" w:color="000000"/>
              <w:left w:val="nil" w:sz="6" w:space="0" w:color="auto"/>
              <w:bottom w:val="nil" w:sz="6" w:space="0" w:color="auto"/>
              <w:right w:val="nil" w:sz="6" w:space="0" w:color="auto"/>
            </w:tcBorders>
          </w:tcPr>
          <w:p>
            <w:pPr/>
          </w:p>
        </w:tc>
        <w:tc>
          <w:tcPr>
            <w:tcW w:w="1092" w:type="dxa"/>
            <w:tcBorders>
              <w:top w:val="single" w:sz="6" w:space="0" w:color="000000"/>
              <w:left w:val="nil" w:sz="6" w:space="0" w:color="auto"/>
              <w:bottom w:val="nil" w:sz="6" w:space="0" w:color="auto"/>
              <w:right w:val="nil" w:sz="6" w:space="0" w:color="auto"/>
            </w:tcBorders>
          </w:tcPr>
          <w:p>
            <w:pPr/>
          </w:p>
        </w:tc>
      </w:tr>
      <w:tr>
        <w:trPr>
          <w:trHeight w:val="58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(10)</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0" w:right="0"/>
              <w:jc w:val="left"/>
              <w:rPr>
                <w:rFonts w:ascii="宋体" w:hAnsi="宋体" w:cs="宋体" w:eastAsia="宋体" w:hint="default"/>
                <w:sz w:val="24"/>
                <w:szCs w:val="24"/>
              </w:rPr>
            </w:pPr>
            <w:r>
              <w:rPr>
                <w:rFonts w:ascii="宋体" w:hAnsi="宋体" w:cs="宋体" w:eastAsia="宋体" w:hint="default"/>
                <w:b/>
                <w:bCs/>
                <w:sz w:val="24"/>
                <w:szCs w:val="24"/>
              </w:rPr>
              <w:t>投资性房地产</w:t>
            </w:r>
            <w:r>
              <w:rPr>
                <w:rFonts w:ascii="宋体" w:hAnsi="宋体" w:cs="宋体" w:eastAsia="宋体" w:hint="default"/>
                <w:sz w:val="24"/>
                <w:szCs w:val="24"/>
              </w:rPr>
            </w:r>
          </w:p>
        </w:tc>
        <w:tc>
          <w:tcPr>
            <w:tcW w:w="1844"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r>
      <w:tr>
        <w:trPr>
          <w:trHeight w:val="844" w:hRule="exact"/>
        </w:trPr>
        <w:tc>
          <w:tcPr>
            <w:tcW w:w="772"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95" w:lineRule="exact" w:before="105"/>
              <w:ind w:left="789"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45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left="244" w:right="0"/>
              <w:jc w:val="left"/>
              <w:rPr>
                <w:rFonts w:ascii="宋体" w:hAnsi="宋体" w:cs="宋体" w:eastAsia="宋体" w:hint="default"/>
                <w:sz w:val="22"/>
                <w:szCs w:val="22"/>
              </w:rPr>
            </w:pPr>
            <w:r>
              <w:rPr>
                <w:rFonts w:ascii="宋体" w:hAnsi="宋体" w:cs="宋体" w:eastAsia="宋体" w:hint="default"/>
                <w:sz w:val="22"/>
                <w:szCs w:val="22"/>
              </w:rPr>
              <w:t>本年转入</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left="247" w:right="0"/>
              <w:jc w:val="left"/>
              <w:rPr>
                <w:rFonts w:ascii="宋体" w:hAnsi="宋体" w:cs="宋体" w:eastAsia="宋体" w:hint="default"/>
                <w:sz w:val="22"/>
                <w:szCs w:val="22"/>
              </w:rPr>
            </w:pPr>
            <w:r>
              <w:rPr>
                <w:rFonts w:ascii="宋体" w:hAnsi="宋体" w:cs="宋体" w:eastAsia="宋体" w:hint="default"/>
                <w:sz w:val="22"/>
                <w:szCs w:val="22"/>
              </w:rPr>
              <w:t>本年计提</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566"/>
              <w:jc w:val="right"/>
              <w:rPr>
                <w:rFonts w:ascii="宋体" w:hAnsi="宋体" w:cs="宋体" w:eastAsia="宋体" w:hint="default"/>
                <w:sz w:val="22"/>
                <w:szCs w:val="22"/>
              </w:rPr>
            </w:pPr>
            <w:r>
              <w:rPr>
                <w:rFonts w:ascii="宋体" w:hAnsi="宋体" w:cs="宋体" w:eastAsia="宋体" w:hint="default"/>
                <w:sz w:val="22"/>
                <w:szCs w:val="22"/>
              </w:rPr>
              <w:t>本年转出</w:t>
            </w:r>
          </w:p>
        </w:tc>
        <w:tc>
          <w:tcPr>
            <w:tcW w:w="1092" w:type="dxa"/>
            <w:tcBorders>
              <w:top w:val="nil" w:sz="6" w:space="0" w:color="auto"/>
              <w:left w:val="nil" w:sz="6" w:space="0" w:color="auto"/>
              <w:bottom w:val="nil" w:sz="6" w:space="0" w:color="auto"/>
              <w:right w:val="nil" w:sz="6" w:space="0" w:color="auto"/>
            </w:tcBorders>
          </w:tcPr>
          <w:p>
            <w:pPr>
              <w:pStyle w:val="TableParagraph"/>
              <w:spacing w:line="295" w:lineRule="exact" w:before="105"/>
              <w:ind w:left="126" w:right="0"/>
              <w:jc w:val="center"/>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4"/>
                <w:sz w:val="22"/>
                <w:szCs w:val="22"/>
              </w:rPr>
              <w:t> </w:t>
            </w:r>
            <w:r>
              <w:rPr>
                <w:rFonts w:ascii="宋体" w:hAnsi="宋体" w:cs="宋体" w:eastAsia="宋体" w:hint="default"/>
                <w:sz w:val="22"/>
                <w:szCs w:val="22"/>
              </w:rPr>
              <w:t>年</w:t>
            </w:r>
          </w:p>
          <w:p>
            <w:pPr>
              <w:pStyle w:val="TableParagraph"/>
              <w:spacing w:line="295" w:lineRule="exact"/>
              <w:ind w:left="-1" w:right="-5"/>
              <w:jc w:val="center"/>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14" w:hRule="exact"/>
        </w:trPr>
        <w:tc>
          <w:tcPr>
            <w:tcW w:w="772"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0" w:right="0"/>
              <w:jc w:val="left"/>
              <w:rPr>
                <w:rFonts w:ascii="宋体" w:hAnsi="宋体" w:cs="宋体" w:eastAsia="宋体" w:hint="default"/>
                <w:sz w:val="22"/>
                <w:szCs w:val="22"/>
              </w:rPr>
            </w:pPr>
            <w:r>
              <w:rPr>
                <w:rFonts w:ascii="宋体" w:hAnsi="宋体" w:cs="宋体" w:eastAsia="宋体" w:hint="default"/>
                <w:sz w:val="22"/>
                <w:szCs w:val="22"/>
              </w:rPr>
              <w:t>原价合计</w:t>
            </w: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322"/>
              <w:jc w:val="right"/>
              <w:rPr>
                <w:rFonts w:ascii="Arial" w:hAnsi="Arial" w:cs="Arial" w:eastAsia="Arial" w:hint="default"/>
                <w:sz w:val="22"/>
                <w:szCs w:val="22"/>
              </w:rPr>
            </w:pPr>
            <w:r>
              <w:rPr>
                <w:rFonts w:ascii="Arial"/>
                <w:spacing w:val="-1"/>
                <w:sz w:val="22"/>
              </w:rPr>
              <w:t>429,566</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left="294" w:right="0"/>
              <w:jc w:val="left"/>
              <w:rPr>
                <w:rFonts w:ascii="Arial" w:hAnsi="Arial" w:cs="Arial" w:eastAsia="Arial" w:hint="default"/>
                <w:sz w:val="22"/>
                <w:szCs w:val="22"/>
              </w:rPr>
            </w:pPr>
            <w:r>
              <w:rPr>
                <w:rFonts w:ascii="Arial"/>
                <w:sz w:val="22"/>
              </w:rPr>
              <w:t>327,766</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330"/>
              <w:jc w:val="right"/>
              <w:rPr>
                <w:rFonts w:ascii="Arial" w:hAnsi="Arial" w:cs="Arial" w:eastAsia="Arial" w:hint="default"/>
                <w:sz w:val="22"/>
                <w:szCs w:val="22"/>
              </w:rPr>
            </w:pPr>
            <w:r>
              <w:rPr>
                <w:rFonts w:ascii="Arial"/>
                <w:w w:val="100"/>
                <w:sz w:val="22"/>
              </w:rPr>
              <w:t>-</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536"/>
              <w:jc w:val="right"/>
              <w:rPr>
                <w:rFonts w:ascii="Arial" w:hAnsi="Arial" w:cs="Arial" w:eastAsia="Arial" w:hint="default"/>
                <w:sz w:val="22"/>
                <w:szCs w:val="22"/>
              </w:rPr>
            </w:pPr>
            <w:r>
              <w:rPr>
                <w:rFonts w:ascii="Arial"/>
                <w:spacing w:val="-1"/>
                <w:sz w:val="22"/>
              </w:rPr>
              <w:t>(7,630)</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0"/>
              <w:jc w:val="center"/>
              <w:rPr>
                <w:rFonts w:ascii="Arial" w:hAnsi="Arial" w:cs="Arial" w:eastAsia="Arial" w:hint="default"/>
                <w:sz w:val="22"/>
                <w:szCs w:val="22"/>
              </w:rPr>
            </w:pPr>
            <w:r>
              <w:rPr>
                <w:rFonts w:ascii="Arial"/>
                <w:sz w:val="22"/>
              </w:rPr>
              <w:t>749,702</w:t>
            </w:r>
          </w:p>
        </w:tc>
      </w:tr>
      <w:tr>
        <w:trPr>
          <w:trHeight w:val="295" w:hRule="exact"/>
        </w:trPr>
        <w:tc>
          <w:tcPr>
            <w:tcW w:w="772" w:type="dxa"/>
            <w:tcBorders>
              <w:top w:val="nil" w:sz="6" w:space="0" w:color="auto"/>
              <w:left w:val="nil" w:sz="6" w:space="0" w:color="auto"/>
              <w:bottom w:val="nil" w:sz="6" w:space="0" w:color="auto"/>
              <w:right w:val="single" w:sz="4" w:space="0" w:color="000000"/>
            </w:tcBorders>
          </w:tcPr>
          <w:p>
            <w:pP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720"/>
              <w:jc w:val="right"/>
              <w:rPr>
                <w:rFonts w:ascii="宋体" w:hAnsi="宋体" w:cs="宋体" w:eastAsia="宋体" w:hint="default"/>
                <w:sz w:val="22"/>
                <w:szCs w:val="22"/>
              </w:rPr>
            </w:pPr>
            <w:r>
              <w:rPr>
                <w:rFonts w:ascii="宋体" w:hAnsi="宋体" w:cs="宋体" w:eastAsia="宋体" w:hint="default"/>
                <w:spacing w:val="-1"/>
                <w:sz w:val="22"/>
                <w:szCs w:val="22"/>
              </w:rPr>
              <w:t>房屋及建筑物</w:t>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322"/>
              <w:jc w:val="right"/>
              <w:rPr>
                <w:rFonts w:ascii="Arial" w:hAnsi="Arial" w:cs="Arial" w:eastAsia="Arial" w:hint="default"/>
                <w:sz w:val="22"/>
                <w:szCs w:val="22"/>
              </w:rPr>
            </w:pPr>
            <w:r>
              <w:rPr>
                <w:rFonts w:ascii="Arial"/>
                <w:spacing w:val="-1"/>
                <w:sz w:val="22"/>
              </w:rPr>
              <w:t>429,566</w:t>
            </w:r>
          </w:p>
        </w:tc>
        <w:tc>
          <w:tcPr>
            <w:tcW w:w="1415"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294" w:right="0"/>
              <w:jc w:val="left"/>
              <w:rPr>
                <w:rFonts w:ascii="Arial" w:hAnsi="Arial" w:cs="Arial" w:eastAsia="Arial" w:hint="default"/>
                <w:sz w:val="22"/>
                <w:szCs w:val="22"/>
              </w:rPr>
            </w:pPr>
            <w:r>
              <w:rPr>
                <w:rFonts w:ascii="Arial"/>
                <w:sz w:val="22"/>
              </w:rPr>
              <w:t>327,766</w:t>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330"/>
              <w:jc w:val="right"/>
              <w:rPr>
                <w:rFonts w:ascii="Arial" w:hAnsi="Arial" w:cs="Arial" w:eastAsia="Arial" w:hint="default"/>
                <w:sz w:val="22"/>
                <w:szCs w:val="22"/>
              </w:rPr>
            </w:pPr>
            <w:r>
              <w:rPr>
                <w:rFonts w:ascii="Arial"/>
                <w:w w:val="100"/>
                <w:sz w:val="22"/>
              </w:rPr>
              <w:t>-</w:t>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536"/>
              <w:jc w:val="right"/>
              <w:rPr>
                <w:rFonts w:ascii="Arial" w:hAnsi="Arial" w:cs="Arial" w:eastAsia="Arial" w:hint="default"/>
                <w:sz w:val="22"/>
                <w:szCs w:val="22"/>
              </w:rPr>
            </w:pPr>
            <w:r>
              <w:rPr>
                <w:rFonts w:ascii="Arial"/>
                <w:spacing w:val="-1"/>
                <w:sz w:val="22"/>
              </w:rPr>
              <w:t>(7,630)</w:t>
            </w:r>
          </w:p>
        </w:tc>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0"/>
              <w:jc w:val="center"/>
              <w:rPr>
                <w:rFonts w:ascii="Arial" w:hAnsi="Arial" w:cs="Arial" w:eastAsia="Arial" w:hint="default"/>
                <w:sz w:val="22"/>
                <w:szCs w:val="22"/>
              </w:rPr>
            </w:pPr>
            <w:r>
              <w:rPr>
                <w:rFonts w:ascii="Arial"/>
                <w:sz w:val="22"/>
              </w:rPr>
              <w:t>749,702</w:t>
            </w:r>
          </w:p>
        </w:tc>
      </w:tr>
      <w:tr>
        <w:trPr>
          <w:trHeight w:val="550" w:hRule="exact"/>
        </w:trPr>
        <w:tc>
          <w:tcPr>
            <w:tcW w:w="772"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22"/>
                <w:szCs w:val="22"/>
              </w:rPr>
            </w:pPr>
            <w:r>
              <w:rPr>
                <w:rFonts w:ascii="宋体" w:hAnsi="宋体" w:cs="宋体" w:eastAsia="宋体" w:hint="default"/>
                <w:sz w:val="22"/>
                <w:szCs w:val="22"/>
              </w:rPr>
              <w:t>累计折旧合计</w:t>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44"/>
              <w:jc w:val="right"/>
              <w:rPr>
                <w:rFonts w:ascii="Arial" w:hAnsi="Arial" w:cs="Arial" w:eastAsia="Arial" w:hint="default"/>
                <w:sz w:val="22"/>
                <w:szCs w:val="22"/>
              </w:rPr>
            </w:pPr>
            <w:r>
              <w:rPr>
                <w:rFonts w:ascii="Arial"/>
                <w:spacing w:val="-1"/>
                <w:sz w:val="22"/>
              </w:rPr>
              <w:t>(42,432)</w:t>
            </w:r>
            <w:r>
              <w:rPr>
                <w:rFonts w:ascii="Arial"/>
                <w:sz w:val="22"/>
              </w:rPr>
            </w:r>
          </w:p>
        </w:tc>
        <w:tc>
          <w:tcPr>
            <w:tcW w:w="14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45"/>
              <w:jc w:val="right"/>
              <w:rPr>
                <w:rFonts w:ascii="Arial" w:hAnsi="Arial" w:cs="Arial" w:eastAsia="Arial" w:hint="default"/>
                <w:sz w:val="22"/>
                <w:szCs w:val="22"/>
              </w:rPr>
            </w:pPr>
            <w:r>
              <w:rPr>
                <w:rFonts w:ascii="Arial"/>
                <w:spacing w:val="-1"/>
                <w:sz w:val="22"/>
              </w:rPr>
              <w:t>(4,975)</w:t>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7"/>
              <w:jc w:val="right"/>
              <w:rPr>
                <w:rFonts w:ascii="Arial" w:hAnsi="Arial" w:cs="Arial" w:eastAsia="Arial" w:hint="default"/>
                <w:sz w:val="22"/>
                <w:szCs w:val="22"/>
              </w:rPr>
            </w:pPr>
            <w:r>
              <w:rPr>
                <w:rFonts w:ascii="Arial"/>
                <w:spacing w:val="-1"/>
                <w:sz w:val="22"/>
              </w:rPr>
              <w:t>(17,938)</w:t>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614"/>
              <w:jc w:val="right"/>
              <w:rPr>
                <w:rFonts w:ascii="Arial" w:hAnsi="Arial" w:cs="Arial" w:eastAsia="Arial" w:hint="default"/>
                <w:sz w:val="22"/>
                <w:szCs w:val="22"/>
              </w:rPr>
            </w:pPr>
            <w:r>
              <w:rPr>
                <w:rFonts w:ascii="Arial"/>
                <w:spacing w:val="-1"/>
                <w:sz w:val="22"/>
              </w:rPr>
              <w:t>63</w:t>
            </w:r>
            <w:r>
              <w:rPr>
                <w:rFonts w:ascii="Arial"/>
                <w:sz w:val="22"/>
              </w:rPr>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7" w:right="0"/>
              <w:jc w:val="center"/>
              <w:rPr>
                <w:rFonts w:ascii="Arial" w:hAnsi="Arial" w:cs="Arial" w:eastAsia="Arial" w:hint="default"/>
                <w:sz w:val="22"/>
                <w:szCs w:val="22"/>
              </w:rPr>
            </w:pPr>
            <w:r>
              <w:rPr>
                <w:rFonts w:ascii="Arial"/>
                <w:sz w:val="22"/>
              </w:rPr>
              <w:t>(65,282)</w:t>
            </w:r>
          </w:p>
        </w:tc>
      </w:tr>
      <w:tr>
        <w:trPr>
          <w:trHeight w:val="298" w:hRule="exact"/>
        </w:trPr>
        <w:tc>
          <w:tcPr>
            <w:tcW w:w="772" w:type="dxa"/>
            <w:tcBorders>
              <w:top w:val="nil" w:sz="6" w:space="0" w:color="auto"/>
              <w:left w:val="nil" w:sz="6" w:space="0" w:color="auto"/>
              <w:bottom w:val="nil" w:sz="6" w:space="0" w:color="auto"/>
              <w:right w:val="single" w:sz="4" w:space="0" w:color="000000"/>
            </w:tcBorders>
          </w:tcPr>
          <w:p>
            <w:pPr/>
          </w:p>
        </w:tc>
        <w:tc>
          <w:tcPr>
            <w:tcW w:w="2352"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720"/>
              <w:jc w:val="right"/>
              <w:rPr>
                <w:rFonts w:ascii="宋体" w:hAnsi="宋体" w:cs="宋体" w:eastAsia="宋体" w:hint="default"/>
                <w:sz w:val="22"/>
                <w:szCs w:val="22"/>
              </w:rPr>
            </w:pPr>
            <w:r>
              <w:rPr>
                <w:rFonts w:ascii="宋体" w:hAnsi="宋体" w:cs="宋体" w:eastAsia="宋体" w:hint="default"/>
                <w:spacing w:val="-1"/>
                <w:sz w:val="22"/>
                <w:szCs w:val="22"/>
              </w:rPr>
              <w:t>房屋及建筑物</w:t>
            </w: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42"/>
              <w:jc w:val="right"/>
              <w:rPr>
                <w:rFonts w:ascii="Arial" w:hAnsi="Arial" w:cs="Arial" w:eastAsia="Arial" w:hint="default"/>
                <w:sz w:val="22"/>
                <w:szCs w:val="22"/>
              </w:rPr>
            </w:pPr>
            <w:r>
              <w:rPr>
                <w:rFonts w:ascii="Arial"/>
                <w:spacing w:val="-1"/>
                <w:sz w:val="22"/>
              </w:rPr>
              <w:t>(42,432)</w:t>
            </w:r>
          </w:p>
        </w:tc>
        <w:tc>
          <w:tcPr>
            <w:tcW w:w="1415"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45"/>
              <w:jc w:val="right"/>
              <w:rPr>
                <w:rFonts w:ascii="Arial" w:hAnsi="Arial" w:cs="Arial" w:eastAsia="Arial" w:hint="default"/>
                <w:sz w:val="22"/>
                <w:szCs w:val="22"/>
              </w:rPr>
            </w:pPr>
            <w:r>
              <w:rPr>
                <w:rFonts w:ascii="Arial"/>
                <w:spacing w:val="-1"/>
                <w:sz w:val="22"/>
              </w:rPr>
              <w:t>(4,975)</w:t>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37"/>
              <w:jc w:val="right"/>
              <w:rPr>
                <w:rFonts w:ascii="Arial" w:hAnsi="Arial" w:cs="Arial" w:eastAsia="Arial" w:hint="default"/>
                <w:sz w:val="22"/>
                <w:szCs w:val="22"/>
              </w:rPr>
            </w:pPr>
            <w:r>
              <w:rPr>
                <w:rFonts w:ascii="Arial"/>
                <w:spacing w:val="-1"/>
                <w:sz w:val="22"/>
              </w:rPr>
              <w:t>(17,938)</w:t>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614"/>
              <w:jc w:val="right"/>
              <w:rPr>
                <w:rFonts w:ascii="Arial" w:hAnsi="Arial" w:cs="Arial" w:eastAsia="Arial" w:hint="default"/>
                <w:sz w:val="22"/>
                <w:szCs w:val="22"/>
              </w:rPr>
            </w:pPr>
            <w:r>
              <w:rPr>
                <w:rFonts w:ascii="Arial"/>
                <w:spacing w:val="-1"/>
                <w:sz w:val="22"/>
              </w:rPr>
              <w:t>63</w:t>
            </w:r>
            <w:r>
              <w:rPr>
                <w:rFonts w:ascii="Arial"/>
                <w:sz w:val="22"/>
              </w:rPr>
            </w:r>
          </w:p>
        </w:tc>
        <w:tc>
          <w:tcPr>
            <w:tcW w:w="1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87" w:right="0"/>
              <w:jc w:val="center"/>
              <w:rPr>
                <w:rFonts w:ascii="Arial" w:hAnsi="Arial" w:cs="Arial" w:eastAsia="Arial" w:hint="default"/>
                <w:sz w:val="22"/>
                <w:szCs w:val="22"/>
              </w:rPr>
            </w:pPr>
            <w:r>
              <w:rPr>
                <w:rFonts w:ascii="Arial"/>
                <w:sz w:val="22"/>
              </w:rPr>
              <w:t>(65,282)</w:t>
            </w:r>
          </w:p>
        </w:tc>
      </w:tr>
      <w:tr>
        <w:trPr>
          <w:trHeight w:val="535" w:hRule="exact"/>
        </w:trPr>
        <w:tc>
          <w:tcPr>
            <w:tcW w:w="772"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22"/>
                <w:szCs w:val="22"/>
              </w:rPr>
            </w:pPr>
            <w:r>
              <w:rPr>
                <w:rFonts w:ascii="宋体" w:hAnsi="宋体" w:cs="宋体" w:eastAsia="宋体" w:hint="default"/>
                <w:sz w:val="22"/>
                <w:szCs w:val="22"/>
              </w:rPr>
              <w:t>账面净值合计</w:t>
            </w:r>
          </w:p>
        </w:tc>
        <w:tc>
          <w:tcPr>
            <w:tcW w:w="1844" w:type="dxa"/>
            <w:tcBorders>
              <w:top w:val="single" w:sz="4"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22"/>
              <w:jc w:val="right"/>
              <w:rPr>
                <w:rFonts w:ascii="Arial" w:hAnsi="Arial" w:cs="Arial" w:eastAsia="Arial" w:hint="default"/>
                <w:sz w:val="22"/>
                <w:szCs w:val="22"/>
              </w:rPr>
            </w:pPr>
            <w:r>
              <w:rPr>
                <w:rFonts w:ascii="Arial"/>
                <w:spacing w:val="-1"/>
                <w:sz w:val="22"/>
              </w:rPr>
              <w:t>387,134</w:t>
            </w:r>
          </w:p>
        </w:tc>
        <w:tc>
          <w:tcPr>
            <w:tcW w:w="1415" w:type="dxa"/>
            <w:tcBorders>
              <w:top w:val="single" w:sz="4"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23"/>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429" w:type="dxa"/>
            <w:tcBorders>
              <w:top w:val="single" w:sz="4"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30"/>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692" w:type="dxa"/>
            <w:tcBorders>
              <w:top w:val="single" w:sz="4" w:space="0" w:color="000000"/>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614"/>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092" w:type="dxa"/>
            <w:tcBorders>
              <w:top w:val="single" w:sz="4" w:space="0" w:color="000000"/>
              <w:left w:val="nil" w:sz="6" w:space="0" w:color="auto"/>
              <w:bottom w:val="single" w:sz="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22"/>
                <w:szCs w:val="22"/>
              </w:rPr>
            </w:pPr>
            <w:r>
              <w:rPr>
                <w:rFonts w:ascii="Arial"/>
                <w:sz w:val="22"/>
              </w:rPr>
              <w:t>684,420</w:t>
            </w:r>
          </w:p>
        </w:tc>
      </w:tr>
      <w:tr>
        <w:trPr>
          <w:trHeight w:val="293" w:hRule="exact"/>
        </w:trPr>
        <w:tc>
          <w:tcPr>
            <w:tcW w:w="772" w:type="dxa"/>
            <w:tcBorders>
              <w:top w:val="nil" w:sz="6" w:space="0" w:color="auto"/>
              <w:left w:val="nil" w:sz="6" w:space="0" w:color="auto"/>
              <w:bottom w:val="nil" w:sz="6" w:space="0" w:color="auto"/>
              <w:right w:val="single" w:sz="2" w:space="0" w:color="000000"/>
            </w:tcBorders>
          </w:tcPr>
          <w:p>
            <w:pPr/>
          </w:p>
        </w:tc>
        <w:tc>
          <w:tcPr>
            <w:tcW w:w="2352" w:type="dxa"/>
            <w:tcBorders>
              <w:top w:val="single" w:sz="2" w:space="0" w:color="000000"/>
              <w:left w:val="single" w:sz="2" w:space="0" w:color="000000"/>
              <w:bottom w:val="single" w:sz="4" w:space="0" w:color="000000"/>
              <w:right w:val="nil" w:sz="6" w:space="0" w:color="auto"/>
            </w:tcBorders>
          </w:tcPr>
          <w:p>
            <w:pPr>
              <w:pStyle w:val="TableParagraph"/>
              <w:spacing w:line="252" w:lineRule="exact"/>
              <w:ind w:right="720"/>
              <w:jc w:val="right"/>
              <w:rPr>
                <w:rFonts w:ascii="宋体" w:hAnsi="宋体" w:cs="宋体" w:eastAsia="宋体" w:hint="default"/>
                <w:sz w:val="22"/>
                <w:szCs w:val="22"/>
              </w:rPr>
            </w:pPr>
            <w:r>
              <w:rPr>
                <w:rFonts w:ascii="宋体" w:hAnsi="宋体" w:cs="宋体" w:eastAsia="宋体" w:hint="default"/>
                <w:spacing w:val="-1"/>
                <w:sz w:val="22"/>
                <w:szCs w:val="22"/>
              </w:rPr>
              <w:t>房屋及建筑物</w:t>
            </w:r>
          </w:p>
        </w:tc>
        <w:tc>
          <w:tcPr>
            <w:tcW w:w="1844" w:type="dxa"/>
            <w:tcBorders>
              <w:top w:val="single" w:sz="2" w:space="0" w:color="000000"/>
              <w:left w:val="nil" w:sz="6" w:space="0" w:color="auto"/>
              <w:bottom w:val="single" w:sz="4" w:space="0" w:color="000000"/>
              <w:right w:val="nil" w:sz="6" w:space="0" w:color="auto"/>
            </w:tcBorders>
          </w:tcPr>
          <w:p>
            <w:pPr>
              <w:pStyle w:val="TableParagraph"/>
              <w:spacing w:line="240" w:lineRule="auto" w:before="29"/>
              <w:ind w:right="322"/>
              <w:jc w:val="right"/>
              <w:rPr>
                <w:rFonts w:ascii="Arial" w:hAnsi="Arial" w:cs="Arial" w:eastAsia="Arial" w:hint="default"/>
                <w:sz w:val="22"/>
                <w:szCs w:val="22"/>
              </w:rPr>
            </w:pPr>
            <w:r>
              <w:rPr>
                <w:rFonts w:ascii="Arial"/>
                <w:spacing w:val="-1"/>
                <w:sz w:val="22"/>
              </w:rPr>
              <w:t>387,134</w:t>
            </w:r>
          </w:p>
        </w:tc>
        <w:tc>
          <w:tcPr>
            <w:tcW w:w="1415" w:type="dxa"/>
            <w:tcBorders>
              <w:top w:val="single" w:sz="2" w:space="0" w:color="000000"/>
              <w:left w:val="nil" w:sz="6" w:space="0" w:color="auto"/>
              <w:bottom w:val="single" w:sz="4" w:space="0" w:color="000000"/>
              <w:right w:val="nil" w:sz="6" w:space="0" w:color="auto"/>
            </w:tcBorders>
          </w:tcPr>
          <w:p>
            <w:pPr>
              <w:pStyle w:val="TableParagraph"/>
              <w:spacing w:line="252" w:lineRule="exact"/>
              <w:ind w:right="323"/>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429" w:type="dxa"/>
            <w:tcBorders>
              <w:top w:val="single" w:sz="2" w:space="0" w:color="000000"/>
              <w:left w:val="nil" w:sz="6" w:space="0" w:color="auto"/>
              <w:bottom w:val="single" w:sz="4" w:space="0" w:color="000000"/>
              <w:right w:val="nil" w:sz="6" w:space="0" w:color="auto"/>
            </w:tcBorders>
          </w:tcPr>
          <w:p>
            <w:pPr>
              <w:pStyle w:val="TableParagraph"/>
              <w:spacing w:line="252" w:lineRule="exact"/>
              <w:ind w:right="330"/>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692" w:type="dxa"/>
            <w:tcBorders>
              <w:top w:val="single" w:sz="2" w:space="0" w:color="000000"/>
              <w:left w:val="nil" w:sz="6" w:space="0" w:color="auto"/>
              <w:bottom w:val="single" w:sz="4" w:space="0" w:color="000000"/>
              <w:right w:val="nil" w:sz="6" w:space="0" w:color="auto"/>
            </w:tcBorders>
          </w:tcPr>
          <w:p>
            <w:pPr>
              <w:pStyle w:val="TableParagraph"/>
              <w:spacing w:line="252" w:lineRule="exact"/>
              <w:ind w:right="614"/>
              <w:jc w:val="right"/>
              <w:rPr>
                <w:rFonts w:ascii="宋体" w:hAnsi="宋体" w:cs="宋体" w:eastAsia="宋体" w:hint="default"/>
                <w:sz w:val="22"/>
                <w:szCs w:val="22"/>
              </w:rPr>
            </w:pPr>
            <w:r>
              <w:rPr>
                <w:rFonts w:ascii="宋体" w:hAnsi="宋体" w:cs="宋体" w:eastAsia="宋体" w:hint="default"/>
                <w:w w:val="100"/>
                <w:sz w:val="22"/>
                <w:szCs w:val="22"/>
              </w:rPr>
              <w:t>—</w:t>
            </w:r>
          </w:p>
        </w:tc>
        <w:tc>
          <w:tcPr>
            <w:tcW w:w="1092" w:type="dxa"/>
            <w:tcBorders>
              <w:top w:val="single" w:sz="2" w:space="0" w:color="000000"/>
              <w:left w:val="nil" w:sz="6" w:space="0" w:color="auto"/>
              <w:bottom w:val="single" w:sz="4" w:space="0" w:color="000000"/>
              <w:right w:val="single" w:sz="2" w:space="0" w:color="000000"/>
            </w:tcBorders>
          </w:tcPr>
          <w:p>
            <w:pPr>
              <w:pStyle w:val="TableParagraph"/>
              <w:spacing w:line="240" w:lineRule="auto" w:before="29"/>
              <w:ind w:right="2"/>
              <w:jc w:val="center"/>
              <w:rPr>
                <w:rFonts w:ascii="Arial" w:hAnsi="Arial" w:cs="Arial" w:eastAsia="Arial" w:hint="default"/>
                <w:sz w:val="22"/>
                <w:szCs w:val="22"/>
              </w:rPr>
            </w:pPr>
            <w:r>
              <w:rPr>
                <w:rFonts w:ascii="Arial"/>
                <w:sz w:val="22"/>
              </w:rPr>
              <w:t>684,420</w:t>
            </w:r>
          </w:p>
        </w:tc>
      </w:tr>
      <w:tr>
        <w:trPr>
          <w:trHeight w:val="995" w:hRule="exact"/>
        </w:trPr>
        <w:tc>
          <w:tcPr>
            <w:tcW w:w="772" w:type="dxa"/>
            <w:tcBorders>
              <w:top w:val="nil" w:sz="6" w:space="0" w:color="auto"/>
              <w:left w:val="nil" w:sz="6" w:space="0" w:color="auto"/>
              <w:bottom w:val="nil" w:sz="6" w:space="0" w:color="auto"/>
              <w:right w:val="nil" w:sz="6" w:space="0" w:color="auto"/>
            </w:tcBorders>
          </w:tcPr>
          <w:p>
            <w:pPr/>
          </w:p>
        </w:tc>
        <w:tc>
          <w:tcPr>
            <w:tcW w:w="9825"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312" w:lineRule="exact"/>
              <w:ind w:left="110" w:right="142"/>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年度投资性房地产计提折旧金额约为人民币</w:t>
            </w:r>
            <w:r>
              <w:rPr>
                <w:rFonts w:ascii="宋体" w:hAnsi="宋体" w:cs="宋体" w:eastAsia="宋体" w:hint="default"/>
                <w:spacing w:val="-60"/>
                <w:sz w:val="24"/>
                <w:szCs w:val="24"/>
              </w:rPr>
              <w:t> </w:t>
            </w:r>
            <w:r>
              <w:rPr>
                <w:rFonts w:ascii="Arial" w:hAnsi="Arial" w:cs="Arial" w:eastAsia="Arial" w:hint="default"/>
                <w:sz w:val="24"/>
                <w:szCs w:val="24"/>
              </w:rPr>
              <w:t>1,794</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pacing w:val="-12"/>
                <w:sz w:val="24"/>
                <w:szCs w:val="24"/>
              </w:rPr>
              <w:t>年度：约人民币</w:t>
            </w:r>
            <w:r>
              <w:rPr>
                <w:rFonts w:ascii="宋体" w:hAnsi="宋体" w:cs="宋体" w:eastAsia="宋体" w:hint="default"/>
                <w:spacing w:val="-61"/>
                <w:sz w:val="24"/>
                <w:szCs w:val="24"/>
              </w:rPr>
              <w:t> </w:t>
            </w:r>
            <w:r>
              <w:rPr>
                <w:rFonts w:ascii="Arial" w:hAnsi="Arial" w:cs="Arial" w:eastAsia="Arial" w:hint="default"/>
                <w:sz w:val="24"/>
                <w:szCs w:val="24"/>
              </w:rPr>
              <w:t>1,260</w:t>
            </w:r>
            <w:r>
              <w:rPr>
                <w:rFonts w:ascii="Arial" w:hAnsi="Arial" w:cs="Arial" w:eastAsia="Arial" w:hint="default"/>
                <w:spacing w:val="-9"/>
                <w:sz w:val="24"/>
                <w:szCs w:val="24"/>
              </w:rPr>
              <w:t> </w:t>
            </w:r>
            <w:r>
              <w:rPr>
                <w:rFonts w:ascii="宋体" w:hAnsi="宋体" w:cs="宋体" w:eastAsia="宋体" w:hint="default"/>
                <w:sz w:val="24"/>
                <w:szCs w:val="24"/>
              </w:rPr>
              <w:t>万 元</w:t>
            </w:r>
            <w:r>
              <w:rPr>
                <w:rFonts w:ascii="Arial" w:hAnsi="Arial" w:cs="Arial" w:eastAsia="Arial" w:hint="default"/>
                <w:sz w:val="24"/>
                <w:szCs w:val="24"/>
              </w:rPr>
              <w:t>)</w:t>
            </w:r>
            <w:r>
              <w:rPr>
                <w:rFonts w:ascii="宋体" w:hAnsi="宋体" w:cs="宋体" w:eastAsia="宋体" w:hint="default"/>
                <w:sz w:val="24"/>
                <w:szCs w:val="24"/>
              </w:rPr>
              <w:t>。</w:t>
            </w:r>
          </w:p>
        </w:tc>
      </w:tr>
      <w:tr>
        <w:trPr>
          <w:trHeight w:val="860" w:hRule="exact"/>
        </w:trPr>
        <w:tc>
          <w:tcPr>
            <w:tcW w:w="772" w:type="dxa"/>
            <w:tcBorders>
              <w:top w:val="nil" w:sz="6" w:space="0" w:color="auto"/>
              <w:left w:val="nil" w:sz="6" w:space="0" w:color="auto"/>
              <w:bottom w:val="nil" w:sz="6" w:space="0" w:color="auto"/>
              <w:right w:val="nil" w:sz="6" w:space="0" w:color="auto"/>
            </w:tcBorders>
          </w:tcPr>
          <w:p>
            <w:pPr/>
          </w:p>
        </w:tc>
        <w:tc>
          <w:tcPr>
            <w:tcW w:w="9825"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07"/>
              <w:ind w:left="110" w:right="144"/>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3"/>
                <w:sz w:val="24"/>
                <w:szCs w:val="24"/>
              </w:rPr>
              <w:t> </w:t>
            </w:r>
            <w:r>
              <w:rPr>
                <w:rFonts w:ascii="Arial" w:hAnsi="Arial" w:cs="Arial" w:eastAsia="Arial" w:hint="default"/>
                <w:spacing w:val="-6"/>
                <w:sz w:val="24"/>
                <w:szCs w:val="24"/>
              </w:rPr>
              <w:t>2011</w:t>
            </w:r>
            <w:r>
              <w:rPr>
                <w:rFonts w:ascii="Arial" w:hAnsi="Arial" w:cs="Arial" w:eastAsia="Arial" w:hint="default"/>
                <w:spacing w:val="1"/>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52"/>
                <w:sz w:val="24"/>
                <w:szCs w:val="24"/>
              </w:rPr>
              <w:t> </w:t>
            </w:r>
            <w:r>
              <w:rPr>
                <w:rFonts w:ascii="Arial" w:hAnsi="Arial" w:cs="Arial" w:eastAsia="Arial" w:hint="default"/>
                <w:sz w:val="24"/>
                <w:szCs w:val="24"/>
              </w:rPr>
              <w:t>757</w:t>
            </w:r>
            <w:r>
              <w:rPr>
                <w:rFonts w:ascii="Arial" w:hAnsi="Arial" w:cs="Arial" w:eastAsia="Arial" w:hint="default"/>
                <w:spacing w:val="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52"/>
                <w:sz w:val="24"/>
                <w:szCs w:val="24"/>
              </w:rPr>
              <w:t> </w:t>
            </w:r>
            <w:r>
              <w:rPr>
                <w:rFonts w:ascii="Arial" w:hAnsi="Arial" w:cs="Arial" w:eastAsia="Arial" w:hint="default"/>
                <w:sz w:val="24"/>
                <w:szCs w:val="24"/>
              </w:rPr>
              <w:t>763</w:t>
            </w:r>
            <w:r>
              <w:rPr>
                <w:rFonts w:ascii="Arial" w:hAnsi="Arial" w:cs="Arial" w:eastAsia="Arial" w:hint="default"/>
                <w:spacing w:val="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的房屋及 建筑物改为自用，自改变用途之日起，将相应的投资性房地产转换为固定资产核算。</w:t>
            </w:r>
          </w:p>
        </w:tc>
      </w:tr>
      <w:tr>
        <w:trPr>
          <w:trHeight w:val="1309" w:hRule="exact"/>
        </w:trPr>
        <w:tc>
          <w:tcPr>
            <w:tcW w:w="772" w:type="dxa"/>
            <w:tcBorders>
              <w:top w:val="nil" w:sz="6" w:space="0" w:color="auto"/>
              <w:left w:val="nil" w:sz="6" w:space="0" w:color="auto"/>
              <w:bottom w:val="nil" w:sz="6" w:space="0" w:color="auto"/>
              <w:right w:val="nil" w:sz="6" w:space="0" w:color="auto"/>
            </w:tcBorders>
          </w:tcPr>
          <w:p>
            <w:pPr/>
          </w:p>
        </w:tc>
        <w:tc>
          <w:tcPr>
            <w:tcW w:w="9825"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14"/>
              <w:ind w:left="110" w:right="142"/>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5"/>
                <w:sz w:val="24"/>
                <w:szCs w:val="24"/>
              </w:rPr>
              <w:t>2011 </w:t>
            </w:r>
            <w:r>
              <w:rPr>
                <w:rFonts w:ascii="宋体" w:hAnsi="宋体" w:cs="宋体" w:eastAsia="宋体" w:hint="default"/>
                <w:spacing w:val="-3"/>
                <w:sz w:val="24"/>
                <w:szCs w:val="24"/>
              </w:rPr>
              <w:t>年度，本集团将账面价值约为人民币</w:t>
            </w:r>
            <w:r>
              <w:rPr>
                <w:rFonts w:ascii="宋体" w:hAnsi="宋体" w:cs="宋体" w:eastAsia="宋体" w:hint="default"/>
                <w:spacing w:val="-58"/>
                <w:sz w:val="24"/>
                <w:szCs w:val="24"/>
              </w:rPr>
              <w:t> </w:t>
            </w:r>
            <w:r>
              <w:rPr>
                <w:rFonts w:ascii="Arial" w:hAnsi="Arial" w:cs="Arial" w:eastAsia="Arial" w:hint="default"/>
                <w:sz w:val="24"/>
                <w:szCs w:val="24"/>
              </w:rPr>
              <w:t>3.23</w:t>
            </w:r>
            <w:r>
              <w:rPr>
                <w:rFonts w:ascii="Arial" w:hAnsi="Arial" w:cs="Arial" w:eastAsia="Arial" w:hint="default"/>
                <w:spacing w:val="-5"/>
                <w:sz w:val="24"/>
                <w:szCs w:val="24"/>
              </w:rPr>
              <w:t> </w:t>
            </w:r>
            <w:r>
              <w:rPr>
                <w:rFonts w:ascii="宋体" w:hAnsi="宋体" w:cs="宋体" w:eastAsia="宋体" w:hint="default"/>
                <w:spacing w:val="-5"/>
                <w:sz w:val="24"/>
                <w:szCs w:val="24"/>
              </w:rPr>
              <w:t>亿元</w:t>
            </w:r>
            <w:r>
              <w:rPr>
                <w:rFonts w:ascii="Arial" w:hAnsi="Arial" w:cs="Arial" w:eastAsia="Arial" w:hint="default"/>
                <w:spacing w:val="-5"/>
                <w:sz w:val="24"/>
                <w:szCs w:val="24"/>
              </w:rPr>
              <w:t>(</w:t>
            </w:r>
            <w:r>
              <w:rPr>
                <w:rFonts w:ascii="宋体" w:hAnsi="宋体" w:cs="宋体" w:eastAsia="宋体" w:hint="default"/>
                <w:spacing w:val="-5"/>
                <w:sz w:val="24"/>
                <w:szCs w:val="24"/>
              </w:rPr>
              <w:t>原价：约人民币</w:t>
            </w:r>
            <w:r>
              <w:rPr>
                <w:rFonts w:ascii="宋体" w:hAnsi="宋体" w:cs="宋体" w:eastAsia="宋体" w:hint="default"/>
                <w:spacing w:val="-59"/>
                <w:sz w:val="24"/>
                <w:szCs w:val="24"/>
              </w:rPr>
              <w:t> </w:t>
            </w:r>
            <w:r>
              <w:rPr>
                <w:rFonts w:ascii="Arial" w:hAnsi="Arial" w:cs="Arial" w:eastAsia="Arial" w:hint="default"/>
                <w:sz w:val="24"/>
                <w:szCs w:val="24"/>
              </w:rPr>
              <w:t>3.28</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 建筑物改为出租，自改变用途之日起，将相应的固定资产转换为投资性房地产核算。</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6"/>
                <w:w w:val="99"/>
                <w:sz w:val="24"/>
                <w:szCs w:val="24"/>
              </w:rPr>
              <w:t>1</w:t>
            </w:r>
            <w:r>
              <w:rPr>
                <w:rFonts w:ascii="Arial" w:hAnsi="Arial" w:cs="Arial" w:eastAsia="Arial" w:hint="default"/>
                <w:w w:val="99"/>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6"/>
                <w:sz w:val="24"/>
                <w:szCs w:val="24"/>
              </w:rPr>
              <w:t> </w:t>
            </w:r>
            <w:r>
              <w:rPr>
                <w:rFonts w:ascii="宋体" w:hAnsi="宋体" w:cs="宋体" w:eastAsia="宋体" w:hint="default"/>
                <w:spacing w:val="-3"/>
                <w:sz w:val="24"/>
                <w:szCs w:val="24"/>
              </w:rPr>
              <w:t>日</w:t>
            </w:r>
            <w:r>
              <w:rPr>
                <w:rFonts w:ascii="宋体" w:hAnsi="宋体" w:cs="宋体" w:eastAsia="宋体" w:hint="default"/>
                <w:spacing w:val="-104"/>
                <w:sz w:val="24"/>
                <w:szCs w:val="24"/>
              </w:rPr>
              <w:t>，</w:t>
            </w:r>
            <w:r>
              <w:rPr>
                <w:rFonts w:ascii="宋体" w:hAnsi="宋体" w:cs="宋体" w:eastAsia="宋体" w:hint="default"/>
                <w:sz w:val="24"/>
                <w:szCs w:val="24"/>
              </w:rPr>
              <w:t>本集团无未办妥房产权证的投资性房地产</w:t>
            </w:r>
            <w:r>
              <w:rPr>
                <w:rFonts w:ascii="Arial" w:hAnsi="Arial" w:cs="Arial" w:eastAsia="Arial" w:hint="default"/>
                <w:w w:val="99"/>
                <w:sz w:val="24"/>
                <w:szCs w:val="24"/>
              </w:rPr>
              <w:t>(2010</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w w:val="99"/>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日</w:t>
            </w:r>
            <w:r>
              <w:rPr>
                <w:rFonts w:ascii="宋体" w:hAnsi="宋体" w:cs="宋体" w:eastAsia="宋体" w:hint="default"/>
                <w:spacing w:val="-104"/>
                <w:sz w:val="24"/>
                <w:szCs w:val="24"/>
              </w:rPr>
              <w:t>：</w:t>
            </w:r>
            <w:r>
              <w:rPr>
                <w:rFonts w:ascii="宋体" w:hAnsi="宋体" w:cs="宋体" w:eastAsia="宋体" w:hint="default"/>
                <w:sz w:val="24"/>
                <w:szCs w:val="24"/>
              </w:rPr>
              <w:t>无</w:t>
            </w:r>
            <w:r>
              <w:rPr>
                <w:rFonts w:ascii="Arial" w:hAnsi="Arial" w:cs="Arial" w:eastAsia="Arial" w:hint="default"/>
                <w:spacing w:val="-4"/>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5"/>
          <w:szCs w:val="25"/>
        </w:rPr>
      </w:pPr>
    </w:p>
    <w:p>
      <w:pPr>
        <w:spacing w:before="77"/>
        <w:ind w:left="5020" w:right="5525" w:firstLine="0"/>
        <w:jc w:val="center"/>
        <w:rPr>
          <w:rFonts w:ascii="Arial" w:hAnsi="Arial" w:cs="Arial" w:eastAsia="Arial" w:hint="default"/>
          <w:sz w:val="18"/>
          <w:szCs w:val="18"/>
        </w:rPr>
      </w:pPr>
      <w:r>
        <w:rPr/>
        <w:pict>
          <v:shape style="position:absolute;margin-left:494.100006pt;margin-top:4.421671pt;width:101.220007pt;height:57.75pt;mso-position-horizontal-relative:page;mso-position-vertical-relative:paragraph;z-index:2896" type="#_x0000_t75" stroked="false">
            <v:imagedata r:id="rId82" o:title=""/>
          </v:shape>
        </w:pict>
      </w:r>
      <w:r>
        <w:rPr>
          <w:rFonts w:ascii="Arial"/>
          <w:sz w:val="18"/>
        </w:rPr>
        <w:t>- 160 -</w:t>
      </w:r>
    </w:p>
    <w:p>
      <w:pPr>
        <w:spacing w:after="0"/>
        <w:jc w:val="center"/>
        <w:rPr>
          <w:rFonts w:ascii="Arial" w:hAnsi="Arial" w:cs="Arial" w:eastAsia="Arial" w:hint="default"/>
          <w:sz w:val="18"/>
          <w:szCs w:val="18"/>
        </w:rPr>
        <w:sectPr>
          <w:headerReference w:type="default" r:id="rId80"/>
          <w:footerReference w:type="default" r:id="rId81"/>
          <w:pgSz w:w="11910" w:h="16850"/>
          <w:pgMar w:header="1474" w:footer="0" w:top="2960" w:bottom="0" w:left="800" w:right="0"/>
        </w:sectPr>
      </w:pPr>
    </w:p>
    <w:p>
      <w:pPr>
        <w:spacing w:line="240" w:lineRule="auto" w:before="3"/>
        <w:rPr>
          <w:rFonts w:ascii="Arial" w:hAnsi="Arial" w:cs="Arial" w:eastAsia="Arial" w:hint="default"/>
          <w:sz w:val="23"/>
          <w:szCs w:val="23"/>
        </w:rPr>
      </w:pPr>
    </w:p>
    <w:p>
      <w:pPr>
        <w:pStyle w:val="BodyText"/>
        <w:spacing w:line="240" w:lineRule="auto" w:before="26"/>
        <w:ind w:left="908" w:right="0"/>
        <w:jc w:val="left"/>
        <w:rPr>
          <w:rFonts w:ascii="黑体" w:hAnsi="黑体" w:cs="黑体" w:eastAsia="黑体" w:hint="default"/>
        </w:rPr>
      </w:pPr>
      <w:r>
        <w:rPr>
          <w:rFonts w:ascii="黑体" w:hAnsi="黑体" w:cs="黑体" w:eastAsia="黑体" w:hint="default"/>
        </w:rPr>
        <w:t>苏宁电器股份有限公司</w:t>
      </w:r>
    </w:p>
    <w:p>
      <w:pPr>
        <w:spacing w:line="240" w:lineRule="auto" w:before="9"/>
        <w:rPr>
          <w:rFonts w:ascii="黑体" w:hAnsi="黑体" w:cs="黑体" w:eastAsia="黑体" w:hint="default"/>
          <w:sz w:val="23"/>
          <w:szCs w:val="23"/>
        </w:rPr>
      </w:pPr>
    </w:p>
    <w:p>
      <w:pPr>
        <w:pStyle w:val="BodyText"/>
        <w:spacing w:line="313" w:lineRule="exact" w:before="0"/>
        <w:ind w:left="908"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908"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908"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p>
      <w:pPr>
        <w:spacing w:line="240" w:lineRule="auto" w:before="6"/>
        <w:rPr>
          <w:rFonts w:ascii="Arial" w:hAnsi="Arial" w:cs="Arial" w:eastAsia="Arial"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18"/>
        <w:gridCol w:w="1842"/>
        <w:gridCol w:w="1636"/>
        <w:gridCol w:w="1337"/>
        <w:gridCol w:w="1470"/>
        <w:gridCol w:w="1178"/>
        <w:gridCol w:w="353"/>
        <w:gridCol w:w="1350"/>
        <w:gridCol w:w="1613"/>
        <w:gridCol w:w="1204"/>
        <w:gridCol w:w="1702"/>
      </w:tblGrid>
      <w:tr>
        <w:trPr>
          <w:trHeight w:val="69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479"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10"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337" w:type="dxa"/>
            <w:tcBorders>
              <w:top w:val="single" w:sz="6" w:space="0" w:color="000000"/>
              <w:left w:val="nil" w:sz="6" w:space="0" w:color="auto"/>
              <w:bottom w:val="nil" w:sz="6" w:space="0" w:color="auto"/>
              <w:right w:val="nil" w:sz="6" w:space="0" w:color="auto"/>
            </w:tcBorders>
          </w:tcPr>
          <w:p>
            <w:pPr/>
          </w:p>
        </w:tc>
        <w:tc>
          <w:tcPr>
            <w:tcW w:w="1470" w:type="dxa"/>
            <w:tcBorders>
              <w:top w:val="single" w:sz="6" w:space="0" w:color="000000"/>
              <w:left w:val="nil" w:sz="6" w:space="0" w:color="auto"/>
              <w:bottom w:val="nil" w:sz="6" w:space="0" w:color="auto"/>
              <w:right w:val="nil" w:sz="6" w:space="0" w:color="auto"/>
            </w:tcBorders>
          </w:tcPr>
          <w:p>
            <w:pPr/>
          </w:p>
        </w:tc>
        <w:tc>
          <w:tcPr>
            <w:tcW w:w="1178" w:type="dxa"/>
            <w:tcBorders>
              <w:top w:val="single" w:sz="6" w:space="0" w:color="000000"/>
              <w:left w:val="nil" w:sz="6" w:space="0" w:color="auto"/>
              <w:bottom w:val="nil" w:sz="6" w:space="0" w:color="auto"/>
              <w:right w:val="nil" w:sz="6" w:space="0" w:color="auto"/>
            </w:tcBorders>
          </w:tcPr>
          <w:p>
            <w:pPr/>
          </w:p>
        </w:tc>
        <w:tc>
          <w:tcPr>
            <w:tcW w:w="353" w:type="dxa"/>
            <w:tcBorders>
              <w:top w:val="single" w:sz="6" w:space="0" w:color="000000"/>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nil" w:sz="6" w:space="0" w:color="auto"/>
              <w:right w:val="nil" w:sz="6" w:space="0" w:color="auto"/>
            </w:tcBorders>
          </w:tcPr>
          <w:p>
            <w:pPr/>
          </w:p>
        </w:tc>
        <w:tc>
          <w:tcPr>
            <w:tcW w:w="1613" w:type="dxa"/>
            <w:tcBorders>
              <w:top w:val="single" w:sz="6" w:space="0" w:color="000000"/>
              <w:left w:val="nil" w:sz="6" w:space="0" w:color="auto"/>
              <w:bottom w:val="nil" w:sz="6" w:space="0" w:color="auto"/>
              <w:right w:val="nil" w:sz="6" w:space="0" w:color="auto"/>
            </w:tcBorders>
          </w:tcPr>
          <w:p>
            <w:pPr/>
          </w:p>
        </w:tc>
        <w:tc>
          <w:tcPr>
            <w:tcW w:w="1204" w:type="dxa"/>
            <w:tcBorders>
              <w:top w:val="single" w:sz="6" w:space="0" w:color="000000"/>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
        </w:tc>
      </w:tr>
      <w:tr>
        <w:trPr>
          <w:trHeight w:val="443"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pacing w:val="-5"/>
                <w:sz w:val="24"/>
              </w:rPr>
              <w:t>(11)</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24"/>
                <w:szCs w:val="24"/>
              </w:rPr>
            </w:pPr>
            <w:r>
              <w:rPr>
                <w:rFonts w:ascii="宋体" w:hAnsi="宋体" w:cs="宋体" w:eastAsia="宋体" w:hint="default"/>
                <w:b/>
                <w:bCs/>
                <w:sz w:val="24"/>
                <w:szCs w:val="24"/>
              </w:rPr>
              <w:t>固定资产</w:t>
            </w:r>
            <w:r>
              <w:rPr>
                <w:rFonts w:ascii="宋体" w:hAnsi="宋体" w:cs="宋体" w:eastAsia="宋体" w:hint="default"/>
                <w:sz w:val="24"/>
                <w:szCs w:val="24"/>
              </w:rPr>
            </w:r>
          </w:p>
        </w:tc>
        <w:tc>
          <w:tcPr>
            <w:tcW w:w="1636"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256"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12" w:space="0" w:color="000000"/>
              <w:right w:val="nil" w:sz="6" w:space="0" w:color="auto"/>
            </w:tcBorders>
          </w:tcPr>
          <w:p>
            <w:pPr/>
          </w:p>
        </w:tc>
        <w:tc>
          <w:tcPr>
            <w:tcW w:w="1470" w:type="dxa"/>
            <w:tcBorders>
              <w:top w:val="nil" w:sz="6" w:space="0" w:color="auto"/>
              <w:left w:val="nil" w:sz="6" w:space="0" w:color="auto"/>
              <w:bottom w:val="single" w:sz="12" w:space="0" w:color="000000"/>
              <w:right w:val="nil" w:sz="6" w:space="0" w:color="auto"/>
            </w:tcBorders>
          </w:tcPr>
          <w:p>
            <w:pPr>
              <w:pStyle w:val="TableParagraph"/>
              <w:spacing w:line="212" w:lineRule="exact"/>
              <w:ind w:left="29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78" w:type="dxa"/>
            <w:tcBorders>
              <w:top w:val="nil" w:sz="6" w:space="0" w:color="auto"/>
              <w:left w:val="nil" w:sz="6" w:space="0" w:color="auto"/>
              <w:bottom w:val="single" w:sz="12" w:space="0" w:color="000000"/>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2" w:space="0" w:color="000000"/>
              <w:right w:val="nil" w:sz="6" w:space="0" w:color="auto"/>
            </w:tcBorders>
          </w:tcPr>
          <w:p>
            <w:pPr/>
          </w:p>
        </w:tc>
        <w:tc>
          <w:tcPr>
            <w:tcW w:w="1613" w:type="dxa"/>
            <w:tcBorders>
              <w:top w:val="nil" w:sz="6" w:space="0" w:color="auto"/>
              <w:left w:val="nil" w:sz="6" w:space="0" w:color="auto"/>
              <w:bottom w:val="single" w:sz="12" w:space="0" w:color="000000"/>
              <w:right w:val="nil" w:sz="6" w:space="0" w:color="auto"/>
            </w:tcBorders>
          </w:tcPr>
          <w:p>
            <w:pPr>
              <w:pStyle w:val="TableParagraph"/>
              <w:spacing w:line="212" w:lineRule="exact"/>
              <w:ind w:left="35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04" w:type="dxa"/>
            <w:tcBorders>
              <w:top w:val="nil" w:sz="6" w:space="0" w:color="auto"/>
              <w:left w:val="nil" w:sz="6" w:space="0" w:color="auto"/>
              <w:bottom w:val="single" w:sz="12" w:space="0" w:color="000000"/>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589"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26" w:lineRule="exact"/>
              <w:ind w:left="617"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34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37" w:type="dxa"/>
            <w:tcBorders>
              <w:top w:val="single" w:sz="12" w:space="0" w:color="000000"/>
              <w:left w:val="nil" w:sz="6" w:space="0" w:color="auto"/>
              <w:bottom w:val="nil" w:sz="6" w:space="0" w:color="auto"/>
              <w:right w:val="nil" w:sz="6" w:space="0" w:color="auto"/>
            </w:tcBorders>
          </w:tcPr>
          <w:p>
            <w:pPr>
              <w:pStyle w:val="TableParagraph"/>
              <w:spacing w:line="205" w:lineRule="exact"/>
              <w:ind w:right="23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70" w:type="dxa"/>
            <w:tcBorders>
              <w:top w:val="single" w:sz="12" w:space="0" w:color="000000"/>
              <w:left w:val="nil" w:sz="6" w:space="0" w:color="auto"/>
              <w:bottom w:val="nil" w:sz="6" w:space="0" w:color="auto"/>
              <w:right w:val="nil" w:sz="6" w:space="0" w:color="auto"/>
            </w:tcBorders>
          </w:tcPr>
          <w:p>
            <w:pPr>
              <w:pStyle w:val="TableParagraph"/>
              <w:spacing w:line="205" w:lineRule="exact"/>
              <w:ind w:left="237" w:right="0"/>
              <w:jc w:val="left"/>
              <w:rPr>
                <w:rFonts w:ascii="宋体" w:hAnsi="宋体" w:cs="宋体" w:eastAsia="宋体" w:hint="default"/>
                <w:sz w:val="18"/>
                <w:szCs w:val="18"/>
              </w:rPr>
            </w:pPr>
            <w:r>
              <w:rPr>
                <w:rFonts w:ascii="宋体" w:hAnsi="宋体" w:cs="宋体" w:eastAsia="宋体" w:hint="default"/>
                <w:sz w:val="18"/>
                <w:szCs w:val="18"/>
              </w:rPr>
              <w:t>本年投资性</w:t>
            </w: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房地产转入</w:t>
            </w:r>
          </w:p>
        </w:tc>
        <w:tc>
          <w:tcPr>
            <w:tcW w:w="1178" w:type="dxa"/>
            <w:tcBorders>
              <w:top w:val="single" w:sz="12" w:space="0" w:color="000000"/>
              <w:left w:val="nil" w:sz="6" w:space="0" w:color="auto"/>
              <w:bottom w:val="nil" w:sz="6" w:space="0" w:color="auto"/>
              <w:right w:val="nil" w:sz="6" w:space="0" w:color="auto"/>
            </w:tcBorders>
          </w:tcPr>
          <w:p>
            <w:pPr>
              <w:pStyle w:val="TableParagraph"/>
              <w:spacing w:line="205" w:lineRule="exact"/>
              <w:ind w:left="349" w:right="0"/>
              <w:jc w:val="left"/>
              <w:rPr>
                <w:rFonts w:ascii="宋体" w:hAnsi="宋体" w:cs="宋体" w:eastAsia="宋体" w:hint="default"/>
                <w:sz w:val="18"/>
                <w:szCs w:val="18"/>
              </w:rPr>
            </w:pPr>
            <w:r>
              <w:rPr>
                <w:rFonts w:ascii="宋体" w:hAnsi="宋体" w:cs="宋体" w:eastAsia="宋体" w:hint="default"/>
                <w:sz w:val="18"/>
                <w:szCs w:val="18"/>
              </w:rPr>
              <w:t>在建工程</w:t>
            </w: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single" w:sz="12" w:space="0" w:color="000000"/>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hAnsi="宋体" w:cs="宋体" w:eastAsia="宋体" w:hint="default"/>
                <w:sz w:val="18"/>
                <w:szCs w:val="18"/>
              </w:rPr>
              <w:t>本年处置</w:t>
            </w:r>
          </w:p>
        </w:tc>
        <w:tc>
          <w:tcPr>
            <w:tcW w:w="1613" w:type="dxa"/>
            <w:tcBorders>
              <w:top w:val="single" w:sz="12" w:space="0" w:color="000000"/>
              <w:left w:val="nil" w:sz="6" w:space="0" w:color="auto"/>
              <w:bottom w:val="nil" w:sz="6" w:space="0" w:color="auto"/>
              <w:right w:val="nil" w:sz="6" w:space="0" w:color="auto"/>
            </w:tcBorders>
          </w:tcPr>
          <w:p>
            <w:pPr>
              <w:pStyle w:val="TableParagraph"/>
              <w:spacing w:line="205" w:lineRule="exact"/>
              <w:ind w:left="157" w:right="0" w:firstLine="36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04" w:type="dxa"/>
            <w:tcBorders>
              <w:top w:val="single" w:sz="12" w:space="0" w:color="000000"/>
              <w:left w:val="nil" w:sz="6" w:space="0" w:color="auto"/>
              <w:bottom w:val="nil" w:sz="6" w:space="0" w:color="auto"/>
              <w:right w:val="nil" w:sz="6" w:space="0" w:color="auto"/>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本年减少</w:t>
            </w: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02" w:type="dxa"/>
            <w:tcBorders>
              <w:top w:val="nil" w:sz="6" w:space="0" w:color="auto"/>
              <w:left w:val="nil" w:sz="6" w:space="0" w:color="auto"/>
              <w:bottom w:val="nil" w:sz="6" w:space="0" w:color="auto"/>
              <w:right w:val="nil" w:sz="6" w:space="0" w:color="auto"/>
            </w:tcBorders>
          </w:tcPr>
          <w:p>
            <w:pPr>
              <w:pStyle w:val="TableParagraph"/>
              <w:spacing w:line="226" w:lineRule="exact"/>
              <w:ind w:left="90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62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0"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454" w:right="0"/>
              <w:jc w:val="left"/>
              <w:rPr>
                <w:rFonts w:ascii="Arial" w:hAnsi="Arial" w:cs="Arial" w:eastAsia="Arial" w:hint="default"/>
                <w:sz w:val="18"/>
                <w:szCs w:val="18"/>
              </w:rPr>
            </w:pPr>
            <w:r>
              <w:rPr>
                <w:rFonts w:ascii="Arial"/>
                <w:sz w:val="18"/>
              </w:rPr>
              <w:t>4,569,264</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left="225" w:right="0"/>
              <w:jc w:val="left"/>
              <w:rPr>
                <w:rFonts w:ascii="Arial" w:hAnsi="Arial" w:cs="Arial" w:eastAsia="Arial" w:hint="default"/>
                <w:sz w:val="18"/>
                <w:szCs w:val="18"/>
              </w:rPr>
            </w:pPr>
            <w:r>
              <w:rPr>
                <w:rFonts w:ascii="Arial"/>
                <w:sz w:val="18"/>
              </w:rPr>
              <w:t>1,590,009</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328"/>
              <w:jc w:val="right"/>
              <w:rPr>
                <w:rFonts w:ascii="Arial" w:hAnsi="Arial" w:cs="Arial" w:eastAsia="Arial" w:hint="default"/>
                <w:sz w:val="18"/>
                <w:szCs w:val="18"/>
              </w:rPr>
            </w:pPr>
            <w:r>
              <w:rPr>
                <w:rFonts w:ascii="Arial"/>
                <w:sz w:val="18"/>
              </w:rPr>
              <w:t>7,630</w:t>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2,593,699</w:t>
            </w:r>
          </w:p>
        </w:tc>
        <w:tc>
          <w:tcPr>
            <w:tcW w:w="353"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67"/>
              <w:jc w:val="right"/>
              <w:rPr>
                <w:rFonts w:ascii="Arial" w:hAnsi="Arial" w:cs="Arial" w:eastAsia="Arial" w:hint="default"/>
                <w:sz w:val="18"/>
                <w:szCs w:val="18"/>
              </w:rPr>
            </w:pPr>
            <w:r>
              <w:rPr>
                <w:rFonts w:ascii="Arial"/>
                <w:spacing w:val="-1"/>
                <w:sz w:val="18"/>
              </w:rPr>
              <w:t>(92,729)</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300"/>
              <w:jc w:val="right"/>
              <w:rPr>
                <w:rFonts w:ascii="Arial" w:hAnsi="Arial" w:cs="Arial" w:eastAsia="Arial" w:hint="default"/>
                <w:sz w:val="18"/>
                <w:szCs w:val="18"/>
              </w:rPr>
            </w:pPr>
            <w:r>
              <w:rPr>
                <w:rFonts w:ascii="Arial"/>
                <w:spacing w:val="-1"/>
                <w:sz w:val="18"/>
              </w:rPr>
              <w:t>(327,766)</w:t>
            </w: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48"/>
              <w:jc w:val="right"/>
              <w:rPr>
                <w:rFonts w:ascii="Arial" w:hAnsi="Arial" w:cs="Arial" w:eastAsia="Arial" w:hint="default"/>
                <w:sz w:val="18"/>
                <w:szCs w:val="18"/>
              </w:rPr>
            </w:pPr>
            <w:r>
              <w:rPr>
                <w:rFonts w:ascii="Arial"/>
                <w:spacing w:val="-1"/>
                <w:sz w:val="18"/>
              </w:rPr>
              <w:t>(420,495)</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8,340,107</w:t>
            </w:r>
          </w:p>
        </w:tc>
      </w:tr>
      <w:tr>
        <w:trPr>
          <w:trHeight w:val="249"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452"/>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54" w:right="0"/>
              <w:jc w:val="left"/>
              <w:rPr>
                <w:rFonts w:ascii="Arial" w:hAnsi="Arial" w:cs="Arial" w:eastAsia="Arial" w:hint="default"/>
                <w:sz w:val="18"/>
                <w:szCs w:val="18"/>
              </w:rPr>
            </w:pPr>
            <w:r>
              <w:rPr>
                <w:rFonts w:ascii="Arial"/>
                <w:sz w:val="18"/>
              </w:rPr>
              <w:t>3,781,145</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76" w:right="0"/>
              <w:jc w:val="left"/>
              <w:rPr>
                <w:rFonts w:ascii="Arial" w:hAnsi="Arial" w:cs="Arial" w:eastAsia="Arial" w:hint="default"/>
                <w:sz w:val="18"/>
                <w:szCs w:val="18"/>
              </w:rPr>
            </w:pPr>
            <w:r>
              <w:rPr>
                <w:rFonts w:ascii="Arial"/>
                <w:sz w:val="18"/>
              </w:rPr>
              <w:t>853,317</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328"/>
              <w:jc w:val="right"/>
              <w:rPr>
                <w:rFonts w:ascii="Arial" w:hAnsi="Arial" w:cs="Arial" w:eastAsia="Arial" w:hint="default"/>
                <w:sz w:val="18"/>
                <w:szCs w:val="18"/>
              </w:rPr>
            </w:pPr>
            <w:r>
              <w:rPr>
                <w:rFonts w:ascii="Arial"/>
                <w:sz w:val="18"/>
              </w:rPr>
              <w:t>7,630</w:t>
            </w: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01"/>
              <w:jc w:val="right"/>
              <w:rPr>
                <w:rFonts w:ascii="Arial" w:hAnsi="Arial" w:cs="Arial" w:eastAsia="Arial" w:hint="default"/>
                <w:sz w:val="18"/>
                <w:szCs w:val="18"/>
              </w:rPr>
            </w:pPr>
            <w:r>
              <w:rPr>
                <w:rFonts w:ascii="Arial"/>
                <w:spacing w:val="-1"/>
                <w:sz w:val="18"/>
              </w:rPr>
              <w:t>2,342,547</w:t>
            </w:r>
          </w:p>
        </w:tc>
        <w:tc>
          <w:tcPr>
            <w:tcW w:w="353" w:type="dxa"/>
            <w:tcBorders>
              <w:top w:val="single" w:sz="4" w:space="0" w:color="000000"/>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299"/>
              <w:jc w:val="right"/>
              <w:rPr>
                <w:rFonts w:ascii="Arial" w:hAnsi="Arial" w:cs="Arial" w:eastAsia="Arial" w:hint="default"/>
                <w:sz w:val="18"/>
                <w:szCs w:val="18"/>
              </w:rPr>
            </w:pPr>
            <w:r>
              <w:rPr>
                <w:rFonts w:ascii="Arial"/>
                <w:spacing w:val="-1"/>
                <w:sz w:val="18"/>
              </w:rPr>
              <w:t>(327,766)</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(327,766)</w:t>
            </w:r>
          </w:p>
        </w:tc>
        <w:tc>
          <w:tcPr>
            <w:tcW w:w="1702"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6,656,873</w:t>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6" w:lineRule="exact"/>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6" w:right="0"/>
              <w:jc w:val="left"/>
              <w:rPr>
                <w:rFonts w:ascii="Arial" w:hAnsi="Arial" w:cs="Arial" w:eastAsia="Arial" w:hint="default"/>
                <w:sz w:val="18"/>
                <w:szCs w:val="18"/>
              </w:rPr>
            </w:pPr>
            <w:r>
              <w:rPr>
                <w:rFonts w:ascii="Arial"/>
                <w:sz w:val="18"/>
              </w:rPr>
              <w:t>31,264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4" w:right="0"/>
              <w:jc w:val="left"/>
              <w:rPr>
                <w:rFonts w:ascii="Arial" w:hAnsi="Arial" w:cs="Arial" w:eastAsia="Arial" w:hint="default"/>
                <w:sz w:val="18"/>
                <w:szCs w:val="18"/>
              </w:rPr>
            </w:pPr>
            <w:r>
              <w:rPr>
                <w:rFonts w:ascii="Arial"/>
                <w:sz w:val="18"/>
              </w:rPr>
              <w:t>141,989</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18"/>
                <w:szCs w:val="18"/>
              </w:rPr>
            </w:pPr>
            <w:r>
              <w:rPr>
                <w:rFonts w:ascii="Arial"/>
                <w:w w:val="95"/>
                <w:sz w:val="18"/>
              </w:rPr>
              <w:t>75</w:t>
            </w:r>
            <w:r>
              <w:rPr>
                <w:rFonts w:ascii="Arial"/>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7"/>
              <w:jc w:val="right"/>
              <w:rPr>
                <w:rFonts w:ascii="Arial" w:hAnsi="Arial" w:cs="Arial" w:eastAsia="Arial" w:hint="default"/>
                <w:sz w:val="18"/>
                <w:szCs w:val="18"/>
              </w:rPr>
            </w:pPr>
            <w:r>
              <w:rPr>
                <w:rFonts w:ascii="Arial"/>
                <w:w w:val="95"/>
                <w:sz w:val="18"/>
              </w:rPr>
              <w:t>(306)</w:t>
            </w:r>
            <w:r>
              <w:rPr>
                <w:rFonts w:ascii="Arial"/>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0"/>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Arial" w:hAnsi="Arial" w:cs="Arial" w:eastAsia="Arial" w:hint="default"/>
                <w:sz w:val="18"/>
                <w:szCs w:val="18"/>
              </w:rPr>
            </w:pPr>
            <w:r>
              <w:rPr>
                <w:rFonts w:ascii="Arial"/>
                <w:w w:val="95"/>
                <w:sz w:val="18"/>
              </w:rPr>
              <w:t>(306)</w:t>
            </w:r>
            <w:r>
              <w:rPr>
                <w:rFonts w:ascii="Arial"/>
                <w:sz w:val="18"/>
              </w:rPr>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8"/>
                <w:szCs w:val="18"/>
              </w:rPr>
            </w:pPr>
            <w:r>
              <w:rPr>
                <w:rFonts w:ascii="Arial"/>
                <w:spacing w:val="-1"/>
                <w:sz w:val="18"/>
              </w:rPr>
              <w:t>173,022</w:t>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5" w:right="0"/>
              <w:jc w:val="left"/>
              <w:rPr>
                <w:rFonts w:ascii="Arial" w:hAnsi="Arial" w:cs="Arial" w:eastAsia="Arial" w:hint="default"/>
                <w:sz w:val="18"/>
                <w:szCs w:val="18"/>
              </w:rPr>
            </w:pPr>
            <w:r>
              <w:rPr>
                <w:rFonts w:ascii="Arial"/>
                <w:sz w:val="18"/>
              </w:rPr>
              <w:t>108,781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7" w:right="0"/>
              <w:jc w:val="left"/>
              <w:rPr>
                <w:rFonts w:ascii="Arial" w:hAnsi="Arial" w:cs="Arial" w:eastAsia="Arial" w:hint="default"/>
                <w:sz w:val="18"/>
                <w:szCs w:val="18"/>
              </w:rPr>
            </w:pPr>
            <w:r>
              <w:rPr>
                <w:rFonts w:ascii="Arial"/>
                <w:sz w:val="18"/>
              </w:rPr>
              <w:t>46,040</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7"/>
              <w:jc w:val="right"/>
              <w:rPr>
                <w:rFonts w:ascii="Arial" w:hAnsi="Arial" w:cs="Arial" w:eastAsia="Arial" w:hint="default"/>
                <w:sz w:val="18"/>
                <w:szCs w:val="18"/>
              </w:rPr>
            </w:pPr>
            <w:r>
              <w:rPr>
                <w:rFonts w:ascii="Arial"/>
                <w:spacing w:val="-1"/>
                <w:sz w:val="18"/>
              </w:rPr>
              <w:t>(15,519)</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6"/>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(15,519)</w:t>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99"/>
              <w:jc w:val="right"/>
              <w:rPr>
                <w:rFonts w:ascii="Arial" w:hAnsi="Arial" w:cs="Arial" w:eastAsia="Arial" w:hint="default"/>
                <w:sz w:val="18"/>
                <w:szCs w:val="18"/>
              </w:rPr>
            </w:pPr>
            <w:r>
              <w:rPr>
                <w:rFonts w:ascii="Arial"/>
                <w:spacing w:val="-1"/>
                <w:sz w:val="18"/>
              </w:rPr>
              <w:t>139,302</w:t>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6"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05" w:right="0"/>
              <w:jc w:val="left"/>
              <w:rPr>
                <w:rFonts w:ascii="Arial" w:hAnsi="Arial" w:cs="Arial" w:eastAsia="Arial" w:hint="default"/>
                <w:sz w:val="18"/>
                <w:szCs w:val="18"/>
              </w:rPr>
            </w:pPr>
            <w:r>
              <w:rPr>
                <w:rFonts w:ascii="Arial"/>
                <w:sz w:val="18"/>
              </w:rPr>
              <w:t>503,506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4" w:right="0"/>
              <w:jc w:val="left"/>
              <w:rPr>
                <w:rFonts w:ascii="Arial" w:hAnsi="Arial" w:cs="Arial" w:eastAsia="Arial" w:hint="default"/>
                <w:sz w:val="18"/>
                <w:szCs w:val="18"/>
              </w:rPr>
            </w:pPr>
            <w:r>
              <w:rPr>
                <w:rFonts w:ascii="Arial"/>
                <w:sz w:val="18"/>
              </w:rPr>
              <w:t>315,682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18"/>
                <w:szCs w:val="18"/>
              </w:rPr>
            </w:pPr>
            <w:r>
              <w:rPr>
                <w:rFonts w:ascii="Arial"/>
                <w:spacing w:val="-2"/>
                <w:w w:val="95"/>
                <w:sz w:val="18"/>
              </w:rPr>
              <w:t>119,701</w:t>
            </w:r>
            <w:r>
              <w:rPr>
                <w:rFonts w:ascii="Arial"/>
                <w:spacing w:val="-2"/>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7"/>
              <w:jc w:val="right"/>
              <w:rPr>
                <w:rFonts w:ascii="Arial" w:hAnsi="Arial" w:cs="Arial" w:eastAsia="Arial" w:hint="default"/>
                <w:sz w:val="18"/>
                <w:szCs w:val="18"/>
              </w:rPr>
            </w:pPr>
            <w:r>
              <w:rPr>
                <w:rFonts w:ascii="Arial"/>
                <w:spacing w:val="-1"/>
                <w:sz w:val="18"/>
              </w:rPr>
              <w:t>(46,948)</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6"/>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Arial" w:hAnsi="Arial" w:cs="Arial" w:eastAsia="Arial" w:hint="default"/>
                <w:sz w:val="18"/>
                <w:szCs w:val="18"/>
              </w:rPr>
            </w:pPr>
            <w:r>
              <w:rPr>
                <w:rFonts w:ascii="Arial"/>
                <w:spacing w:val="-1"/>
                <w:sz w:val="18"/>
              </w:rPr>
              <w:t>(46,948)</w:t>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99"/>
              <w:jc w:val="right"/>
              <w:rPr>
                <w:rFonts w:ascii="Arial" w:hAnsi="Arial" w:cs="Arial" w:eastAsia="Arial" w:hint="default"/>
                <w:sz w:val="18"/>
                <w:szCs w:val="18"/>
              </w:rPr>
            </w:pPr>
            <w:r>
              <w:rPr>
                <w:rFonts w:ascii="Arial"/>
                <w:spacing w:val="-1"/>
                <w:sz w:val="18"/>
              </w:rPr>
              <w:t>891,941</w:t>
            </w:r>
          </w:p>
        </w:tc>
      </w:tr>
      <w:tr>
        <w:trPr>
          <w:trHeight w:val="230"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605" w:right="0"/>
              <w:jc w:val="left"/>
              <w:rPr>
                <w:rFonts w:ascii="Arial" w:hAnsi="Arial" w:cs="Arial" w:eastAsia="Arial" w:hint="default"/>
                <w:sz w:val="18"/>
                <w:szCs w:val="18"/>
              </w:rPr>
            </w:pPr>
            <w:r>
              <w:rPr>
                <w:rFonts w:ascii="Arial"/>
                <w:sz w:val="18"/>
              </w:rPr>
              <w:t>144,568</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376" w:right="0"/>
              <w:jc w:val="left"/>
              <w:rPr>
                <w:rFonts w:ascii="Arial" w:hAnsi="Arial" w:cs="Arial" w:eastAsia="Arial" w:hint="default"/>
                <w:sz w:val="18"/>
                <w:szCs w:val="18"/>
              </w:rPr>
            </w:pPr>
            <w:r>
              <w:rPr>
                <w:rFonts w:ascii="Arial"/>
                <w:sz w:val="18"/>
              </w:rPr>
              <w:t>232,981</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131,376</w:t>
            </w:r>
          </w:p>
        </w:tc>
        <w:tc>
          <w:tcPr>
            <w:tcW w:w="353"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167"/>
              <w:jc w:val="right"/>
              <w:rPr>
                <w:rFonts w:ascii="Arial" w:hAnsi="Arial" w:cs="Arial" w:eastAsia="Arial" w:hint="default"/>
                <w:sz w:val="18"/>
                <w:szCs w:val="18"/>
              </w:rPr>
            </w:pPr>
            <w:r>
              <w:rPr>
                <w:rFonts w:ascii="Arial"/>
                <w:spacing w:val="-1"/>
                <w:sz w:val="18"/>
              </w:rPr>
              <w:t>(29,956)</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306"/>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(29,956)</w:t>
            </w:r>
          </w:p>
        </w:tc>
        <w:tc>
          <w:tcPr>
            <w:tcW w:w="1702"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99"/>
              <w:jc w:val="right"/>
              <w:rPr>
                <w:rFonts w:ascii="Arial" w:hAnsi="Arial" w:cs="Arial" w:eastAsia="Arial" w:hint="default"/>
                <w:sz w:val="18"/>
                <w:szCs w:val="18"/>
              </w:rPr>
            </w:pPr>
            <w:r>
              <w:rPr>
                <w:rFonts w:ascii="Arial"/>
                <w:spacing w:val="-1"/>
                <w:sz w:val="18"/>
              </w:rPr>
              <w:t>478,969</w:t>
            </w:r>
          </w:p>
        </w:tc>
      </w:tr>
      <w:tr>
        <w:trPr>
          <w:trHeight w:val="449"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321"/>
              <w:jc w:val="right"/>
              <w:rPr>
                <w:rFonts w:ascii="Arial" w:hAnsi="Arial" w:cs="Arial" w:eastAsia="Arial" w:hint="default"/>
                <w:sz w:val="18"/>
                <w:szCs w:val="18"/>
              </w:rPr>
            </w:pPr>
            <w:r>
              <w:rPr>
                <w:rFonts w:ascii="Arial"/>
                <w:spacing w:val="-1"/>
                <w:sz w:val="18"/>
              </w:rPr>
              <w:t>(654,947)</w:t>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247"/>
              <w:jc w:val="right"/>
              <w:rPr>
                <w:rFonts w:ascii="Arial" w:hAnsi="Arial" w:cs="Arial" w:eastAsia="Arial" w:hint="default"/>
                <w:sz w:val="18"/>
                <w:szCs w:val="18"/>
              </w:rPr>
            </w:pPr>
            <w:r>
              <w:rPr>
                <w:rFonts w:ascii="Arial"/>
                <w:spacing w:val="-1"/>
                <w:sz w:val="18"/>
              </w:rPr>
              <w:t>(374,800)</w:t>
            </w: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270"/>
              <w:jc w:val="right"/>
              <w:rPr>
                <w:rFonts w:ascii="Arial" w:hAnsi="Arial" w:cs="Arial" w:eastAsia="Arial" w:hint="default"/>
                <w:sz w:val="18"/>
                <w:szCs w:val="18"/>
              </w:rPr>
            </w:pPr>
            <w:r>
              <w:rPr>
                <w:rFonts w:ascii="Arial"/>
                <w:w w:val="95"/>
                <w:sz w:val="18"/>
              </w:rPr>
              <w:t>(63)</w:t>
            </w:r>
            <w:r>
              <w:rPr>
                <w:rFonts w:ascii="Arial"/>
                <w:sz w:val="18"/>
              </w:rPr>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single" w:sz="4" w:space="0" w:color="000000"/>
              <w:left w:val="nil" w:sz="6" w:space="0" w:color="auto"/>
              <w:bottom w:val="single" w:sz="4" w:space="0" w:color="000000"/>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216"/>
              <w:jc w:val="right"/>
              <w:rPr>
                <w:rFonts w:ascii="Arial" w:hAnsi="Arial" w:cs="Arial" w:eastAsia="Arial" w:hint="default"/>
                <w:sz w:val="18"/>
                <w:szCs w:val="18"/>
              </w:rPr>
            </w:pPr>
            <w:r>
              <w:rPr>
                <w:rFonts w:ascii="Arial"/>
                <w:spacing w:val="-1"/>
                <w:sz w:val="18"/>
              </w:rPr>
              <w:t>44,232</w:t>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353"/>
              <w:jc w:val="right"/>
              <w:rPr>
                <w:rFonts w:ascii="Arial" w:hAnsi="Arial" w:cs="Arial" w:eastAsia="Arial" w:hint="default"/>
                <w:sz w:val="18"/>
                <w:szCs w:val="18"/>
              </w:rPr>
            </w:pPr>
            <w:r>
              <w:rPr>
                <w:rFonts w:ascii="Arial"/>
                <w:w w:val="95"/>
                <w:sz w:val="18"/>
              </w:rPr>
              <w:t>4,975</w:t>
            </w:r>
            <w:r>
              <w:rPr>
                <w:rFonts w:ascii="Arial"/>
                <w:sz w:val="18"/>
              </w:rPr>
            </w:r>
          </w:p>
        </w:tc>
        <w:tc>
          <w:tcPr>
            <w:tcW w:w="120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95"/>
              <w:jc w:val="right"/>
              <w:rPr>
                <w:rFonts w:ascii="Arial" w:hAnsi="Arial" w:cs="Arial" w:eastAsia="Arial" w:hint="default"/>
                <w:sz w:val="18"/>
                <w:szCs w:val="18"/>
              </w:rPr>
            </w:pPr>
            <w:r>
              <w:rPr>
                <w:rFonts w:ascii="Arial"/>
                <w:spacing w:val="-1"/>
                <w:sz w:val="18"/>
              </w:rPr>
              <w:t>49,207</w:t>
            </w: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50"/>
              <w:jc w:val="right"/>
              <w:rPr>
                <w:rFonts w:ascii="Arial" w:hAnsi="Arial" w:cs="Arial" w:eastAsia="Arial" w:hint="default"/>
                <w:sz w:val="18"/>
                <w:szCs w:val="18"/>
              </w:rPr>
            </w:pPr>
            <w:r>
              <w:rPr>
                <w:rFonts w:ascii="Arial"/>
                <w:w w:val="95"/>
                <w:sz w:val="18"/>
              </w:rPr>
              <w:t>(980,603)</w:t>
            </w:r>
            <w:r>
              <w:rPr>
                <w:rFonts w:ascii="Arial"/>
                <w:sz w:val="18"/>
              </w:rPr>
            </w:r>
          </w:p>
        </w:tc>
      </w:tr>
      <w:tr>
        <w:trPr>
          <w:trHeight w:val="251"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single" w:sz="4" w:space="0" w:color="000000"/>
              <w:left w:val="single" w:sz="4" w:space="0" w:color="000000"/>
              <w:bottom w:val="nil" w:sz="6" w:space="0" w:color="auto"/>
              <w:right w:val="nil" w:sz="6" w:space="0" w:color="auto"/>
            </w:tcBorders>
          </w:tcPr>
          <w:p>
            <w:pPr>
              <w:pStyle w:val="TableParagraph"/>
              <w:spacing w:line="208" w:lineRule="exact"/>
              <w:ind w:right="452"/>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21"/>
              <w:jc w:val="right"/>
              <w:rPr>
                <w:rFonts w:ascii="Arial" w:hAnsi="Arial" w:cs="Arial" w:eastAsia="Arial" w:hint="default"/>
                <w:sz w:val="18"/>
                <w:szCs w:val="18"/>
              </w:rPr>
            </w:pPr>
            <w:r>
              <w:rPr>
                <w:rFonts w:ascii="Arial"/>
                <w:spacing w:val="-1"/>
                <w:sz w:val="18"/>
              </w:rPr>
              <w:t>(279,338)</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48"/>
              <w:jc w:val="right"/>
              <w:rPr>
                <w:rFonts w:ascii="Arial" w:hAnsi="Arial" w:cs="Arial" w:eastAsia="Arial" w:hint="default"/>
                <w:sz w:val="18"/>
                <w:szCs w:val="18"/>
              </w:rPr>
            </w:pPr>
            <w:r>
              <w:rPr>
                <w:rFonts w:ascii="Arial"/>
                <w:spacing w:val="-1"/>
                <w:sz w:val="18"/>
              </w:rPr>
              <w:t>(160,745)</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70"/>
              <w:jc w:val="right"/>
              <w:rPr>
                <w:rFonts w:ascii="Arial" w:hAnsi="Arial" w:cs="Arial" w:eastAsia="Arial" w:hint="default"/>
                <w:sz w:val="18"/>
                <w:szCs w:val="18"/>
              </w:rPr>
            </w:pPr>
            <w:r>
              <w:rPr>
                <w:rFonts w:ascii="Arial"/>
                <w:w w:val="95"/>
                <w:sz w:val="18"/>
              </w:rPr>
              <w:t>(63)</w:t>
            </w:r>
            <w:r>
              <w:rPr>
                <w:rFonts w:ascii="Arial"/>
                <w:sz w:val="18"/>
              </w:rPr>
            </w: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single" w:sz="4" w:space="0" w:color="000000"/>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53"/>
              <w:jc w:val="right"/>
              <w:rPr>
                <w:rFonts w:ascii="Arial" w:hAnsi="Arial" w:cs="Arial" w:eastAsia="Arial" w:hint="default"/>
                <w:sz w:val="18"/>
                <w:szCs w:val="18"/>
              </w:rPr>
            </w:pPr>
            <w:r>
              <w:rPr>
                <w:rFonts w:ascii="Arial"/>
                <w:w w:val="95"/>
                <w:sz w:val="18"/>
              </w:rPr>
              <w:t>4,975</w:t>
            </w:r>
            <w:r>
              <w:rPr>
                <w:rFonts w:ascii="Arial"/>
                <w:sz w:val="18"/>
              </w:rPr>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18"/>
                <w:szCs w:val="18"/>
              </w:rPr>
            </w:pPr>
            <w:r>
              <w:rPr>
                <w:rFonts w:ascii="Arial"/>
                <w:w w:val="95"/>
                <w:sz w:val="18"/>
              </w:rPr>
              <w:t>4,975</w:t>
            </w:r>
            <w:r>
              <w:rPr>
                <w:rFonts w:ascii="Arial"/>
                <w:sz w:val="18"/>
              </w:rPr>
            </w:r>
          </w:p>
        </w:tc>
        <w:tc>
          <w:tcPr>
            <w:tcW w:w="1702" w:type="dxa"/>
            <w:tcBorders>
              <w:top w:val="single" w:sz="4" w:space="0" w:color="000000"/>
              <w:left w:val="nil" w:sz="6" w:space="0" w:color="auto"/>
              <w:bottom w:val="nil" w:sz="6" w:space="0" w:color="auto"/>
              <w:right w:val="single" w:sz="4" w:space="0" w:color="000000"/>
            </w:tcBorders>
          </w:tcPr>
          <w:p>
            <w:pPr>
              <w:pStyle w:val="TableParagraph"/>
              <w:spacing w:line="240" w:lineRule="auto" w:before="28"/>
              <w:ind w:right="46"/>
              <w:jc w:val="right"/>
              <w:rPr>
                <w:rFonts w:ascii="Arial" w:hAnsi="Arial" w:cs="Arial" w:eastAsia="Arial" w:hint="default"/>
                <w:sz w:val="18"/>
                <w:szCs w:val="18"/>
              </w:rPr>
            </w:pPr>
            <w:r>
              <w:rPr>
                <w:rFonts w:ascii="Arial"/>
                <w:w w:val="95"/>
                <w:sz w:val="18"/>
              </w:rPr>
              <w:t>(435,171)</w:t>
            </w:r>
            <w:r>
              <w:rPr>
                <w:rFonts w:ascii="Arial"/>
                <w:sz w:val="18"/>
              </w:rPr>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1"/>
              <w:jc w:val="right"/>
              <w:rPr>
                <w:rFonts w:ascii="Arial" w:hAnsi="Arial" w:cs="Arial" w:eastAsia="Arial" w:hint="default"/>
                <w:sz w:val="18"/>
                <w:szCs w:val="18"/>
              </w:rPr>
            </w:pPr>
            <w:r>
              <w:rPr>
                <w:rFonts w:ascii="Arial"/>
                <w:w w:val="95"/>
                <w:sz w:val="18"/>
              </w:rPr>
              <w:t>(6,874)</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7"/>
              <w:jc w:val="right"/>
              <w:rPr>
                <w:rFonts w:ascii="Arial" w:hAnsi="Arial" w:cs="Arial" w:eastAsia="Arial" w:hint="default"/>
                <w:sz w:val="18"/>
                <w:szCs w:val="18"/>
              </w:rPr>
            </w:pPr>
            <w:r>
              <w:rPr>
                <w:rFonts w:ascii="Arial"/>
                <w:sz w:val="18"/>
              </w:rPr>
              <w:t>(6,366)</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5"/>
              <w:jc w:val="right"/>
              <w:rPr>
                <w:rFonts w:ascii="Arial" w:hAnsi="Arial" w:cs="Arial" w:eastAsia="Arial" w:hint="default"/>
                <w:sz w:val="18"/>
                <w:szCs w:val="18"/>
              </w:rPr>
            </w:pPr>
            <w:r>
              <w:rPr>
                <w:rFonts w:ascii="Arial"/>
                <w:w w:val="95"/>
                <w:sz w:val="18"/>
              </w:rPr>
              <w:t>182</w:t>
            </w:r>
            <w:r>
              <w:rPr>
                <w:rFonts w:ascii="Arial"/>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w w:val="95"/>
                <w:sz w:val="18"/>
              </w:rPr>
              <w:t>182</w:t>
            </w:r>
            <w:r>
              <w:rPr>
                <w:rFonts w:ascii="Arial"/>
                <w:sz w:val="18"/>
              </w:rPr>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46"/>
              <w:jc w:val="right"/>
              <w:rPr>
                <w:rFonts w:ascii="Arial" w:hAnsi="Arial" w:cs="Arial" w:eastAsia="Arial" w:hint="default"/>
                <w:sz w:val="18"/>
                <w:szCs w:val="18"/>
              </w:rPr>
            </w:pPr>
            <w:r>
              <w:rPr>
                <w:rFonts w:ascii="Arial"/>
                <w:spacing w:val="-1"/>
                <w:sz w:val="18"/>
              </w:rPr>
              <w:t>(13,058)</w:t>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6"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0"/>
              <w:jc w:val="right"/>
              <w:rPr>
                <w:rFonts w:ascii="Arial" w:hAnsi="Arial" w:cs="Arial" w:eastAsia="Arial" w:hint="default"/>
                <w:sz w:val="18"/>
                <w:szCs w:val="18"/>
              </w:rPr>
            </w:pPr>
            <w:r>
              <w:rPr>
                <w:rFonts w:ascii="Arial"/>
                <w:spacing w:val="-1"/>
                <w:sz w:val="18"/>
              </w:rPr>
              <w:t>(47,952)</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8"/>
              <w:jc w:val="right"/>
              <w:rPr>
                <w:rFonts w:ascii="Arial" w:hAnsi="Arial" w:cs="Arial" w:eastAsia="Arial" w:hint="default"/>
                <w:sz w:val="18"/>
                <w:szCs w:val="18"/>
              </w:rPr>
            </w:pPr>
            <w:r>
              <w:rPr>
                <w:rFonts w:ascii="Arial"/>
                <w:spacing w:val="-1"/>
                <w:sz w:val="18"/>
              </w:rPr>
              <w:t>(18,471)</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4"/>
              <w:jc w:val="right"/>
              <w:rPr>
                <w:rFonts w:ascii="Arial" w:hAnsi="Arial" w:cs="Arial" w:eastAsia="Arial" w:hint="default"/>
                <w:sz w:val="18"/>
                <w:szCs w:val="18"/>
              </w:rPr>
            </w:pPr>
            <w:r>
              <w:rPr>
                <w:rFonts w:ascii="Arial"/>
                <w:w w:val="95"/>
                <w:sz w:val="18"/>
              </w:rPr>
              <w:t>7,066</w:t>
            </w:r>
            <w:r>
              <w:rPr>
                <w:rFonts w:ascii="Arial"/>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5"/>
              <w:jc w:val="right"/>
              <w:rPr>
                <w:rFonts w:ascii="Arial" w:hAnsi="Arial" w:cs="Arial" w:eastAsia="Arial" w:hint="default"/>
                <w:sz w:val="18"/>
                <w:szCs w:val="18"/>
              </w:rPr>
            </w:pPr>
            <w:r>
              <w:rPr>
                <w:rFonts w:ascii="Arial"/>
                <w:w w:val="95"/>
                <w:sz w:val="18"/>
              </w:rPr>
              <w:t>7,066</w:t>
            </w:r>
            <w:r>
              <w:rPr>
                <w:rFonts w:ascii="Arial"/>
                <w:sz w:val="18"/>
              </w:rPr>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6"/>
              <w:ind w:right="46"/>
              <w:jc w:val="right"/>
              <w:rPr>
                <w:rFonts w:ascii="Arial" w:hAnsi="Arial" w:cs="Arial" w:eastAsia="Arial" w:hint="default"/>
                <w:sz w:val="18"/>
                <w:szCs w:val="18"/>
              </w:rPr>
            </w:pPr>
            <w:r>
              <w:rPr>
                <w:rFonts w:ascii="Arial"/>
                <w:w w:val="95"/>
                <w:sz w:val="18"/>
              </w:rPr>
              <w:t>(59,357)</w:t>
            </w:r>
            <w:r>
              <w:rPr>
                <w:rFonts w:ascii="Arial"/>
                <w:sz w:val="18"/>
              </w:rPr>
            </w:r>
          </w:p>
        </w:tc>
      </w:tr>
      <w:tr>
        <w:trPr>
          <w:trHeight w:val="234"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1"/>
              <w:jc w:val="right"/>
              <w:rPr>
                <w:rFonts w:ascii="Arial" w:hAnsi="Arial" w:cs="Arial" w:eastAsia="Arial" w:hint="default"/>
                <w:sz w:val="18"/>
                <w:szCs w:val="18"/>
              </w:rPr>
            </w:pPr>
            <w:r>
              <w:rPr>
                <w:rFonts w:ascii="Arial"/>
                <w:spacing w:val="-1"/>
                <w:sz w:val="18"/>
              </w:rPr>
              <w:t>(288,777)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8"/>
              <w:jc w:val="right"/>
              <w:rPr>
                <w:rFonts w:ascii="Arial" w:hAnsi="Arial" w:cs="Arial" w:eastAsia="Arial" w:hint="default"/>
                <w:sz w:val="18"/>
                <w:szCs w:val="18"/>
              </w:rPr>
            </w:pPr>
            <w:r>
              <w:rPr>
                <w:rFonts w:ascii="Arial"/>
                <w:spacing w:val="-1"/>
                <w:sz w:val="18"/>
              </w:rPr>
              <w:t>(123,822)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6"/>
              <w:jc w:val="right"/>
              <w:rPr>
                <w:rFonts w:ascii="Arial" w:hAnsi="Arial" w:cs="Arial" w:eastAsia="Arial" w:hint="default"/>
                <w:sz w:val="18"/>
                <w:szCs w:val="18"/>
              </w:rPr>
            </w:pPr>
            <w:r>
              <w:rPr>
                <w:rFonts w:ascii="Arial"/>
                <w:spacing w:val="-1"/>
                <w:sz w:val="18"/>
              </w:rPr>
              <w:t>32,977</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5"/>
              <w:jc w:val="right"/>
              <w:rPr>
                <w:rFonts w:ascii="Arial" w:hAnsi="Arial" w:cs="Arial" w:eastAsia="Arial" w:hint="default"/>
                <w:sz w:val="18"/>
                <w:szCs w:val="18"/>
              </w:rPr>
            </w:pPr>
            <w:r>
              <w:rPr>
                <w:rFonts w:ascii="Arial"/>
                <w:spacing w:val="-1"/>
                <w:sz w:val="18"/>
              </w:rPr>
              <w:t>32,977</w:t>
            </w: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46"/>
              <w:jc w:val="right"/>
              <w:rPr>
                <w:rFonts w:ascii="Arial" w:hAnsi="Arial" w:cs="Arial" w:eastAsia="Arial" w:hint="default"/>
                <w:sz w:val="18"/>
                <w:szCs w:val="18"/>
              </w:rPr>
            </w:pPr>
            <w:r>
              <w:rPr>
                <w:rFonts w:ascii="Arial"/>
                <w:w w:val="95"/>
                <w:sz w:val="18"/>
              </w:rPr>
              <w:t>(379,622)</w:t>
            </w:r>
            <w:r>
              <w:rPr>
                <w:rFonts w:ascii="Arial"/>
                <w:sz w:val="18"/>
              </w:rPr>
            </w:r>
          </w:p>
        </w:tc>
      </w:tr>
      <w:tr>
        <w:trPr>
          <w:trHeight w:val="228"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single" w:sz="4" w:space="0" w:color="000000"/>
              <w:right w:val="nil" w:sz="6" w:space="0" w:color="auto"/>
            </w:tcBorders>
          </w:tcPr>
          <w:p>
            <w:pPr>
              <w:pStyle w:val="TableParagraph"/>
              <w:spacing w:line="196"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20"/>
              <w:jc w:val="right"/>
              <w:rPr>
                <w:rFonts w:ascii="Arial" w:hAnsi="Arial" w:cs="Arial" w:eastAsia="Arial" w:hint="default"/>
                <w:sz w:val="18"/>
                <w:szCs w:val="18"/>
              </w:rPr>
            </w:pPr>
            <w:r>
              <w:rPr>
                <w:rFonts w:ascii="Arial"/>
                <w:spacing w:val="-1"/>
                <w:sz w:val="18"/>
              </w:rPr>
              <w:t>(32,006)</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48"/>
              <w:jc w:val="right"/>
              <w:rPr>
                <w:rFonts w:ascii="Arial" w:hAnsi="Arial" w:cs="Arial" w:eastAsia="Arial" w:hint="default"/>
                <w:sz w:val="18"/>
                <w:szCs w:val="18"/>
              </w:rPr>
            </w:pPr>
            <w:r>
              <w:rPr>
                <w:rFonts w:ascii="Arial"/>
                <w:spacing w:val="-1"/>
                <w:sz w:val="18"/>
              </w:rPr>
              <w:t>(65,396)</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14"/>
              <w:jc w:val="right"/>
              <w:rPr>
                <w:rFonts w:ascii="Arial" w:hAnsi="Arial" w:cs="Arial" w:eastAsia="Arial" w:hint="default"/>
                <w:sz w:val="18"/>
                <w:szCs w:val="18"/>
              </w:rPr>
            </w:pPr>
            <w:r>
              <w:rPr>
                <w:rFonts w:ascii="Arial"/>
                <w:w w:val="95"/>
                <w:sz w:val="18"/>
              </w:rPr>
              <w:t>4,007</w:t>
            </w:r>
            <w:r>
              <w:rPr>
                <w:rFonts w:ascii="Arial"/>
                <w:sz w:val="18"/>
              </w:rPr>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5"/>
              <w:jc w:val="right"/>
              <w:rPr>
                <w:rFonts w:ascii="Arial" w:hAnsi="Arial" w:cs="Arial" w:eastAsia="Arial" w:hint="default"/>
                <w:sz w:val="18"/>
                <w:szCs w:val="18"/>
              </w:rPr>
            </w:pPr>
            <w:r>
              <w:rPr>
                <w:rFonts w:ascii="Arial"/>
                <w:w w:val="95"/>
                <w:sz w:val="18"/>
              </w:rPr>
              <w:t>4,007</w:t>
            </w:r>
            <w:r>
              <w:rPr>
                <w:rFonts w:ascii="Arial"/>
                <w:sz w:val="18"/>
              </w:rPr>
            </w:r>
          </w:p>
        </w:tc>
        <w:tc>
          <w:tcPr>
            <w:tcW w:w="1702" w:type="dxa"/>
            <w:tcBorders>
              <w:top w:val="nil" w:sz="6" w:space="0" w:color="auto"/>
              <w:left w:val="nil" w:sz="6" w:space="0" w:color="auto"/>
              <w:bottom w:val="single" w:sz="4" w:space="0" w:color="000000"/>
              <w:right w:val="single" w:sz="4" w:space="0" w:color="000000"/>
            </w:tcBorders>
          </w:tcPr>
          <w:p>
            <w:pPr>
              <w:pStyle w:val="TableParagraph"/>
              <w:spacing w:line="240" w:lineRule="auto" w:before="16"/>
              <w:ind w:right="46"/>
              <w:jc w:val="right"/>
              <w:rPr>
                <w:rFonts w:ascii="Arial" w:hAnsi="Arial" w:cs="Arial" w:eastAsia="Arial" w:hint="default"/>
                <w:sz w:val="18"/>
                <w:szCs w:val="18"/>
              </w:rPr>
            </w:pPr>
            <w:r>
              <w:rPr>
                <w:rFonts w:ascii="Arial"/>
                <w:spacing w:val="-1"/>
                <w:sz w:val="18"/>
              </w:rPr>
              <w:t>(93,395)</w:t>
            </w:r>
          </w:p>
        </w:tc>
      </w:tr>
      <w:tr>
        <w:trPr>
          <w:trHeight w:val="451"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减值准备合计</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377"/>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248"/>
              <w:jc w:val="right"/>
              <w:rPr>
                <w:rFonts w:ascii="Arial" w:hAnsi="Arial" w:cs="Arial" w:eastAsia="Arial" w:hint="default"/>
                <w:sz w:val="18"/>
                <w:szCs w:val="18"/>
              </w:rPr>
            </w:pPr>
            <w:r>
              <w:rPr>
                <w:rFonts w:ascii="Arial"/>
                <w:spacing w:val="-1"/>
                <w:sz w:val="18"/>
              </w:rPr>
              <w:t>(12,037)</w:t>
            </w: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single" w:sz="4" w:space="0" w:color="000000"/>
              <w:left w:val="nil" w:sz="6" w:space="0" w:color="auto"/>
              <w:bottom w:val="single" w:sz="4" w:space="0" w:color="000000"/>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96"/>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right="48"/>
              <w:jc w:val="right"/>
              <w:rPr>
                <w:rFonts w:ascii="Arial" w:hAnsi="Arial" w:cs="Arial" w:eastAsia="Arial" w:hint="default"/>
                <w:sz w:val="18"/>
                <w:szCs w:val="18"/>
              </w:rPr>
            </w:pPr>
            <w:r>
              <w:rPr>
                <w:rFonts w:ascii="Arial"/>
                <w:spacing w:val="-1"/>
                <w:sz w:val="18"/>
              </w:rPr>
              <w:t>(12,037)</w:t>
            </w:r>
          </w:p>
        </w:tc>
      </w:tr>
      <w:tr>
        <w:trPr>
          <w:trHeight w:val="245"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52"/>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77"/>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48"/>
              <w:jc w:val="right"/>
              <w:rPr>
                <w:rFonts w:ascii="Arial" w:hAnsi="Arial" w:cs="Arial" w:eastAsia="Arial" w:hint="default"/>
                <w:sz w:val="18"/>
                <w:szCs w:val="18"/>
              </w:rPr>
            </w:pPr>
            <w:r>
              <w:rPr>
                <w:rFonts w:ascii="Arial"/>
                <w:spacing w:val="-1"/>
                <w:sz w:val="18"/>
              </w:rPr>
              <w:t>(12,037)</w:t>
            </w:r>
          </w:p>
        </w:tc>
        <w:tc>
          <w:tcPr>
            <w:tcW w:w="147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30"/>
              <w:jc w:val="right"/>
              <w:rPr>
                <w:rFonts w:ascii="Arial" w:hAnsi="Arial" w:cs="Arial" w:eastAsia="Arial" w:hint="default"/>
                <w:sz w:val="18"/>
                <w:szCs w:val="18"/>
              </w:rPr>
            </w:pPr>
            <w:r>
              <w:rPr>
                <w:rFonts w:ascii="Arial"/>
                <w:w w:val="99"/>
                <w:sz w:val="18"/>
              </w:rPr>
              <w:t>-</w:t>
            </w:r>
            <w:r>
              <w:rPr>
                <w:rFonts w:ascii="Arial"/>
                <w:sz w:val="18"/>
              </w:rPr>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c>
          <w:tcPr>
            <w:tcW w:w="353" w:type="dxa"/>
            <w:tcBorders>
              <w:top w:val="single" w:sz="4" w:space="0" w:color="000000"/>
              <w:left w:val="nil" w:sz="6" w:space="0" w:color="auto"/>
              <w:bottom w:val="single" w:sz="4" w:space="0" w:color="000000"/>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54"/>
              <w:jc w:val="right"/>
              <w:rPr>
                <w:rFonts w:ascii="Arial" w:hAnsi="Arial" w:cs="Arial" w:eastAsia="Arial" w:hint="default"/>
                <w:sz w:val="18"/>
                <w:szCs w:val="18"/>
              </w:rPr>
            </w:pPr>
            <w:r>
              <w:rPr>
                <w:rFonts w:ascii="Arial"/>
                <w:w w:val="99"/>
                <w:sz w:val="18"/>
              </w:rPr>
              <w:t>-</w:t>
            </w:r>
            <w:r>
              <w:rPr>
                <w:rFonts w:ascii="Arial"/>
                <w:sz w:val="18"/>
              </w:rPr>
            </w:r>
          </w:p>
        </w:tc>
        <w:tc>
          <w:tcPr>
            <w:tcW w:w="120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96"/>
              <w:jc w:val="right"/>
              <w:rPr>
                <w:rFonts w:ascii="Arial" w:hAnsi="Arial" w:cs="Arial" w:eastAsia="Arial" w:hint="default"/>
                <w:sz w:val="18"/>
                <w:szCs w:val="18"/>
              </w:rPr>
            </w:pPr>
            <w:r>
              <w:rPr>
                <w:rFonts w:ascii="Arial"/>
                <w:w w:val="99"/>
                <w:sz w:val="18"/>
              </w:rPr>
              <w:t>-</w:t>
            </w:r>
            <w:r>
              <w:rPr>
                <w:rFonts w:ascii="Arial"/>
                <w:sz w:val="18"/>
              </w:rPr>
            </w:r>
          </w:p>
        </w:tc>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44"/>
              <w:jc w:val="right"/>
              <w:rPr>
                <w:rFonts w:ascii="Arial" w:hAnsi="Arial" w:cs="Arial" w:eastAsia="Arial" w:hint="default"/>
                <w:sz w:val="18"/>
                <w:szCs w:val="18"/>
              </w:rPr>
            </w:pPr>
            <w:r>
              <w:rPr>
                <w:rFonts w:ascii="Arial"/>
                <w:spacing w:val="-1"/>
                <w:sz w:val="18"/>
              </w:rPr>
              <w:t>(12,037)</w:t>
            </w:r>
          </w:p>
        </w:tc>
      </w:tr>
      <w:tr>
        <w:trPr>
          <w:trHeight w:val="451" w:hRule="exact"/>
        </w:trPr>
        <w:tc>
          <w:tcPr>
            <w:tcW w:w="718"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Arial" w:hAnsi="Arial" w:cs="Arial" w:eastAsia="Arial"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账面净值合计</w:t>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left="454" w:right="0"/>
              <w:jc w:val="left"/>
              <w:rPr>
                <w:rFonts w:ascii="Arial" w:hAnsi="Arial" w:cs="Arial" w:eastAsia="Arial" w:hint="default"/>
                <w:sz w:val="18"/>
                <w:szCs w:val="18"/>
              </w:rPr>
            </w:pPr>
            <w:r>
              <w:rPr>
                <w:rFonts w:ascii="Arial"/>
                <w:sz w:val="18"/>
              </w:rPr>
              <w:t>3,914,317</w:t>
            </w:r>
          </w:p>
        </w:tc>
        <w:tc>
          <w:tcPr>
            <w:tcW w:w="1337" w:type="dxa"/>
            <w:tcBorders>
              <w:top w:val="single" w:sz="4" w:space="0" w:color="000000"/>
              <w:left w:val="nil" w:sz="6" w:space="0" w:color="auto"/>
              <w:bottom w:val="single" w:sz="4" w:space="0" w:color="000000"/>
              <w:right w:val="nil" w:sz="6" w:space="0" w:color="auto"/>
            </w:tcBorders>
          </w:tcPr>
          <w:p>
            <w:pPr/>
          </w:p>
        </w:tc>
        <w:tc>
          <w:tcPr>
            <w:tcW w:w="1470" w:type="dxa"/>
            <w:tcBorders>
              <w:top w:val="single" w:sz="4" w:space="0" w:color="000000"/>
              <w:left w:val="nil" w:sz="6" w:space="0" w:color="auto"/>
              <w:bottom w:val="single" w:sz="4" w:space="0" w:color="000000"/>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
        </w:tc>
        <w:tc>
          <w:tcPr>
            <w:tcW w:w="353" w:type="dxa"/>
            <w:tcBorders>
              <w:top w:val="single" w:sz="4" w:space="0" w:color="000000"/>
              <w:left w:val="nil" w:sz="6" w:space="0" w:color="auto"/>
              <w:bottom w:val="single" w:sz="4" w:space="0" w:color="000000"/>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
        </w:tc>
        <w:tc>
          <w:tcPr>
            <w:tcW w:w="1613" w:type="dxa"/>
            <w:tcBorders>
              <w:top w:val="single" w:sz="4" w:space="0" w:color="000000"/>
              <w:left w:val="nil" w:sz="6" w:space="0" w:color="auto"/>
              <w:bottom w:val="single" w:sz="4" w:space="0" w:color="000000"/>
              <w:right w:val="nil" w:sz="6" w:space="0" w:color="auto"/>
            </w:tcBorders>
          </w:tcPr>
          <w:p>
            <w:pPr/>
          </w:p>
        </w:tc>
        <w:tc>
          <w:tcPr>
            <w:tcW w:w="1204" w:type="dxa"/>
            <w:tcBorders>
              <w:top w:val="single" w:sz="4" w:space="0" w:color="000000"/>
              <w:left w:val="nil" w:sz="6" w:space="0" w:color="auto"/>
              <w:bottom w:val="single" w:sz="4" w:space="0" w:color="000000"/>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0"/>
                <w:szCs w:val="20"/>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7,347,467</w:t>
            </w:r>
          </w:p>
        </w:tc>
      </w:tr>
      <w:tr>
        <w:trPr>
          <w:trHeight w:val="248"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single" w:sz="4" w:space="0" w:color="000000"/>
              <w:left w:val="single" w:sz="4" w:space="0" w:color="000000"/>
              <w:bottom w:val="nil" w:sz="6" w:space="0" w:color="auto"/>
              <w:right w:val="nil" w:sz="6" w:space="0" w:color="auto"/>
            </w:tcBorders>
          </w:tcPr>
          <w:p>
            <w:pPr>
              <w:pStyle w:val="TableParagraph"/>
              <w:spacing w:line="205" w:lineRule="exact"/>
              <w:ind w:right="452"/>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54" w:right="0"/>
              <w:jc w:val="left"/>
              <w:rPr>
                <w:rFonts w:ascii="Arial" w:hAnsi="Arial" w:cs="Arial" w:eastAsia="Arial" w:hint="default"/>
                <w:sz w:val="18"/>
                <w:szCs w:val="18"/>
              </w:rPr>
            </w:pPr>
            <w:r>
              <w:rPr>
                <w:rFonts w:ascii="Arial"/>
                <w:sz w:val="18"/>
              </w:rPr>
              <w:t>3,501,807</w:t>
            </w:r>
          </w:p>
        </w:tc>
        <w:tc>
          <w:tcPr>
            <w:tcW w:w="1337" w:type="dxa"/>
            <w:tcBorders>
              <w:top w:val="single" w:sz="4" w:space="0" w:color="000000"/>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
        </w:tc>
        <w:tc>
          <w:tcPr>
            <w:tcW w:w="353" w:type="dxa"/>
            <w:tcBorders>
              <w:top w:val="single" w:sz="4" w:space="0" w:color="000000"/>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6,209,665</w:t>
            </w:r>
          </w:p>
        </w:tc>
      </w:tr>
      <w:tr>
        <w:trPr>
          <w:trHeight w:val="235"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06" w:right="0"/>
              <w:jc w:val="left"/>
              <w:rPr>
                <w:rFonts w:ascii="Arial" w:hAnsi="Arial" w:cs="Arial" w:eastAsia="Arial" w:hint="default"/>
                <w:sz w:val="18"/>
                <w:szCs w:val="18"/>
              </w:rPr>
            </w:pPr>
            <w:r>
              <w:rPr>
                <w:rFonts w:ascii="Arial"/>
                <w:sz w:val="18"/>
              </w:rPr>
              <w:t>24,390</w:t>
            </w:r>
          </w:p>
        </w:tc>
        <w:tc>
          <w:tcPr>
            <w:tcW w:w="133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99"/>
              <w:jc w:val="right"/>
              <w:rPr>
                <w:rFonts w:ascii="Arial" w:hAnsi="Arial" w:cs="Arial" w:eastAsia="Arial" w:hint="default"/>
                <w:sz w:val="18"/>
                <w:szCs w:val="18"/>
              </w:rPr>
            </w:pPr>
            <w:r>
              <w:rPr>
                <w:rFonts w:ascii="Arial"/>
                <w:spacing w:val="-1"/>
                <w:sz w:val="18"/>
              </w:rPr>
              <w:t>159,964</w:t>
            </w:r>
          </w:p>
        </w:tc>
      </w:tr>
      <w:tr>
        <w:trPr>
          <w:trHeight w:val="233"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6" w:right="0"/>
              <w:jc w:val="left"/>
              <w:rPr>
                <w:rFonts w:ascii="Arial" w:hAnsi="Arial" w:cs="Arial" w:eastAsia="Arial" w:hint="default"/>
                <w:sz w:val="18"/>
                <w:szCs w:val="18"/>
              </w:rPr>
            </w:pPr>
            <w:r>
              <w:rPr>
                <w:rFonts w:ascii="Arial"/>
                <w:sz w:val="18"/>
              </w:rPr>
              <w:t>60,829</w:t>
            </w:r>
          </w:p>
        </w:tc>
        <w:tc>
          <w:tcPr>
            <w:tcW w:w="133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right="101"/>
              <w:jc w:val="right"/>
              <w:rPr>
                <w:rFonts w:ascii="Arial" w:hAnsi="Arial" w:cs="Arial" w:eastAsia="Arial" w:hint="default"/>
                <w:sz w:val="18"/>
                <w:szCs w:val="18"/>
              </w:rPr>
            </w:pPr>
            <w:r>
              <w:rPr>
                <w:rFonts w:ascii="Arial"/>
                <w:spacing w:val="-1"/>
                <w:sz w:val="18"/>
              </w:rPr>
              <w:t>79,945</w:t>
            </w:r>
            <w:r>
              <w:rPr>
                <w:rFonts w:ascii="Arial"/>
                <w:sz w:val="18"/>
              </w:rPr>
            </w:r>
          </w:p>
        </w:tc>
      </w:tr>
      <w:tr>
        <w:trPr>
          <w:trHeight w:val="235"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nil" w:sz="6" w:space="0" w:color="auto"/>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05" w:right="0"/>
              <w:jc w:val="left"/>
              <w:rPr>
                <w:rFonts w:ascii="Arial" w:hAnsi="Arial" w:cs="Arial" w:eastAsia="Arial" w:hint="default"/>
                <w:sz w:val="18"/>
                <w:szCs w:val="18"/>
              </w:rPr>
            </w:pPr>
            <w:r>
              <w:rPr>
                <w:rFonts w:ascii="Arial"/>
                <w:sz w:val="18"/>
              </w:rPr>
              <w:t>214,729</w:t>
            </w:r>
          </w:p>
        </w:tc>
        <w:tc>
          <w:tcPr>
            <w:tcW w:w="1337"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99"/>
              <w:jc w:val="right"/>
              <w:rPr>
                <w:rFonts w:ascii="Arial" w:hAnsi="Arial" w:cs="Arial" w:eastAsia="Arial" w:hint="default"/>
                <w:sz w:val="18"/>
                <w:szCs w:val="18"/>
              </w:rPr>
            </w:pPr>
            <w:r>
              <w:rPr>
                <w:rFonts w:ascii="Arial"/>
                <w:spacing w:val="-1"/>
                <w:sz w:val="18"/>
              </w:rPr>
              <w:t>512,319</w:t>
            </w:r>
          </w:p>
        </w:tc>
      </w:tr>
      <w:tr>
        <w:trPr>
          <w:trHeight w:val="227" w:hRule="exact"/>
        </w:trPr>
        <w:tc>
          <w:tcPr>
            <w:tcW w:w="718" w:type="dxa"/>
            <w:tcBorders>
              <w:top w:val="nil" w:sz="6" w:space="0" w:color="auto"/>
              <w:left w:val="nil" w:sz="6" w:space="0" w:color="auto"/>
              <w:bottom w:val="nil" w:sz="6" w:space="0" w:color="auto"/>
              <w:right w:val="single" w:sz="4" w:space="0" w:color="000000"/>
            </w:tcBorders>
          </w:tcPr>
          <w:p>
            <w:pPr/>
          </w:p>
        </w:tc>
        <w:tc>
          <w:tcPr>
            <w:tcW w:w="1842" w:type="dxa"/>
            <w:tcBorders>
              <w:top w:val="nil" w:sz="6" w:space="0" w:color="auto"/>
              <w:left w:val="single" w:sz="4" w:space="0" w:color="000000"/>
              <w:bottom w:val="single" w:sz="4" w:space="0" w:color="000000"/>
              <w:right w:val="nil" w:sz="6" w:space="0" w:color="auto"/>
            </w:tcBorders>
          </w:tcPr>
          <w:p>
            <w:pPr>
              <w:pStyle w:val="TableParagraph"/>
              <w:spacing w:line="19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617" w:right="0"/>
              <w:jc w:val="left"/>
              <w:rPr>
                <w:rFonts w:ascii="Arial" w:hAnsi="Arial" w:cs="Arial" w:eastAsia="Arial" w:hint="default"/>
                <w:sz w:val="18"/>
                <w:szCs w:val="18"/>
              </w:rPr>
            </w:pPr>
            <w:r>
              <w:rPr>
                <w:rFonts w:ascii="Arial"/>
                <w:sz w:val="18"/>
              </w:rPr>
              <w:t>112,562</w:t>
            </w:r>
          </w:p>
        </w:tc>
        <w:tc>
          <w:tcPr>
            <w:tcW w:w="1337"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353" w:type="dxa"/>
            <w:tcBorders>
              <w:top w:val="nil" w:sz="6" w:space="0" w:color="auto"/>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98"/>
              <w:jc w:val="right"/>
              <w:rPr>
                <w:rFonts w:ascii="Arial" w:hAnsi="Arial" w:cs="Arial" w:eastAsia="Arial" w:hint="default"/>
                <w:sz w:val="18"/>
                <w:szCs w:val="18"/>
              </w:rPr>
            </w:pPr>
            <w:r>
              <w:rPr>
                <w:rFonts w:ascii="Arial"/>
                <w:spacing w:val="-1"/>
                <w:sz w:val="18"/>
              </w:rPr>
              <w:t>385,574</w:t>
            </w:r>
          </w:p>
        </w:tc>
      </w:tr>
    </w:tbl>
    <w:p>
      <w:pPr>
        <w:spacing w:line="240" w:lineRule="auto" w:before="6"/>
        <w:rPr>
          <w:rFonts w:ascii="Arial" w:hAnsi="Arial" w:cs="Arial" w:eastAsia="Arial" w:hint="default"/>
          <w:sz w:val="14"/>
          <w:szCs w:val="14"/>
        </w:rPr>
      </w:pPr>
    </w:p>
    <w:p>
      <w:pPr>
        <w:spacing w:before="77"/>
        <w:ind w:left="7465" w:right="7995" w:firstLine="0"/>
        <w:jc w:val="center"/>
        <w:rPr>
          <w:rFonts w:ascii="Arial" w:hAnsi="Arial" w:cs="Arial" w:eastAsia="Arial" w:hint="default"/>
          <w:sz w:val="18"/>
          <w:szCs w:val="18"/>
        </w:rPr>
      </w:pPr>
      <w:r>
        <w:rPr/>
        <w:pict>
          <v:shape style="position:absolute;margin-left:740.75pt;margin-top:4.395681pt;width:101.25pt;height:57.720215pt;mso-position-horizontal-relative:page;mso-position-vertical-relative:paragraph;z-index:2920" type="#_x0000_t75" stroked="false">
            <v:imagedata r:id="rId82" o:title=""/>
          </v:shape>
        </w:pict>
      </w:r>
      <w:r>
        <w:rPr>
          <w:rFonts w:ascii="Arial"/>
          <w:sz w:val="18"/>
        </w:rPr>
        <w:t>- 161 -</w:t>
      </w:r>
    </w:p>
    <w:p>
      <w:pPr>
        <w:spacing w:after="0"/>
        <w:jc w:val="center"/>
        <w:rPr>
          <w:rFonts w:ascii="Arial" w:hAnsi="Arial" w:cs="Arial" w:eastAsia="Arial" w:hint="default"/>
          <w:sz w:val="18"/>
          <w:szCs w:val="18"/>
        </w:rPr>
        <w:sectPr>
          <w:headerReference w:type="default" r:id="rId83"/>
          <w:footerReference w:type="default" r:id="rId84"/>
          <w:pgSz w:w="16850" w:h="11910" w:orient="landscape"/>
          <w:pgMar w:header="0" w:footer="0" w:top="1100" w:bottom="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9"/>
        <w:gridCol w:w="2742"/>
        <w:gridCol w:w="3492"/>
        <w:gridCol w:w="3248"/>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623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248" w:type="dxa"/>
            <w:tcBorders>
              <w:top w:val="single" w:sz="6" w:space="0" w:color="000000"/>
              <w:left w:val="nil" w:sz="6" w:space="0" w:color="auto"/>
              <w:bottom w:val="nil" w:sz="6" w:space="0" w:color="auto"/>
              <w:right w:val="nil" w:sz="6" w:space="0" w:color="auto"/>
            </w:tcBorders>
          </w:tcPr>
          <w:p>
            <w:pPr/>
          </w:p>
        </w:tc>
      </w:tr>
      <w:tr>
        <w:trPr>
          <w:trHeight w:val="59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pacing w:val="-5"/>
                <w:sz w:val="24"/>
              </w:rPr>
              <w:t>(11)</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Arial" w:hAnsi="Arial" w:cs="Arial" w:eastAsia="Arial" w:hint="default"/>
                <w:sz w:val="24"/>
                <w:szCs w:val="24"/>
              </w:rPr>
            </w:pPr>
            <w:r>
              <w:rPr>
                <w:rFonts w:ascii="宋体" w:hAnsi="宋体" w:cs="宋体" w:eastAsia="宋体" w:hint="default"/>
                <w:b/>
                <w:bCs/>
                <w:sz w:val="24"/>
                <w:szCs w:val="24"/>
              </w:rPr>
              <w:t>固定资产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492" w:type="dxa"/>
            <w:tcBorders>
              <w:top w:val="nil" w:sz="6" w:space="0" w:color="auto"/>
              <w:left w:val="nil" w:sz="6" w:space="0" w:color="auto"/>
              <w:bottom w:val="nil" w:sz="6" w:space="0" w:color="auto"/>
              <w:right w:val="nil" w:sz="6" w:space="0" w:color="auto"/>
            </w:tcBorders>
          </w:tcPr>
          <w:p>
            <w:pPr/>
          </w:p>
        </w:tc>
        <w:tc>
          <w:tcPr>
            <w:tcW w:w="3248" w:type="dxa"/>
            <w:tcBorders>
              <w:top w:val="nil" w:sz="6" w:space="0" w:color="auto"/>
              <w:left w:val="nil" w:sz="6" w:space="0" w:color="auto"/>
              <w:bottom w:val="nil" w:sz="6" w:space="0" w:color="auto"/>
              <w:right w:val="nil" w:sz="6" w:space="0" w:color="auto"/>
            </w:tcBorders>
          </w:tcPr>
          <w:p>
            <w:pPr/>
          </w:p>
        </w:tc>
      </w:tr>
      <w:tr>
        <w:trPr>
          <w:trHeight w:val="894" w:hRule="exact"/>
        </w:trPr>
        <w:tc>
          <w:tcPr>
            <w:tcW w:w="10262"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913" w:right="201"/>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日，无房屋及建筑物和机器设备作为短期借 款的抵押物。</w:t>
            </w:r>
          </w:p>
        </w:tc>
      </w:tr>
      <w:tr>
        <w:trPr>
          <w:trHeight w:val="2116" w:hRule="exact"/>
        </w:trPr>
        <w:tc>
          <w:tcPr>
            <w:tcW w:w="10262"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00"/>
              <w:ind w:left="91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年度固定资产计提的折旧金额约为人民币</w:t>
            </w:r>
            <w:r>
              <w:rPr>
                <w:rFonts w:ascii="宋体" w:hAnsi="宋体" w:cs="宋体" w:eastAsia="宋体" w:hint="default"/>
                <w:spacing w:val="-61"/>
                <w:sz w:val="24"/>
                <w:szCs w:val="24"/>
              </w:rPr>
              <w:t> </w:t>
            </w:r>
            <w:r>
              <w:rPr>
                <w:rFonts w:ascii="Arial" w:hAnsi="Arial" w:cs="Arial" w:eastAsia="Arial" w:hint="default"/>
                <w:sz w:val="24"/>
                <w:szCs w:val="24"/>
              </w:rPr>
              <w:t>3.75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2"/>
                <w:sz w:val="24"/>
                <w:szCs w:val="24"/>
              </w:rPr>
              <w:t> </w:t>
            </w:r>
            <w:r>
              <w:rPr>
                <w:rFonts w:ascii="Arial" w:hAnsi="Arial" w:cs="Arial" w:eastAsia="Arial" w:hint="default"/>
                <w:sz w:val="24"/>
                <w:szCs w:val="24"/>
              </w:rPr>
              <w:t>1.97</w:t>
            </w:r>
            <w:r>
              <w:rPr>
                <w:rFonts w:ascii="Arial" w:hAnsi="Arial" w:cs="Arial" w:eastAsia="Arial" w:hint="default"/>
                <w:spacing w:val="-8"/>
                <w:sz w:val="24"/>
                <w:szCs w:val="24"/>
              </w:rPr>
              <w:t> </w:t>
            </w:r>
            <w:r>
              <w:rPr>
                <w:rFonts w:ascii="宋体" w:hAnsi="宋体" w:cs="宋体" w:eastAsia="宋体" w:hint="default"/>
                <w:sz w:val="24"/>
                <w:szCs w:val="24"/>
              </w:rPr>
              <w:t>亿</w:t>
            </w:r>
          </w:p>
          <w:p>
            <w:pPr>
              <w:pStyle w:val="TableParagraph"/>
              <w:spacing w:line="312" w:lineRule="exact"/>
              <w:ind w:left="913" w:right="0"/>
              <w:jc w:val="left"/>
              <w:rPr>
                <w:rFonts w:ascii="Arial" w:hAnsi="Arial" w:cs="Arial" w:eastAsia="Arial" w:hint="default"/>
                <w:sz w:val="24"/>
                <w:szCs w:val="24"/>
              </w:rPr>
            </w:pP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，其中计入销售费用及管理费用的折旧费用分别约为人民币 </w:t>
            </w:r>
            <w:r>
              <w:rPr>
                <w:rFonts w:ascii="Arial" w:hAnsi="Arial" w:cs="Arial" w:eastAsia="Arial" w:hint="default"/>
                <w:sz w:val="24"/>
                <w:szCs w:val="24"/>
              </w:rPr>
              <w:t>2.4  </w:t>
            </w:r>
            <w:r>
              <w:rPr>
                <w:rFonts w:ascii="宋体" w:hAnsi="宋体" w:cs="宋体" w:eastAsia="宋体" w:hint="default"/>
                <w:sz w:val="24"/>
                <w:szCs w:val="24"/>
              </w:rPr>
              <w:t>亿元及人民币</w:t>
            </w:r>
            <w:r>
              <w:rPr>
                <w:rFonts w:ascii="宋体" w:hAnsi="宋体" w:cs="宋体" w:eastAsia="宋体" w:hint="default"/>
                <w:spacing w:val="-35"/>
                <w:sz w:val="24"/>
                <w:szCs w:val="24"/>
              </w:rPr>
              <w:t> </w:t>
            </w:r>
            <w:r>
              <w:rPr>
                <w:rFonts w:ascii="Arial" w:hAnsi="Arial" w:cs="Arial" w:eastAsia="Arial" w:hint="default"/>
                <w:sz w:val="24"/>
                <w:szCs w:val="24"/>
              </w:rPr>
              <w:t>1.35</w:t>
            </w:r>
          </w:p>
          <w:p>
            <w:pPr>
              <w:pStyle w:val="TableParagraph"/>
              <w:spacing w:line="322" w:lineRule="exact"/>
              <w:ind w:left="913"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年：约人民币</w:t>
            </w:r>
            <w:r>
              <w:rPr>
                <w:rFonts w:ascii="宋体" w:hAnsi="宋体" w:cs="宋体" w:eastAsia="宋体" w:hint="default"/>
                <w:spacing w:val="-62"/>
                <w:sz w:val="24"/>
                <w:szCs w:val="24"/>
              </w:rPr>
              <w:t> </w:t>
            </w:r>
            <w:r>
              <w:rPr>
                <w:rFonts w:ascii="Arial" w:hAnsi="Arial" w:cs="Arial" w:eastAsia="Arial" w:hint="default"/>
                <w:sz w:val="24"/>
                <w:szCs w:val="24"/>
              </w:rPr>
              <w:t>0.97</w:t>
            </w:r>
            <w:r>
              <w:rPr>
                <w:rFonts w:ascii="Arial" w:hAnsi="Arial" w:cs="Arial" w:eastAsia="Arial" w:hint="default"/>
                <w:spacing w:val="-8"/>
                <w:sz w:val="24"/>
                <w:szCs w:val="24"/>
              </w:rPr>
              <w:t> </w:t>
            </w:r>
            <w:r>
              <w:rPr>
                <w:rFonts w:ascii="宋体" w:hAnsi="宋体" w:cs="宋体" w:eastAsia="宋体" w:hint="default"/>
                <w:sz w:val="24"/>
                <w:szCs w:val="24"/>
              </w:rPr>
              <w:t>亿元及约人民币</w:t>
            </w:r>
            <w:r>
              <w:rPr>
                <w:rFonts w:ascii="宋体" w:hAnsi="宋体" w:cs="宋体" w:eastAsia="宋体" w:hint="default"/>
                <w:spacing w:val="-62"/>
                <w:sz w:val="24"/>
                <w:szCs w:val="24"/>
              </w:rPr>
              <w:t> </w:t>
            </w:r>
            <w:r>
              <w:rPr>
                <w:rFonts w:ascii="Arial" w:hAnsi="Arial" w:cs="Arial" w:eastAsia="Arial" w:hint="default"/>
                <w:sz w:val="24"/>
                <w:szCs w:val="24"/>
              </w:rPr>
              <w:t>0.99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2" w:lineRule="exact"/>
              <w:ind w:left="91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年度由在建工程转入固定资产的原价约人民币 </w:t>
            </w:r>
            <w:r>
              <w:rPr>
                <w:rFonts w:ascii="Arial" w:hAnsi="Arial" w:cs="Arial" w:eastAsia="Arial" w:hint="default"/>
                <w:sz w:val="24"/>
                <w:szCs w:val="24"/>
              </w:rPr>
              <w:t>25.94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4"/>
                <w:sz w:val="24"/>
                <w:szCs w:val="24"/>
              </w:rPr>
              <w:t> </w:t>
            </w:r>
            <w:r>
              <w:rPr>
                <w:rFonts w:ascii="宋体" w:hAnsi="宋体" w:cs="宋体" w:eastAsia="宋体" w:hint="default"/>
                <w:sz w:val="24"/>
                <w:szCs w:val="24"/>
              </w:rPr>
              <w:t>年度：约人民币</w:t>
            </w:r>
          </w:p>
          <w:p>
            <w:pPr>
              <w:pStyle w:val="TableParagraph"/>
              <w:spacing w:line="322" w:lineRule="exact"/>
              <w:ind w:left="913" w:right="0"/>
              <w:jc w:val="left"/>
              <w:rPr>
                <w:rFonts w:ascii="宋体" w:hAnsi="宋体" w:cs="宋体" w:eastAsia="宋体" w:hint="default"/>
                <w:sz w:val="24"/>
                <w:szCs w:val="24"/>
              </w:rPr>
            </w:pPr>
            <w:r>
              <w:rPr>
                <w:rFonts w:ascii="Arial" w:hAnsi="Arial" w:cs="Arial" w:eastAsia="Arial" w:hint="default"/>
                <w:sz w:val="24"/>
                <w:szCs w:val="24"/>
              </w:rPr>
              <w:t>5.52</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94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日和</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日，本集团无重大闲置的固定资产。</w:t>
            </w: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62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宋体" w:hAnsi="宋体" w:cs="宋体" w:eastAsia="宋体" w:hint="default"/>
                <w:sz w:val="24"/>
                <w:szCs w:val="24"/>
              </w:rPr>
            </w:pPr>
            <w:r>
              <w:rPr>
                <w:rFonts w:ascii="宋体" w:hAnsi="宋体" w:cs="宋体" w:eastAsia="宋体" w:hint="default"/>
                <w:sz w:val="24"/>
                <w:szCs w:val="24"/>
              </w:rPr>
              <w:t>未办妥产权证书的固定资产</w:t>
            </w:r>
          </w:p>
        </w:tc>
        <w:tc>
          <w:tcPr>
            <w:tcW w:w="3248" w:type="dxa"/>
            <w:tcBorders>
              <w:top w:val="nil" w:sz="6" w:space="0" w:color="auto"/>
              <w:left w:val="nil" w:sz="6" w:space="0" w:color="auto"/>
              <w:bottom w:val="nil" w:sz="6" w:space="0" w:color="auto"/>
              <w:right w:val="nil" w:sz="6" w:space="0" w:color="auto"/>
            </w:tcBorders>
          </w:tcPr>
          <w:p>
            <w:pPr/>
          </w:p>
        </w:tc>
      </w:tr>
      <w:tr>
        <w:trPr>
          <w:trHeight w:val="1212" w:hRule="exact"/>
        </w:trPr>
        <w:tc>
          <w:tcPr>
            <w:tcW w:w="779" w:type="dxa"/>
            <w:tcBorders>
              <w:top w:val="nil" w:sz="6" w:space="0" w:color="auto"/>
              <w:left w:val="nil" w:sz="6" w:space="0" w:color="auto"/>
              <w:bottom w:val="nil" w:sz="6" w:space="0" w:color="auto"/>
              <w:right w:val="nil" w:sz="6" w:space="0" w:color="auto"/>
            </w:tcBorders>
          </w:tcPr>
          <w:p>
            <w:pPr/>
          </w:p>
        </w:tc>
        <w:tc>
          <w:tcPr>
            <w:tcW w:w="9483"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0"/>
              <w:ind w:left="134"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5"/>
                <w:sz w:val="24"/>
                <w:szCs w:val="24"/>
              </w:rPr>
              <w:t>2011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日，账面价值约人民币</w:t>
            </w:r>
            <w:r>
              <w:rPr>
                <w:rFonts w:ascii="宋体" w:hAnsi="宋体" w:cs="宋体" w:eastAsia="宋体" w:hint="default"/>
                <w:spacing w:val="-59"/>
                <w:sz w:val="24"/>
                <w:szCs w:val="24"/>
              </w:rPr>
              <w:t> </w:t>
            </w:r>
            <w:r>
              <w:rPr>
                <w:rFonts w:ascii="Arial" w:hAnsi="Arial" w:cs="Arial" w:eastAsia="Arial" w:hint="default"/>
                <w:sz w:val="24"/>
                <w:szCs w:val="24"/>
              </w:rPr>
              <w:t>22.75</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58"/>
                <w:sz w:val="24"/>
                <w:szCs w:val="24"/>
              </w:rPr>
              <w:t> </w:t>
            </w:r>
            <w:r>
              <w:rPr>
                <w:rFonts w:ascii="Arial" w:hAnsi="Arial" w:cs="Arial" w:eastAsia="Arial" w:hint="default"/>
                <w:sz w:val="24"/>
                <w:szCs w:val="24"/>
              </w:rPr>
              <w:t>23.2</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w:t>
            </w:r>
          </w:p>
          <w:p>
            <w:pPr>
              <w:pStyle w:val="TableParagraph"/>
              <w:spacing w:line="312" w:lineRule="exact" w:before="21"/>
              <w:ind w:left="134" w:right="198"/>
              <w:jc w:val="left"/>
              <w:rPr>
                <w:rFonts w:ascii="宋体" w:hAnsi="宋体" w:cs="宋体" w:eastAsia="宋体" w:hint="default"/>
                <w:sz w:val="24"/>
                <w:szCs w:val="24"/>
              </w:rPr>
            </w:pPr>
            <w:r>
              <w:rPr>
                <w:rFonts w:ascii="宋体" w:hAnsi="宋体" w:cs="宋体" w:eastAsia="宋体" w:hint="default"/>
                <w:sz w:val="24"/>
                <w:szCs w:val="24"/>
              </w:rPr>
              <w:t>及建筑物</w:t>
            </w:r>
            <w:r>
              <w:rPr>
                <w:rFonts w:ascii="Arial" w:hAnsi="Arial" w:cs="Arial" w:eastAsia="Arial" w:hint="default"/>
                <w:sz w:val="24"/>
                <w:szCs w:val="24"/>
              </w:rPr>
              <w:t>(2010</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pacing w:val="-3"/>
                <w:sz w:val="24"/>
                <w:szCs w:val="24"/>
              </w:rPr>
              <w:t>日：账面价值约人民币</w:t>
            </w:r>
            <w:r>
              <w:rPr>
                <w:rFonts w:ascii="宋体" w:hAnsi="宋体" w:cs="宋体" w:eastAsia="宋体" w:hint="default"/>
                <w:spacing w:val="-59"/>
                <w:sz w:val="24"/>
                <w:szCs w:val="24"/>
              </w:rPr>
              <w:t> </w:t>
            </w:r>
            <w:r>
              <w:rPr>
                <w:rFonts w:ascii="Arial" w:hAnsi="Arial" w:cs="Arial" w:eastAsia="Arial" w:hint="default"/>
                <w:sz w:val="24"/>
                <w:szCs w:val="24"/>
              </w:rPr>
              <w:t>6.52</w:t>
            </w:r>
            <w:r>
              <w:rPr>
                <w:rFonts w:ascii="Arial" w:hAnsi="Arial" w:cs="Arial" w:eastAsia="Arial" w:hint="default"/>
                <w:spacing w:val="-5"/>
                <w:sz w:val="24"/>
                <w:szCs w:val="24"/>
              </w:rPr>
              <w:t> </w:t>
            </w:r>
            <w:r>
              <w:rPr>
                <w:rFonts w:ascii="宋体" w:hAnsi="宋体" w:cs="宋体" w:eastAsia="宋体" w:hint="default"/>
                <w:spacing w:val="-3"/>
                <w:sz w:val="24"/>
                <w:szCs w:val="24"/>
              </w:rPr>
              <w:t>亿元、原价约人民币</w:t>
            </w:r>
            <w:r>
              <w:rPr>
                <w:rFonts w:ascii="宋体" w:hAnsi="宋体" w:cs="宋体" w:eastAsia="宋体" w:hint="default"/>
                <w:spacing w:val="-59"/>
                <w:sz w:val="24"/>
                <w:szCs w:val="24"/>
              </w:rPr>
              <w:t> </w:t>
            </w:r>
            <w:r>
              <w:rPr>
                <w:rFonts w:ascii="Arial" w:hAnsi="Arial" w:cs="Arial" w:eastAsia="Arial" w:hint="default"/>
                <w:sz w:val="24"/>
                <w:szCs w:val="24"/>
              </w:rPr>
              <w:t>6.75</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 </w:t>
            </w:r>
            <w:r>
              <w:rPr>
                <w:rFonts w:ascii="宋体" w:hAnsi="宋体" w:cs="宋体" w:eastAsia="宋体" w:hint="default"/>
                <w:sz w:val="24"/>
                <w:szCs w:val="24"/>
              </w:rPr>
              <w:t>尚未办妥房屋权证：</w:t>
            </w: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42"/>
              <w:jc w:val="right"/>
              <w:rPr>
                <w:rFonts w:ascii="宋体" w:hAnsi="宋体" w:cs="宋体" w:eastAsia="宋体" w:hint="default"/>
                <w:sz w:val="24"/>
                <w:szCs w:val="24"/>
              </w:rPr>
            </w:pPr>
            <w:r>
              <w:rPr>
                <w:rFonts w:ascii="宋体" w:hAnsi="宋体" w:cs="宋体" w:eastAsia="宋体" w:hint="default"/>
                <w:sz w:val="24"/>
                <w:szCs w:val="24"/>
              </w:rPr>
              <w:t>未办妥产权证书原因</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1"/>
              <w:jc w:val="right"/>
              <w:rPr>
                <w:rFonts w:ascii="宋体" w:hAnsi="宋体" w:cs="宋体" w:eastAsia="宋体" w:hint="default"/>
                <w:sz w:val="24"/>
                <w:szCs w:val="24"/>
              </w:rPr>
            </w:pPr>
            <w:r>
              <w:rPr>
                <w:rFonts w:ascii="宋体" w:hAnsi="宋体" w:cs="宋体" w:eastAsia="宋体" w:hint="default"/>
                <w:sz w:val="24"/>
                <w:szCs w:val="24"/>
              </w:rPr>
              <w:t>预计办妥产权证书时间</w:t>
            </w:r>
          </w:p>
        </w:tc>
      </w:tr>
      <w:tr>
        <w:trPr>
          <w:trHeight w:val="426" w:hRule="exact"/>
        </w:trPr>
        <w:tc>
          <w:tcPr>
            <w:tcW w:w="779"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4"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42"/>
              <w:jc w:val="right"/>
              <w:rPr>
                <w:rFonts w:ascii="宋体" w:hAnsi="宋体" w:cs="宋体" w:eastAsia="宋体" w:hint="default"/>
                <w:sz w:val="24"/>
                <w:szCs w:val="24"/>
              </w:rPr>
            </w:pPr>
            <w:r>
              <w:rPr>
                <w:rFonts w:ascii="宋体" w:hAnsi="宋体" w:cs="宋体" w:eastAsia="宋体" w:hint="default"/>
                <w:sz w:val="24"/>
                <w:szCs w:val="24"/>
              </w:rPr>
              <w:t>正在办理过程中</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年内</w:t>
            </w:r>
          </w:p>
        </w:tc>
      </w:tr>
    </w:tbl>
    <w:p>
      <w:pPr>
        <w:spacing w:after="0" w:line="240" w:lineRule="auto"/>
        <w:jc w:val="right"/>
        <w:rPr>
          <w:rFonts w:ascii="宋体" w:hAnsi="宋体" w:cs="宋体" w:eastAsia="宋体" w:hint="default"/>
          <w:sz w:val="24"/>
          <w:szCs w:val="24"/>
        </w:rPr>
        <w:sectPr>
          <w:footerReference w:type="default" r:id="rId85"/>
          <w:pgSz w:w="11910" w:h="16850"/>
          <w:pgMar w:footer="956" w:header="0" w:top="2960" w:bottom="1140" w:left="820" w:right="0"/>
          <w:pgNumType w:start="162"/>
        </w:sectPr>
      </w:pPr>
    </w:p>
    <w:p>
      <w:pPr>
        <w:spacing w:line="240" w:lineRule="auto" w:before="11"/>
        <w:rPr>
          <w:rFonts w:ascii="Times New Roman" w:hAnsi="Times New Roman" w:cs="Times New Roman" w:eastAsia="Times New Roman" w:hint="default"/>
          <w:sz w:val="3"/>
          <w:szCs w:val="3"/>
        </w:rPr>
      </w:pPr>
      <w:r>
        <w:rPr/>
        <w:pict>
          <v:group style="position:absolute;margin-left:248.449997pt;margin-top:627.940002pt;width:43.45pt;height:.1pt;mso-position-horizontal-relative:page;mso-position-vertical-relative:page;z-index:-1358872" coordorigin="4969,12559" coordsize="869,2">
            <v:shape style="position:absolute;left:4969;top:12559;width:869;height:2" coordorigin="4969,12559" coordsize="869,0" path="m4969,12559l5838,12559e" filled="false" stroked="true" strokeweight="1.44pt" strokecolor="#000000">
              <v:path arrowok="t"/>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779"/>
        <w:gridCol w:w="1889"/>
        <w:gridCol w:w="1114"/>
        <w:gridCol w:w="243"/>
        <w:gridCol w:w="1391"/>
        <w:gridCol w:w="923"/>
        <w:gridCol w:w="283"/>
        <w:gridCol w:w="1133"/>
        <w:gridCol w:w="286"/>
        <w:gridCol w:w="895"/>
        <w:gridCol w:w="238"/>
        <w:gridCol w:w="1087"/>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003"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43" w:type="dxa"/>
            <w:tcBorders>
              <w:top w:val="single" w:sz="6" w:space="0" w:color="000000"/>
              <w:left w:val="nil" w:sz="6" w:space="0" w:color="auto"/>
              <w:bottom w:val="nil" w:sz="6" w:space="0" w:color="auto"/>
              <w:right w:val="nil" w:sz="6" w:space="0" w:color="auto"/>
            </w:tcBorders>
          </w:tcPr>
          <w:p>
            <w:pPr/>
          </w:p>
        </w:tc>
        <w:tc>
          <w:tcPr>
            <w:tcW w:w="1391" w:type="dxa"/>
            <w:tcBorders>
              <w:top w:val="single" w:sz="6" w:space="0" w:color="000000"/>
              <w:left w:val="nil" w:sz="6" w:space="0" w:color="auto"/>
              <w:bottom w:val="nil" w:sz="6" w:space="0" w:color="auto"/>
              <w:right w:val="nil" w:sz="6" w:space="0" w:color="auto"/>
            </w:tcBorders>
          </w:tcPr>
          <w:p>
            <w:pPr/>
          </w:p>
        </w:tc>
        <w:tc>
          <w:tcPr>
            <w:tcW w:w="923"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133" w:type="dxa"/>
            <w:tcBorders>
              <w:top w:val="single" w:sz="6" w:space="0" w:color="000000"/>
              <w:left w:val="nil" w:sz="6" w:space="0" w:color="auto"/>
              <w:bottom w:val="nil" w:sz="6" w:space="0" w:color="auto"/>
              <w:right w:val="nil" w:sz="6" w:space="0" w:color="auto"/>
            </w:tcBorders>
          </w:tcPr>
          <w:p>
            <w:pPr/>
          </w:p>
        </w:tc>
        <w:tc>
          <w:tcPr>
            <w:tcW w:w="286" w:type="dxa"/>
            <w:tcBorders>
              <w:top w:val="single" w:sz="6" w:space="0" w:color="000000"/>
              <w:left w:val="nil" w:sz="6" w:space="0" w:color="auto"/>
              <w:bottom w:val="nil" w:sz="6" w:space="0" w:color="auto"/>
              <w:right w:val="nil" w:sz="6" w:space="0" w:color="auto"/>
            </w:tcBorders>
          </w:tcPr>
          <w:p>
            <w:pPr/>
          </w:p>
        </w:tc>
        <w:tc>
          <w:tcPr>
            <w:tcW w:w="895"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nil" w:sz="6" w:space="0" w:color="auto"/>
              <w:right w:val="nil" w:sz="6" w:space="0" w:color="auto"/>
            </w:tcBorders>
          </w:tcPr>
          <w:p>
            <w:pPr/>
          </w:p>
        </w:tc>
      </w:tr>
      <w:tr>
        <w:trPr>
          <w:trHeight w:val="583"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(12)</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7" w:right="0"/>
              <w:jc w:val="left"/>
              <w:rPr>
                <w:rFonts w:ascii="宋体" w:hAnsi="宋体" w:cs="宋体" w:eastAsia="宋体" w:hint="default"/>
                <w:sz w:val="24"/>
                <w:szCs w:val="24"/>
              </w:rPr>
            </w:pPr>
            <w:r>
              <w:rPr>
                <w:rFonts w:ascii="宋体" w:hAnsi="宋体" w:cs="宋体" w:eastAsia="宋体" w:hint="default"/>
                <w:b/>
                <w:bCs/>
                <w:sz w:val="24"/>
                <w:szCs w:val="24"/>
              </w:rPr>
              <w:t>在建工程</w:t>
            </w:r>
            <w:r>
              <w:rPr>
                <w:rFonts w:ascii="宋体" w:hAnsi="宋体" w:cs="宋体" w:eastAsia="宋体" w:hint="default"/>
                <w:sz w:val="24"/>
                <w:szCs w:val="24"/>
              </w:rPr>
            </w:r>
          </w:p>
        </w:tc>
        <w:tc>
          <w:tcPr>
            <w:tcW w:w="1114"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r>
      <w:tr>
        <w:trPr>
          <w:trHeight w:val="430"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2748"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08"/>
              <w:ind w:left="934" w:right="-2"/>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923" w:type="dxa"/>
            <w:tcBorders>
              <w:top w:val="nil" w:sz="6" w:space="0" w:color="auto"/>
              <w:left w:val="nil" w:sz="6" w:space="0" w:color="auto"/>
              <w:bottom w:val="single" w:sz="12" w:space="0" w:color="000000"/>
              <w:right w:val="nil" w:sz="6" w:space="0" w:color="auto"/>
            </w:tcBorders>
          </w:tcPr>
          <w:p>
            <w:pPr/>
          </w:p>
        </w:tc>
        <w:tc>
          <w:tcPr>
            <w:tcW w:w="392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8"/>
              <w:ind w:left="119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6"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114" w:type="dxa"/>
            <w:tcBorders>
              <w:top w:val="single" w:sz="12" w:space="0" w:color="000000"/>
              <w:left w:val="nil" w:sz="6" w:space="0" w:color="auto"/>
              <w:bottom w:val="nil" w:sz="6" w:space="0" w:color="auto"/>
              <w:right w:val="nil" w:sz="6" w:space="0" w:color="auto"/>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3" w:type="dxa"/>
            <w:tcBorders>
              <w:top w:val="single" w:sz="12" w:space="0" w:color="000000"/>
              <w:left w:val="nil" w:sz="6" w:space="0" w:color="auto"/>
              <w:bottom w:val="nil" w:sz="6" w:space="0" w:color="auto"/>
              <w:right w:val="nil" w:sz="6" w:space="0" w:color="auto"/>
            </w:tcBorders>
          </w:tcPr>
          <w:p>
            <w:pPr/>
          </w:p>
        </w:tc>
        <w:tc>
          <w:tcPr>
            <w:tcW w:w="1391" w:type="dxa"/>
            <w:tcBorders>
              <w:top w:val="single" w:sz="12" w:space="0" w:color="000000"/>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923" w:type="dxa"/>
            <w:tcBorders>
              <w:top w:val="single" w:sz="12" w:space="0" w:color="000000"/>
              <w:left w:val="nil" w:sz="6" w:space="0" w:color="auto"/>
              <w:bottom w:val="nil" w:sz="6" w:space="0" w:color="auto"/>
              <w:right w:val="nil" w:sz="6" w:space="0" w:color="auto"/>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6" w:type="dxa"/>
            <w:tcBorders>
              <w:top w:val="single" w:sz="12" w:space="0" w:color="000000"/>
              <w:left w:val="nil" w:sz="6" w:space="0" w:color="auto"/>
              <w:bottom w:val="nil" w:sz="6" w:space="0" w:color="auto"/>
              <w:right w:val="nil" w:sz="6" w:space="0" w:color="auto"/>
            </w:tcBorders>
          </w:tcPr>
          <w:p>
            <w:pPr/>
          </w:p>
        </w:tc>
        <w:tc>
          <w:tcPr>
            <w:tcW w:w="895" w:type="dxa"/>
            <w:tcBorders>
              <w:top w:val="single" w:sz="12" w:space="0" w:color="000000"/>
              <w:left w:val="nil" w:sz="6" w:space="0" w:color="auto"/>
              <w:bottom w:val="nil" w:sz="6" w:space="0" w:color="auto"/>
              <w:right w:val="nil" w:sz="6" w:space="0" w:color="auto"/>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38" w:type="dxa"/>
            <w:tcBorders>
              <w:top w:val="single" w:sz="12" w:space="0" w:color="000000"/>
              <w:left w:val="nil" w:sz="6" w:space="0" w:color="auto"/>
              <w:bottom w:val="nil" w:sz="6" w:space="0" w:color="auto"/>
              <w:right w:val="nil" w:sz="6" w:space="0" w:color="auto"/>
            </w:tcBorders>
          </w:tcPr>
          <w:p>
            <w:pPr/>
          </w:p>
        </w:tc>
        <w:tc>
          <w:tcPr>
            <w:tcW w:w="1087" w:type="dxa"/>
            <w:tcBorders>
              <w:top w:val="single" w:sz="12" w:space="0" w:color="000000"/>
              <w:left w:val="nil" w:sz="6" w:space="0" w:color="auto"/>
              <w:bottom w:val="nil" w:sz="6" w:space="0" w:color="auto"/>
              <w:right w:val="nil" w:sz="6" w:space="0" w:color="auto"/>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69"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4" w:right="0"/>
              <w:jc w:val="left"/>
              <w:rPr>
                <w:rFonts w:ascii="宋体" w:hAnsi="宋体" w:cs="宋体" w:eastAsia="宋体" w:hint="default"/>
                <w:sz w:val="18"/>
                <w:szCs w:val="18"/>
              </w:rPr>
            </w:pPr>
            <w:r>
              <w:rPr>
                <w:rFonts w:ascii="宋体" w:hAnsi="宋体" w:cs="宋体" w:eastAsia="宋体" w:hint="default"/>
                <w:sz w:val="18"/>
                <w:szCs w:val="18"/>
              </w:rPr>
              <w:t>重庆雨田大厦</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80"/>
              <w:jc w:val="right"/>
              <w:rPr>
                <w:rFonts w:ascii="Arial" w:hAnsi="Arial" w:cs="Arial" w:eastAsia="Arial" w:hint="default"/>
                <w:sz w:val="18"/>
                <w:szCs w:val="18"/>
              </w:rPr>
            </w:pPr>
            <w:r>
              <w:rPr>
                <w:rFonts w:ascii="Arial"/>
                <w:spacing w:val="-1"/>
                <w:sz w:val="18"/>
              </w:rPr>
              <w:t>196,324</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88" w:right="0"/>
              <w:jc w:val="left"/>
              <w:rPr>
                <w:rFonts w:ascii="Arial" w:hAnsi="Arial" w:cs="Arial" w:eastAsia="Arial" w:hint="default"/>
                <w:sz w:val="18"/>
                <w:szCs w:val="18"/>
              </w:rPr>
            </w:pPr>
            <w:r>
              <w:rPr>
                <w:rFonts w:ascii="Arial"/>
                <w:sz w:val="18"/>
              </w:rPr>
              <w:t>196,324</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4"/>
              <w:jc w:val="right"/>
              <w:rPr>
                <w:rFonts w:ascii="Arial" w:hAnsi="Arial" w:cs="Arial" w:eastAsia="Arial" w:hint="default"/>
                <w:sz w:val="18"/>
                <w:szCs w:val="18"/>
              </w:rPr>
            </w:pPr>
            <w:r>
              <w:rPr>
                <w:rFonts w:ascii="Arial"/>
                <w:w w:val="99"/>
                <w:sz w:val="18"/>
              </w:rPr>
              <w:t>-</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32"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徐庄总部</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176,764</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6" w:right="0"/>
              <w:jc w:val="left"/>
              <w:rPr>
                <w:rFonts w:ascii="Arial" w:hAnsi="Arial" w:cs="Arial" w:eastAsia="Arial" w:hint="default"/>
                <w:sz w:val="18"/>
                <w:szCs w:val="18"/>
              </w:rPr>
            </w:pPr>
            <w:r>
              <w:rPr>
                <w:rFonts w:ascii="Arial"/>
                <w:sz w:val="18"/>
              </w:rPr>
              <w:t>176,764</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4" w:right="0"/>
              <w:jc w:val="left"/>
              <w:rPr>
                <w:rFonts w:ascii="Arial" w:hAnsi="Arial" w:cs="Arial" w:eastAsia="Arial" w:hint="default"/>
                <w:sz w:val="18"/>
                <w:szCs w:val="18"/>
              </w:rPr>
            </w:pPr>
            <w:r>
              <w:rPr>
                <w:rFonts w:ascii="Arial"/>
                <w:sz w:val="18"/>
              </w:rPr>
              <w:t>1,243,968</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9" w:right="0"/>
              <w:jc w:val="left"/>
              <w:rPr>
                <w:rFonts w:ascii="Arial" w:hAnsi="Arial" w:cs="Arial" w:eastAsia="Arial" w:hint="default"/>
                <w:sz w:val="18"/>
                <w:szCs w:val="18"/>
              </w:rPr>
            </w:pPr>
            <w:r>
              <w:rPr>
                <w:rFonts w:ascii="Arial"/>
                <w:sz w:val="18"/>
              </w:rPr>
              <w:t>1,243,968</w:t>
            </w:r>
          </w:p>
        </w:tc>
      </w:tr>
      <w:tr>
        <w:trPr>
          <w:trHeight w:val="236"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8" w:lineRule="exact"/>
              <w:ind w:left="134" w:right="0"/>
              <w:jc w:val="left"/>
              <w:rPr>
                <w:rFonts w:ascii="宋体" w:hAnsi="宋体" w:cs="宋体" w:eastAsia="宋体" w:hint="default"/>
                <w:sz w:val="18"/>
                <w:szCs w:val="18"/>
              </w:rPr>
            </w:pPr>
            <w:r>
              <w:rPr>
                <w:rFonts w:ascii="宋体" w:hAnsi="宋体" w:cs="宋体" w:eastAsia="宋体" w:hint="default"/>
                <w:sz w:val="18"/>
                <w:szCs w:val="18"/>
              </w:rPr>
              <w:t>重庆物流基地工程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
              <w:jc w:val="right"/>
              <w:rPr>
                <w:rFonts w:ascii="Arial" w:hAnsi="Arial" w:cs="Arial" w:eastAsia="Arial" w:hint="default"/>
                <w:sz w:val="18"/>
                <w:szCs w:val="18"/>
              </w:rPr>
            </w:pPr>
            <w:r>
              <w:rPr>
                <w:rFonts w:ascii="Arial"/>
                <w:spacing w:val="-3"/>
                <w:sz w:val="18"/>
              </w:rPr>
              <w:t>118,043</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198" w:lineRule="exact"/>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0" w:right="0"/>
              <w:jc w:val="left"/>
              <w:rPr>
                <w:rFonts w:ascii="Arial" w:hAnsi="Arial" w:cs="Arial" w:eastAsia="Arial" w:hint="default"/>
                <w:sz w:val="18"/>
                <w:szCs w:val="18"/>
              </w:rPr>
            </w:pPr>
            <w:r>
              <w:rPr>
                <w:rFonts w:ascii="Arial"/>
                <w:spacing w:val="-3"/>
                <w:sz w:val="18"/>
              </w:rPr>
              <w:t>118,043</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right"/>
              <w:rPr>
                <w:rFonts w:ascii="Arial" w:hAnsi="Arial" w:cs="Arial" w:eastAsia="Arial" w:hint="default"/>
                <w:sz w:val="18"/>
                <w:szCs w:val="18"/>
              </w:rPr>
            </w:pPr>
            <w:r>
              <w:rPr>
                <w:rFonts w:ascii="Arial"/>
                <w:w w:val="95"/>
                <w:sz w:val="18"/>
              </w:rPr>
              <w:t>222</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
              <w:jc w:val="right"/>
              <w:rPr>
                <w:rFonts w:ascii="Arial" w:hAnsi="Arial" w:cs="Arial" w:eastAsia="Arial" w:hint="default"/>
                <w:sz w:val="18"/>
                <w:szCs w:val="18"/>
              </w:rPr>
            </w:pPr>
            <w:r>
              <w:rPr>
                <w:rFonts w:ascii="Arial"/>
                <w:w w:val="95"/>
                <w:sz w:val="18"/>
              </w:rPr>
              <w:t>222</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北京物流基地二期</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97,221</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97,221</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77,171</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77,171</w:t>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0"/>
              <w:jc w:val="right"/>
              <w:rPr>
                <w:rFonts w:ascii="Arial" w:hAnsi="Arial" w:cs="Arial" w:eastAsia="Arial" w:hint="default"/>
                <w:sz w:val="18"/>
                <w:szCs w:val="18"/>
              </w:rPr>
            </w:pPr>
            <w:r>
              <w:rPr>
                <w:rFonts w:ascii="Arial"/>
                <w:spacing w:val="-1"/>
                <w:sz w:val="18"/>
              </w:rPr>
              <w:t>73,903</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9" w:right="0"/>
              <w:jc w:val="left"/>
              <w:rPr>
                <w:rFonts w:ascii="Arial" w:hAnsi="Arial" w:cs="Arial" w:eastAsia="Arial" w:hint="default"/>
                <w:sz w:val="18"/>
                <w:szCs w:val="18"/>
              </w:rPr>
            </w:pPr>
            <w:r>
              <w:rPr>
                <w:rFonts w:ascii="Arial"/>
                <w:sz w:val="18"/>
              </w:rPr>
              <w:t>73,903</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2"/>
              <w:jc w:val="right"/>
              <w:rPr>
                <w:rFonts w:ascii="Arial" w:hAnsi="Arial" w:cs="Arial" w:eastAsia="Arial" w:hint="default"/>
                <w:sz w:val="18"/>
                <w:szCs w:val="18"/>
              </w:rPr>
            </w:pPr>
            <w:r>
              <w:rPr>
                <w:rFonts w:ascii="Arial"/>
                <w:w w:val="95"/>
                <w:sz w:val="18"/>
              </w:rPr>
              <w:t>26</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重庆长寿店</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72,750</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72,750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济南物流项目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0"/>
              <w:jc w:val="right"/>
              <w:rPr>
                <w:rFonts w:ascii="Arial" w:hAnsi="Arial" w:cs="Arial" w:eastAsia="Arial" w:hint="default"/>
                <w:sz w:val="18"/>
                <w:szCs w:val="18"/>
              </w:rPr>
            </w:pPr>
            <w:r>
              <w:rPr>
                <w:rFonts w:ascii="Arial"/>
                <w:spacing w:val="-1"/>
                <w:sz w:val="18"/>
              </w:rPr>
              <w:t>66,163</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9" w:right="0"/>
              <w:jc w:val="left"/>
              <w:rPr>
                <w:rFonts w:ascii="Arial" w:hAnsi="Arial" w:cs="Arial" w:eastAsia="Arial" w:hint="default"/>
                <w:sz w:val="18"/>
                <w:szCs w:val="18"/>
              </w:rPr>
            </w:pPr>
            <w:r>
              <w:rPr>
                <w:rFonts w:ascii="Arial"/>
                <w:sz w:val="18"/>
              </w:rPr>
              <w:t>66,163</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w w:val="95"/>
                <w:sz w:val="18"/>
              </w:rPr>
              <w:t>3,074</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w w:val="95"/>
                <w:sz w:val="18"/>
              </w:rPr>
              <w:t>3,074</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盐城物流项目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8"/>
                <w:szCs w:val="18"/>
              </w:rPr>
            </w:pPr>
            <w:r>
              <w:rPr>
                <w:rFonts w:ascii="Arial"/>
                <w:spacing w:val="-1"/>
                <w:sz w:val="18"/>
              </w:rPr>
              <w:t>54,099</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9" w:right="0"/>
              <w:jc w:val="left"/>
              <w:rPr>
                <w:rFonts w:ascii="Arial" w:hAnsi="Arial" w:cs="Arial" w:eastAsia="Arial" w:hint="default"/>
                <w:sz w:val="18"/>
                <w:szCs w:val="18"/>
              </w:rPr>
            </w:pPr>
            <w:r>
              <w:rPr>
                <w:rFonts w:ascii="Arial"/>
                <w:sz w:val="18"/>
              </w:rPr>
              <w:t>54,099</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5"/>
              <w:jc w:val="right"/>
              <w:rPr>
                <w:rFonts w:ascii="Arial" w:hAnsi="Arial" w:cs="Arial" w:eastAsia="Arial" w:hint="default"/>
                <w:sz w:val="18"/>
                <w:szCs w:val="18"/>
              </w:rPr>
            </w:pPr>
            <w:r>
              <w:rPr>
                <w:rFonts w:ascii="Arial"/>
                <w:w w:val="95"/>
                <w:sz w:val="18"/>
              </w:rPr>
              <w:t>80</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5"/>
                <w:sz w:val="18"/>
              </w:rPr>
              <w:t>80</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徐州物流项目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spacing w:val="-1"/>
                <w:sz w:val="18"/>
              </w:rPr>
              <w:t>51,505</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9" w:right="0"/>
              <w:jc w:val="left"/>
              <w:rPr>
                <w:rFonts w:ascii="Arial" w:hAnsi="Arial" w:cs="Arial" w:eastAsia="Arial" w:hint="default"/>
                <w:sz w:val="18"/>
                <w:szCs w:val="18"/>
              </w:rPr>
            </w:pPr>
            <w:r>
              <w:rPr>
                <w:rFonts w:ascii="Arial"/>
                <w:sz w:val="18"/>
              </w:rPr>
              <w:t>51,505</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w w:val="95"/>
                <w:sz w:val="18"/>
              </w:rPr>
              <w:t>1,867</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w w:val="95"/>
                <w:sz w:val="18"/>
              </w:rPr>
              <w:t>1,867</w:t>
            </w:r>
            <w:r>
              <w:rPr>
                <w:rFonts w:ascii="Arial"/>
                <w:sz w:val="18"/>
              </w:rPr>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right="537"/>
              <w:jc w:val="center"/>
              <w:rPr>
                <w:rFonts w:ascii="宋体" w:hAnsi="宋体" w:cs="宋体" w:eastAsia="宋体" w:hint="default"/>
                <w:sz w:val="18"/>
                <w:szCs w:val="18"/>
              </w:rPr>
            </w:pPr>
            <w:r>
              <w:rPr>
                <w:rFonts w:ascii="宋体" w:hAnsi="宋体" w:cs="宋体" w:eastAsia="宋体" w:hint="default"/>
                <w:sz w:val="18"/>
                <w:szCs w:val="18"/>
              </w:rPr>
              <w:t>湖州苏宁电器</w:t>
            </w:r>
          </w:p>
          <w:p>
            <w:pPr>
              <w:pStyle w:val="TableParagraph"/>
              <w:spacing w:line="240" w:lineRule="auto"/>
              <w:ind w:right="547"/>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49,358</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6" w:right="0"/>
              <w:jc w:val="left"/>
              <w:rPr>
                <w:rFonts w:ascii="Arial" w:hAnsi="Arial" w:cs="Arial" w:eastAsia="Arial" w:hint="default"/>
                <w:sz w:val="18"/>
                <w:szCs w:val="18"/>
              </w:rPr>
            </w:pPr>
            <w:r>
              <w:rPr>
                <w:rFonts w:ascii="Arial"/>
                <w:sz w:val="18"/>
              </w:rPr>
              <w:t>49,358</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w w:val="95"/>
                <w:sz w:val="18"/>
              </w:rPr>
              <w:t>1,162</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5"/>
                <w:sz w:val="18"/>
              </w:rPr>
              <w:t>1,162</w:t>
            </w:r>
            <w:r>
              <w:rPr>
                <w:rFonts w:ascii="Arial"/>
                <w:sz w:val="18"/>
              </w:rPr>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right="537"/>
              <w:jc w:val="center"/>
              <w:rPr>
                <w:rFonts w:ascii="宋体" w:hAnsi="宋体" w:cs="宋体" w:eastAsia="宋体" w:hint="default"/>
                <w:sz w:val="18"/>
                <w:szCs w:val="18"/>
              </w:rPr>
            </w:pPr>
            <w:r>
              <w:rPr>
                <w:rFonts w:ascii="宋体" w:hAnsi="宋体" w:cs="宋体" w:eastAsia="宋体" w:hint="default"/>
                <w:sz w:val="18"/>
                <w:szCs w:val="18"/>
              </w:rPr>
              <w:t>汕头苏宁电器</w:t>
            </w:r>
          </w:p>
          <w:p>
            <w:pPr>
              <w:pStyle w:val="TableParagraph"/>
              <w:spacing w:line="240" w:lineRule="auto"/>
              <w:ind w:right="547"/>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44,893</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6" w:right="0"/>
              <w:jc w:val="left"/>
              <w:rPr>
                <w:rFonts w:ascii="Arial" w:hAnsi="Arial" w:cs="Arial" w:eastAsia="Arial" w:hint="default"/>
                <w:sz w:val="18"/>
                <w:szCs w:val="18"/>
              </w:rPr>
            </w:pPr>
            <w:r>
              <w:rPr>
                <w:rFonts w:ascii="Arial"/>
                <w:sz w:val="18"/>
              </w:rPr>
              <w:t>44,893</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w w:val="99"/>
                <w:sz w:val="18"/>
              </w:rPr>
              <w:t>-</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青岛物流基地工程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43,014</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6" w:right="0"/>
              <w:jc w:val="left"/>
              <w:rPr>
                <w:rFonts w:ascii="Arial" w:hAnsi="Arial" w:cs="Arial" w:eastAsia="Arial" w:hint="default"/>
                <w:sz w:val="18"/>
                <w:szCs w:val="18"/>
              </w:rPr>
            </w:pPr>
            <w:r>
              <w:rPr>
                <w:rFonts w:ascii="Arial"/>
                <w:sz w:val="18"/>
              </w:rPr>
              <w:t>43,014</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w w:val="95"/>
                <w:sz w:val="18"/>
              </w:rPr>
              <w:t>3,349</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5"/>
                <w:sz w:val="18"/>
              </w:rPr>
              <w:t>3,349</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合肥物流基地工程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spacing w:val="-1"/>
                <w:sz w:val="18"/>
              </w:rPr>
              <w:t>34,199</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6" w:right="0"/>
              <w:jc w:val="left"/>
              <w:rPr>
                <w:rFonts w:ascii="Arial" w:hAnsi="Arial" w:cs="Arial" w:eastAsia="Arial" w:hint="default"/>
                <w:sz w:val="18"/>
                <w:szCs w:val="18"/>
              </w:rPr>
            </w:pPr>
            <w:r>
              <w:rPr>
                <w:rFonts w:ascii="Arial"/>
                <w:sz w:val="18"/>
              </w:rPr>
              <w:t>34,199</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spacing w:val="-1"/>
                <w:sz w:val="18"/>
              </w:rPr>
              <w:t>29,397</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spacing w:val="-1"/>
                <w:sz w:val="18"/>
              </w:rPr>
              <w:t>29,397</w:t>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大庆会战大街三层</w:t>
            </w: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商服楼</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32,499</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6" w:right="0"/>
              <w:jc w:val="left"/>
              <w:rPr>
                <w:rFonts w:ascii="Arial" w:hAnsi="Arial" w:cs="Arial" w:eastAsia="Arial" w:hint="default"/>
                <w:sz w:val="18"/>
                <w:szCs w:val="18"/>
              </w:rPr>
            </w:pPr>
            <w:r>
              <w:rPr>
                <w:rFonts w:ascii="Arial"/>
                <w:sz w:val="18"/>
              </w:rPr>
              <w:t>32,499</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w w:val="99"/>
                <w:sz w:val="18"/>
              </w:rPr>
              <w:t>-</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芜湖苏宁广场项目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8"/>
                <w:szCs w:val="18"/>
              </w:rPr>
            </w:pPr>
            <w:r>
              <w:rPr>
                <w:rFonts w:ascii="Arial"/>
                <w:spacing w:val="-1"/>
                <w:sz w:val="18"/>
              </w:rPr>
              <w:t>16,355</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9" w:right="0"/>
              <w:jc w:val="left"/>
              <w:rPr>
                <w:rFonts w:ascii="Arial" w:hAnsi="Arial" w:cs="Arial" w:eastAsia="Arial" w:hint="default"/>
                <w:sz w:val="18"/>
                <w:szCs w:val="18"/>
              </w:rPr>
            </w:pPr>
            <w:r>
              <w:rPr>
                <w:rFonts w:ascii="Arial"/>
                <w:sz w:val="18"/>
              </w:rPr>
              <w:t>16,355</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江苏物流中心</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spacing w:val="-1"/>
                <w:sz w:val="18"/>
              </w:rPr>
              <w:t>12,244</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6" w:right="0"/>
              <w:jc w:val="left"/>
              <w:rPr>
                <w:rFonts w:ascii="Arial" w:hAnsi="Arial" w:cs="Arial" w:eastAsia="Arial" w:hint="default"/>
                <w:sz w:val="18"/>
                <w:szCs w:val="18"/>
              </w:rPr>
            </w:pPr>
            <w:r>
              <w:rPr>
                <w:rFonts w:ascii="Arial"/>
                <w:sz w:val="18"/>
              </w:rPr>
              <w:t>12,244</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w w:val="95"/>
                <w:sz w:val="18"/>
              </w:rPr>
              <w:t>8,698</w:t>
            </w:r>
            <w:r>
              <w:rPr>
                <w:rFonts w:ascii="Arial"/>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w w:val="95"/>
                <w:sz w:val="18"/>
              </w:rPr>
              <w:t>8,698</w:t>
            </w:r>
            <w:r>
              <w:rPr>
                <w:rFonts w:ascii="Arial"/>
                <w:sz w:val="18"/>
              </w:rPr>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成都物流基地工程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8"/>
                <w:szCs w:val="18"/>
              </w:rPr>
            </w:pPr>
            <w:r>
              <w:rPr>
                <w:rFonts w:ascii="Arial"/>
                <w:w w:val="95"/>
                <w:sz w:val="18"/>
              </w:rPr>
              <w:t>6,081</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8"/>
                <w:szCs w:val="18"/>
              </w:rPr>
            </w:pPr>
            <w:r>
              <w:rPr>
                <w:rFonts w:ascii="Arial"/>
                <w:w w:val="95"/>
                <w:sz w:val="18"/>
              </w:rPr>
              <w:t>6,081</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1"/>
                <w:sz w:val="18"/>
              </w:rPr>
              <w:t>64,572</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64,572</w:t>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天津物流基地工程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0"/>
              <w:jc w:val="right"/>
              <w:rPr>
                <w:rFonts w:ascii="Arial" w:hAnsi="Arial" w:cs="Arial" w:eastAsia="Arial" w:hint="default"/>
                <w:sz w:val="18"/>
                <w:szCs w:val="18"/>
              </w:rPr>
            </w:pPr>
            <w:r>
              <w:rPr>
                <w:rFonts w:ascii="Arial"/>
                <w:w w:val="95"/>
                <w:sz w:val="18"/>
              </w:rPr>
              <w:t>4,672</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0"/>
              <w:jc w:val="right"/>
              <w:rPr>
                <w:rFonts w:ascii="Arial" w:hAnsi="Arial" w:cs="Arial" w:eastAsia="Arial" w:hint="default"/>
                <w:sz w:val="18"/>
                <w:szCs w:val="18"/>
              </w:rPr>
            </w:pPr>
            <w:r>
              <w:rPr>
                <w:rFonts w:ascii="Arial"/>
                <w:w w:val="95"/>
                <w:sz w:val="18"/>
              </w:rPr>
              <w:t>4,672</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spacing w:val="-1"/>
                <w:sz w:val="18"/>
              </w:rPr>
              <w:t>48,997</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spacing w:val="-1"/>
                <w:sz w:val="18"/>
              </w:rPr>
              <w:t>48,997</w:t>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刘家窑芳群公寓</w:t>
            </w: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商场物业</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w w:val="95"/>
                <w:sz w:val="18"/>
              </w:rPr>
              <w:t>1,232</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18"/>
                <w:szCs w:val="18"/>
              </w:rPr>
            </w:pPr>
            <w:r>
              <w:rPr>
                <w:rFonts w:ascii="Arial"/>
                <w:w w:val="95"/>
                <w:sz w:val="18"/>
              </w:rPr>
              <w:t>1,232</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99,733</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99,733</w:t>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right="357"/>
              <w:jc w:val="center"/>
              <w:rPr>
                <w:rFonts w:ascii="宋体" w:hAnsi="宋体" w:cs="宋体" w:eastAsia="宋体" w:hint="default"/>
                <w:sz w:val="18"/>
                <w:szCs w:val="18"/>
              </w:rPr>
            </w:pPr>
            <w:r>
              <w:rPr>
                <w:rFonts w:ascii="宋体" w:hAnsi="宋体" w:cs="宋体" w:eastAsia="宋体" w:hint="default"/>
                <w:sz w:val="18"/>
                <w:szCs w:val="18"/>
              </w:rPr>
              <w:t>大同苏宁购置店</w:t>
            </w:r>
          </w:p>
          <w:p>
            <w:pPr>
              <w:pStyle w:val="TableParagraph"/>
              <w:spacing w:line="240" w:lineRule="auto"/>
              <w:ind w:right="540"/>
              <w:jc w:val="center"/>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金帝商厦</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w w:val="95"/>
                <w:sz w:val="18"/>
              </w:rPr>
              <w:t>129</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5"/>
                <w:sz w:val="18"/>
              </w:rPr>
              <w:t>129</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183,346</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183,346</w:t>
            </w:r>
          </w:p>
        </w:tc>
      </w:tr>
      <w:tr>
        <w:trPr>
          <w:trHeight w:val="468"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大连苏宁购置店</w:t>
            </w:r>
          </w:p>
          <w:p>
            <w:pPr>
              <w:pStyle w:val="TableParagraph"/>
              <w:spacing w:line="240" w:lineRule="auto"/>
              <w:ind w:left="26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胜利广场</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18"/>
                <w:szCs w:val="18"/>
              </w:rPr>
            </w:pPr>
            <w:r>
              <w:rPr>
                <w:rFonts w:ascii="Arial"/>
                <w:w w:val="99"/>
                <w:sz w:val="18"/>
              </w:rPr>
              <w:t>-</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219,527</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219,527</w:t>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无锡物流基地工程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1"/>
              <w:jc w:val="right"/>
              <w:rPr>
                <w:rFonts w:ascii="Arial" w:hAnsi="Arial" w:cs="Arial" w:eastAsia="Arial" w:hint="default"/>
                <w:sz w:val="18"/>
                <w:szCs w:val="18"/>
              </w:rPr>
            </w:pPr>
            <w:r>
              <w:rPr>
                <w:rFonts w:ascii="Arial"/>
                <w:w w:val="99"/>
                <w:sz w:val="18"/>
              </w:rPr>
              <w:t>-</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3"/>
              <w:jc w:val="right"/>
              <w:rPr>
                <w:rFonts w:ascii="Arial" w:hAnsi="Arial" w:cs="Arial" w:eastAsia="Arial" w:hint="default"/>
                <w:sz w:val="18"/>
                <w:szCs w:val="18"/>
              </w:rPr>
            </w:pPr>
            <w:r>
              <w:rPr>
                <w:rFonts w:ascii="Arial"/>
                <w:spacing w:val="-3"/>
                <w:sz w:val="18"/>
              </w:rPr>
              <w:t>59,011</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3"/>
                <w:sz w:val="18"/>
              </w:rPr>
              <w:t>59,011</w:t>
            </w:r>
          </w:p>
        </w:tc>
      </w:tr>
      <w:tr>
        <w:trPr>
          <w:trHeight w:val="23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6" w:lineRule="exact"/>
              <w:ind w:left="134" w:right="0"/>
              <w:jc w:val="left"/>
              <w:rPr>
                <w:rFonts w:ascii="宋体" w:hAnsi="宋体" w:cs="宋体" w:eastAsia="宋体" w:hint="default"/>
                <w:sz w:val="18"/>
                <w:szCs w:val="18"/>
              </w:rPr>
            </w:pPr>
            <w:r>
              <w:rPr>
                <w:rFonts w:ascii="宋体" w:hAnsi="宋体" w:cs="宋体" w:eastAsia="宋体" w:hint="default"/>
                <w:sz w:val="18"/>
                <w:szCs w:val="18"/>
              </w:rPr>
              <w:t>大厂电器广场项目</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1"/>
              <w:jc w:val="right"/>
              <w:rPr>
                <w:rFonts w:ascii="Arial" w:hAnsi="Arial" w:cs="Arial" w:eastAsia="Arial" w:hint="default"/>
                <w:sz w:val="18"/>
                <w:szCs w:val="18"/>
              </w:rPr>
            </w:pPr>
            <w:r>
              <w:rPr>
                <w:rFonts w:ascii="Arial"/>
                <w:w w:val="99"/>
                <w:sz w:val="18"/>
              </w:rPr>
              <w:t>-</w:t>
            </w:r>
            <w:r>
              <w:rPr>
                <w:rFonts w:ascii="Arial"/>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3"/>
              <w:jc w:val="right"/>
              <w:rPr>
                <w:rFonts w:ascii="Arial" w:hAnsi="Arial" w:cs="Arial" w:eastAsia="Arial" w:hint="default"/>
                <w:sz w:val="18"/>
                <w:szCs w:val="18"/>
              </w:rPr>
            </w:pPr>
            <w:r>
              <w:rPr>
                <w:rFonts w:ascii="Arial"/>
                <w:spacing w:val="-1"/>
                <w:sz w:val="18"/>
              </w:rPr>
              <w:t>15,441</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18"/>
                <w:szCs w:val="18"/>
              </w:rPr>
            </w:pPr>
            <w:r>
              <w:rPr>
                <w:rFonts w:ascii="Arial"/>
                <w:spacing w:val="-1"/>
                <w:sz w:val="18"/>
              </w:rPr>
              <w:t>15,441</w:t>
            </w:r>
          </w:p>
        </w:tc>
      </w:tr>
      <w:tr>
        <w:trPr>
          <w:trHeight w:val="254"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195" w:lineRule="exact"/>
              <w:ind w:left="13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114" w:type="dxa"/>
            <w:tcBorders>
              <w:top w:val="nil" w:sz="6" w:space="0" w:color="auto"/>
              <w:left w:val="nil" w:sz="6" w:space="0" w:color="auto"/>
              <w:bottom w:val="nil" w:sz="6" w:space="0" w:color="auto"/>
              <w:right w:val="nil" w:sz="6" w:space="0" w:color="auto"/>
            </w:tcBorders>
          </w:tcPr>
          <w:p>
            <w:pPr>
              <w:pStyle w:val="TableParagraph"/>
              <w:tabs>
                <w:tab w:pos="377" w:val="left" w:leader="none"/>
                <w:tab w:pos="1114" w:val="left" w:leader="none"/>
              </w:tabs>
              <w:spacing w:line="240" w:lineRule="auto" w:before="15"/>
              <w:ind w:left="-20"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100,053</w:t>
              <w:tab/>
            </w:r>
            <w:r>
              <w:rPr>
                <w:rFonts w:ascii="Arial"/>
                <w:spacing w:val="-1"/>
                <w:sz w:val="18"/>
              </w:rPr>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tabs>
                <w:tab w:pos="746" w:val="left" w:leader="none"/>
                <w:tab w:pos="1175" w:val="left" w:leader="none"/>
                <w:tab w:pos="1577" w:val="left" w:leader="none"/>
              </w:tabs>
              <w:spacing w:line="240" w:lineRule="auto" w:before="15"/>
              <w:ind w:left="23" w:right="-18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14"/>
                <w:sz w:val="18"/>
                <w:u w:val="single" w:color="000000"/>
              </w:rPr>
              <w:t> </w:t>
            </w:r>
            <w:r>
              <w:rPr>
                <w:rFonts w:ascii="Arial"/>
                <w:spacing w:val="-14"/>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100,053</w:t>
              <w:tab/>
            </w:r>
            <w:r>
              <w:rPr>
                <w:rFonts w:ascii="Arial"/>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tabs>
                <w:tab w:pos="631" w:val="left" w:leader="none"/>
                <w:tab w:pos="1132"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6"/>
                <w:sz w:val="18"/>
                <w:u w:val="single" w:color="000000"/>
              </w:rPr>
              <w:t>2,111</w:t>
              <w:tab/>
            </w:r>
            <w:r>
              <w:rPr>
                <w:rFonts w:ascii="Arial"/>
                <w:spacing w:val="-6"/>
                <w:sz w:val="18"/>
              </w:rPr>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nil" w:sz="6" w:space="0" w:color="auto"/>
              <w:right w:val="nil" w:sz="6" w:space="0" w:color="auto"/>
            </w:tcBorders>
          </w:tcPr>
          <w:p>
            <w:pPr>
              <w:pStyle w:val="TableParagraph"/>
              <w:tabs>
                <w:tab w:pos="751" w:val="left" w:leader="none"/>
                <w:tab w:pos="895"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575" w:val="left" w:leader="none"/>
                <w:tab w:pos="1087"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6"/>
                <w:sz w:val="18"/>
                <w:u w:val="single" w:color="000000"/>
              </w:rPr>
              <w:t>2,111</w:t>
              <w:tab/>
            </w:r>
            <w:r>
              <w:rPr>
                <w:rFonts w:ascii="Arial"/>
                <w:spacing w:val="-6"/>
                <w:sz w:val="18"/>
              </w:rPr>
            </w:r>
          </w:p>
        </w:tc>
      </w:tr>
      <w:tr>
        <w:trPr>
          <w:trHeight w:val="237" w:hRule="exact"/>
        </w:trPr>
        <w:tc>
          <w:tcPr>
            <w:tcW w:w="779"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28" w:right="0"/>
              <w:jc w:val="left"/>
              <w:rPr>
                <w:rFonts w:ascii="Arial" w:hAnsi="Arial" w:cs="Arial" w:eastAsia="Arial" w:hint="default"/>
                <w:sz w:val="18"/>
                <w:szCs w:val="18"/>
              </w:rPr>
            </w:pPr>
            <w:r>
              <w:rPr>
                <w:rFonts w:ascii="Arial"/>
                <w:sz w:val="18"/>
              </w:rPr>
              <w:t>1,251,501</w:t>
            </w:r>
          </w:p>
        </w:tc>
        <w:tc>
          <w:tcPr>
            <w:tcW w:w="243"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161" w:right="0"/>
              <w:jc w:val="center"/>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37" w:right="0"/>
              <w:jc w:val="left"/>
              <w:rPr>
                <w:rFonts w:ascii="Arial" w:hAnsi="Arial" w:cs="Arial" w:eastAsia="Arial" w:hint="default"/>
                <w:sz w:val="18"/>
                <w:szCs w:val="18"/>
              </w:rPr>
            </w:pPr>
            <w:r>
              <w:rPr>
                <w:rFonts w:ascii="Arial"/>
                <w:sz w:val="18"/>
              </w:rPr>
              <w:t>1,251,501</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54" w:right="0"/>
              <w:jc w:val="left"/>
              <w:rPr>
                <w:rFonts w:ascii="Arial" w:hAnsi="Arial" w:cs="Arial" w:eastAsia="Arial" w:hint="default"/>
                <w:sz w:val="18"/>
                <w:szCs w:val="18"/>
              </w:rPr>
            </w:pPr>
            <w:r>
              <w:rPr>
                <w:rFonts w:ascii="Arial"/>
                <w:sz w:val="18"/>
              </w:rPr>
              <w:t>2,061,752</w:t>
            </w:r>
          </w:p>
        </w:tc>
        <w:tc>
          <w:tcPr>
            <w:tcW w:w="286" w:type="dxa"/>
            <w:tcBorders>
              <w:top w:val="nil" w:sz="6" w:space="0" w:color="auto"/>
              <w:left w:val="nil" w:sz="6" w:space="0" w:color="auto"/>
              <w:bottom w:val="nil" w:sz="6" w:space="0" w:color="auto"/>
              <w:right w:val="nil" w:sz="6" w:space="0" w:color="auto"/>
            </w:tcBorders>
          </w:tcPr>
          <w:p>
            <w:pPr/>
          </w:p>
        </w:tc>
        <w:tc>
          <w:tcPr>
            <w:tcW w:w="895"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8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199" w:right="0"/>
              <w:jc w:val="left"/>
              <w:rPr>
                <w:rFonts w:ascii="Arial" w:hAnsi="Arial" w:cs="Arial" w:eastAsia="Arial" w:hint="default"/>
                <w:sz w:val="18"/>
                <w:szCs w:val="18"/>
              </w:rPr>
            </w:pPr>
            <w:r>
              <w:rPr>
                <w:rFonts w:ascii="Arial"/>
                <w:sz w:val="18"/>
              </w:rPr>
              <w:t>2,061,752</w:t>
            </w:r>
          </w:p>
        </w:tc>
      </w:tr>
    </w:tbl>
    <w:p>
      <w:pPr>
        <w:spacing w:after="0" w:line="240" w:lineRule="auto"/>
        <w:jc w:val="left"/>
        <w:rPr>
          <w:rFonts w:ascii="Arial" w:hAnsi="Arial" w:cs="Arial" w:eastAsia="Arial" w:hint="default"/>
          <w:sz w:val="18"/>
          <w:szCs w:val="18"/>
        </w:rPr>
        <w:sectPr>
          <w:pgSz w:w="11910" w:h="16850"/>
          <w:pgMar w:header="0" w:footer="956" w:top="2960" w:bottom="1140" w:left="820" w:right="0"/>
        </w:sectPr>
      </w:pPr>
    </w:p>
    <w:p>
      <w:pPr>
        <w:spacing w:line="240" w:lineRule="auto" w:before="11"/>
        <w:rPr>
          <w:rFonts w:ascii="Times New Roman" w:hAnsi="Times New Roman" w:cs="Times New Roman" w:eastAsia="Times New Roman" w:hint="default"/>
          <w:sz w:val="3"/>
          <w:szCs w:val="3"/>
        </w:rPr>
      </w:pPr>
    </w:p>
    <w:p>
      <w:pPr>
        <w:spacing w:line="20" w:lineRule="exact"/>
        <w:ind w:left="7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7.25pt;height:.75pt;mso-position-horizontal-relative:char;mso-position-vertical-relative:line" coordorigin="0,0" coordsize="13745,15">
            <v:group style="position:absolute;left:7;top:7;width:13730;height:2" coordorigin="7,7" coordsize="13730,2">
              <v:shape style="position:absolute;left:7;top:7;width:13730;height:2" coordorigin="7,7" coordsize="13730,0" path="m7,7l137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p>
      <w:pPr>
        <w:pStyle w:val="Heading2"/>
        <w:tabs>
          <w:tab w:pos="803" w:val="left" w:leader="none"/>
        </w:tabs>
        <w:spacing w:line="240" w:lineRule="auto"/>
        <w:ind w:left="102" w:right="0"/>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841" w:val="left" w:leader="none"/>
        </w:tabs>
        <w:spacing w:before="0"/>
        <w:ind w:left="102" w:right="0" w:firstLine="0"/>
        <w:jc w:val="left"/>
        <w:rPr>
          <w:rFonts w:ascii="Arial" w:hAnsi="Arial" w:cs="Arial" w:eastAsia="Arial" w:hint="default"/>
          <w:sz w:val="24"/>
          <w:szCs w:val="24"/>
        </w:rPr>
      </w:pPr>
      <w:r>
        <w:rPr>
          <w:rFonts w:ascii="Arial" w:hAnsi="Arial" w:cs="Arial" w:eastAsia="Arial" w:hint="default"/>
          <w:w w:val="95"/>
          <w:position w:val="2"/>
          <w:sz w:val="24"/>
          <w:szCs w:val="24"/>
        </w:rPr>
        <w:t>(12)</w:t>
        <w:tab/>
      </w:r>
      <w:r>
        <w:rPr>
          <w:rFonts w:ascii="宋体" w:hAnsi="宋体" w:cs="宋体" w:eastAsia="宋体" w:hint="default"/>
          <w:b/>
          <w:bCs/>
          <w:sz w:val="24"/>
          <w:szCs w:val="24"/>
        </w:rPr>
        <w:t>在建工程</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p>
      <w:pPr>
        <w:spacing w:line="240" w:lineRule="auto" w:before="4"/>
        <w:rPr>
          <w:rFonts w:ascii="Arial" w:hAnsi="Arial" w:cs="Arial" w:eastAsia="Arial" w:hint="default"/>
          <w:b/>
          <w:bCs/>
          <w:sz w:val="22"/>
          <w:szCs w:val="22"/>
        </w:rPr>
      </w:pPr>
    </w:p>
    <w:p>
      <w:pPr>
        <w:tabs>
          <w:tab w:pos="841" w:val="left" w:leader="none"/>
        </w:tabs>
        <w:spacing w:before="0"/>
        <w:ind w:left="102"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(a)</w:t>
        <w:tab/>
      </w:r>
      <w:r>
        <w:rPr>
          <w:rFonts w:ascii="宋体" w:hAnsi="宋体" w:cs="宋体" w:eastAsia="宋体" w:hint="default"/>
          <w:b/>
          <w:bCs/>
          <w:sz w:val="24"/>
          <w:szCs w:val="24"/>
        </w:rPr>
        <w:t>重大在建工程项目变动</w:t>
      </w:r>
      <w:r>
        <w:rPr>
          <w:rFonts w:ascii="宋体" w:hAnsi="宋体" w:cs="宋体" w:eastAsia="宋体" w:hint="default"/>
          <w:sz w:val="24"/>
          <w:szCs w:val="24"/>
        </w:rPr>
      </w:r>
    </w:p>
    <w:p>
      <w:pPr>
        <w:spacing w:line="240" w:lineRule="auto" w:before="8"/>
        <w:rPr>
          <w:rFonts w:ascii="宋体" w:hAnsi="宋体" w:cs="宋体" w:eastAsia="宋体" w:hint="default"/>
          <w:b/>
          <w:bCs/>
          <w:sz w:val="18"/>
          <w:szCs w:val="18"/>
        </w:rPr>
      </w:pPr>
    </w:p>
    <w:tbl>
      <w:tblPr>
        <w:tblW w:w="0" w:type="auto"/>
        <w:jc w:val="left"/>
        <w:tblInd w:w="689" w:type="dxa"/>
        <w:tblLayout w:type="fixed"/>
        <w:tblCellMar>
          <w:top w:w="0" w:type="dxa"/>
          <w:left w:w="0" w:type="dxa"/>
          <w:bottom w:w="0" w:type="dxa"/>
          <w:right w:w="0" w:type="dxa"/>
        </w:tblCellMar>
        <w:tblLook w:val="01E0"/>
      </w:tblPr>
      <w:tblGrid>
        <w:gridCol w:w="1297"/>
        <w:gridCol w:w="1054"/>
        <w:gridCol w:w="1150"/>
        <w:gridCol w:w="954"/>
        <w:gridCol w:w="1134"/>
        <w:gridCol w:w="1067"/>
        <w:gridCol w:w="1034"/>
        <w:gridCol w:w="2378"/>
        <w:gridCol w:w="4241"/>
      </w:tblGrid>
      <w:tr>
        <w:trPr>
          <w:trHeight w:val="112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宋体" w:hAnsi="宋体" w:cs="宋体" w:eastAsia="宋体" w:hint="default"/>
                <w:sz w:val="21"/>
                <w:szCs w:val="21"/>
              </w:rPr>
            </w:pPr>
            <w:r>
              <w:rPr>
                <w:rFonts w:ascii="宋体" w:hAnsi="宋体" w:cs="宋体" w:eastAsia="宋体" w:hint="default"/>
                <w:sz w:val="21"/>
                <w:szCs w:val="21"/>
              </w:rPr>
              <w:t>预算数</w:t>
            </w:r>
          </w:p>
        </w:tc>
        <w:tc>
          <w:tcPr>
            <w:tcW w:w="1150" w:type="dxa"/>
            <w:tcBorders>
              <w:top w:val="nil" w:sz="6" w:space="0" w:color="auto"/>
              <w:left w:val="nil" w:sz="6" w:space="0" w:color="auto"/>
              <w:bottom w:val="nil" w:sz="6" w:space="0" w:color="auto"/>
              <w:right w:val="nil" w:sz="6" w:space="0" w:color="auto"/>
            </w:tcBorders>
          </w:tcPr>
          <w:p>
            <w:pPr>
              <w:pStyle w:val="TableParagraph"/>
              <w:spacing w:line="282" w:lineRule="exact" w:before="36"/>
              <w:ind w:left="77"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right="95"/>
              <w:jc w:val="center"/>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Arial" w:hAnsi="Arial" w:cs="Arial" w:eastAsia="Arial" w:hint="default"/>
                <w:sz w:val="21"/>
                <w:szCs w:val="21"/>
              </w:rPr>
              <w:t>31</w:t>
            </w:r>
            <w:r>
              <w:rPr>
                <w:rFonts w:ascii="Arial" w:hAnsi="Arial" w:cs="Arial" w:eastAsia="Arial" w:hint="default"/>
                <w:spacing w:val="-13"/>
                <w:sz w:val="21"/>
                <w:szCs w:val="21"/>
              </w:rPr>
              <w:t> </w:t>
            </w:r>
            <w:r>
              <w:rPr>
                <w:rFonts w:ascii="宋体" w:hAnsi="宋体" w:cs="宋体" w:eastAsia="宋体" w:hint="default"/>
                <w:sz w:val="21"/>
                <w:szCs w:val="21"/>
              </w:rPr>
              <w:t>日</w:t>
            </w:r>
          </w:p>
        </w:tc>
        <w:tc>
          <w:tcPr>
            <w:tcW w:w="954" w:type="dxa"/>
            <w:tcBorders>
              <w:top w:val="nil" w:sz="6" w:space="0" w:color="auto"/>
              <w:left w:val="nil" w:sz="6" w:space="0" w:color="auto"/>
              <w:bottom w:val="nil" w:sz="6" w:space="0" w:color="auto"/>
              <w:right w:val="nil" w:sz="6" w:space="0" w:color="auto"/>
            </w:tcBorders>
          </w:tcPr>
          <w:p>
            <w:pPr>
              <w:pStyle w:val="TableParagraph"/>
              <w:spacing w:line="274" w:lineRule="exact" w:before="36"/>
              <w:ind w:left="166" w:right="0"/>
              <w:jc w:val="left"/>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4" w:lineRule="exact"/>
              <w:ind w:left="586"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9" w:right="110"/>
              <w:jc w:val="left"/>
              <w:rPr>
                <w:rFonts w:ascii="宋体" w:hAnsi="宋体" w:cs="宋体" w:eastAsia="宋体" w:hint="default"/>
                <w:sz w:val="21"/>
                <w:szCs w:val="21"/>
              </w:rPr>
            </w:pPr>
            <w:r>
              <w:rPr>
                <w:rFonts w:ascii="宋体" w:hAnsi="宋体" w:cs="宋体" w:eastAsia="宋体" w:hint="default"/>
                <w:spacing w:val="-1"/>
                <w:sz w:val="21"/>
                <w:szCs w:val="21"/>
              </w:rPr>
              <w:t>本年转入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固定资产</w:t>
            </w:r>
            <w:r>
              <w:rPr>
                <w:rFonts w:ascii="宋体" w:hAnsi="宋体" w:cs="宋体" w:eastAsia="宋体" w:hint="default"/>
                <w:sz w:val="21"/>
                <w:szCs w:val="21"/>
              </w:rPr>
            </w:r>
          </w:p>
        </w:tc>
        <w:tc>
          <w:tcPr>
            <w:tcW w:w="1067" w:type="dxa"/>
            <w:tcBorders>
              <w:top w:val="nil" w:sz="6" w:space="0" w:color="auto"/>
              <w:left w:val="nil" w:sz="6" w:space="0" w:color="auto"/>
              <w:bottom w:val="nil" w:sz="6" w:space="0" w:color="auto"/>
              <w:right w:val="nil" w:sz="6" w:space="0" w:color="auto"/>
            </w:tcBorders>
          </w:tcPr>
          <w:p>
            <w:pPr>
              <w:pStyle w:val="TableParagraph"/>
              <w:spacing w:line="282" w:lineRule="exact" w:before="36"/>
              <w:ind w:left="278"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p>
          <w:p>
            <w:pPr>
              <w:pStyle w:val="TableParagraph"/>
              <w:spacing w:line="282" w:lineRule="exact"/>
              <w:ind w:left="89"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Arial" w:hAnsi="Arial" w:cs="Arial" w:eastAsia="Arial" w:hint="default"/>
                <w:sz w:val="21"/>
                <w:szCs w:val="21"/>
              </w:rPr>
              <w:t>31</w:t>
            </w:r>
            <w:r>
              <w:rPr>
                <w:rFonts w:ascii="Arial" w:hAnsi="Arial" w:cs="Arial" w:eastAsia="Arial" w:hint="default"/>
                <w:spacing w:val="-24"/>
                <w:sz w:val="21"/>
                <w:szCs w:val="21"/>
              </w:rPr>
              <w:t> </w:t>
            </w:r>
            <w:r>
              <w:rPr>
                <w:rFonts w:ascii="宋体" w:hAnsi="宋体" w:cs="宋体" w:eastAsia="宋体" w:hint="default"/>
                <w:sz w:val="21"/>
                <w:szCs w:val="21"/>
              </w:rPr>
              <w:t>日</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 w:right="118"/>
              <w:jc w:val="left"/>
              <w:rPr>
                <w:rFonts w:ascii="宋体" w:hAnsi="宋体" w:cs="宋体" w:eastAsia="宋体" w:hint="default"/>
                <w:sz w:val="21"/>
                <w:szCs w:val="21"/>
              </w:rPr>
            </w:pPr>
            <w:r>
              <w:rPr>
                <w:rFonts w:ascii="宋体" w:hAnsi="宋体" w:cs="宋体" w:eastAsia="宋体" w:hint="default"/>
                <w:spacing w:val="-1"/>
                <w:sz w:val="21"/>
                <w:szCs w:val="21"/>
              </w:rPr>
              <w:t>工程投入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占预算的</w:t>
            </w:r>
          </w:p>
          <w:p>
            <w:pPr>
              <w:pStyle w:val="TableParagraph"/>
              <w:spacing w:line="274" w:lineRule="exact"/>
              <w:ind w:left="49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宋体" w:hAnsi="宋体" w:cs="宋体" w:eastAsia="宋体" w:hint="default"/>
                <w:sz w:val="21"/>
                <w:szCs w:val="21"/>
              </w:rPr>
            </w:pPr>
            <w:r>
              <w:rPr>
                <w:rFonts w:ascii="宋体" w:hAnsi="宋体" w:cs="宋体" w:eastAsia="宋体" w:hint="default"/>
                <w:sz w:val="21"/>
                <w:szCs w:val="21"/>
              </w:rPr>
              <w:t>工程进度</w:t>
            </w:r>
          </w:p>
        </w:tc>
        <w:tc>
          <w:tcPr>
            <w:tcW w:w="4241" w:type="dxa"/>
            <w:tcBorders>
              <w:top w:val="nil" w:sz="6" w:space="0" w:color="auto"/>
              <w:left w:val="nil" w:sz="6" w:space="0" w:color="auto"/>
              <w:bottom w:val="nil" w:sz="6" w:space="0" w:color="auto"/>
              <w:right w:val="nil" w:sz="6" w:space="0" w:color="auto"/>
            </w:tcBorders>
          </w:tcPr>
          <w:p>
            <w:pPr>
              <w:pStyle w:val="TableParagraph"/>
              <w:tabs>
                <w:tab w:pos="1169" w:val="left" w:leader="none"/>
                <w:tab w:pos="2484" w:val="left" w:leader="none"/>
                <w:tab w:pos="3346" w:val="left" w:leader="none"/>
              </w:tabs>
              <w:spacing w:line="240" w:lineRule="auto" w:before="36"/>
              <w:ind w:left="302" w:right="50" w:hanging="210"/>
              <w:jc w:val="left"/>
              <w:rPr>
                <w:rFonts w:ascii="宋体" w:hAnsi="宋体" w:cs="宋体" w:eastAsia="宋体" w:hint="default"/>
                <w:sz w:val="21"/>
                <w:szCs w:val="21"/>
              </w:rPr>
            </w:pPr>
            <w:r>
              <w:rPr>
                <w:rFonts w:ascii="宋体" w:hAnsi="宋体" w:cs="宋体" w:eastAsia="宋体" w:hint="default"/>
                <w:spacing w:val="-1"/>
                <w:w w:val="100"/>
                <w:sz w:val="21"/>
                <w:szCs w:val="21"/>
              </w:rPr>
              <w:t>借款费用</w:t>
            </w:r>
            <w:r>
              <w:rPr>
                <w:rFonts w:ascii="宋体" w:hAnsi="宋体" w:cs="宋体" w:eastAsia="宋体" w:hint="default"/>
                <w:spacing w:val="23"/>
                <w:w w:val="100"/>
                <w:sz w:val="21"/>
                <w:szCs w:val="21"/>
              </w:rPr>
              <w:t> </w:t>
            </w:r>
            <w:r>
              <w:rPr>
                <w:rFonts w:ascii="宋体" w:hAnsi="宋体" w:cs="宋体" w:eastAsia="宋体" w:hint="default"/>
                <w:spacing w:val="-18"/>
                <w:w w:val="100"/>
                <w:sz w:val="21"/>
                <w:szCs w:val="21"/>
              </w:rPr>
              <w:t>其中：本年借</w:t>
              <w:tab/>
            </w:r>
            <w:r>
              <w:rPr>
                <w:rFonts w:ascii="宋体" w:hAnsi="宋体" w:cs="宋体" w:eastAsia="宋体" w:hint="default"/>
                <w:w w:val="100"/>
                <w:sz w:val="21"/>
                <w:szCs w:val="21"/>
              </w:rPr>
              <w:t>本年借</w:t>
              <w:tab/>
            </w:r>
            <w:r>
              <w:rPr>
                <w:rFonts w:ascii="宋体" w:hAnsi="宋体" w:cs="宋体" w:eastAsia="宋体" w:hint="default"/>
                <w:spacing w:val="-1"/>
                <w:w w:val="100"/>
                <w:sz w:val="21"/>
                <w:szCs w:val="21"/>
              </w:rPr>
              <w:t>资金来源</w:t>
            </w:r>
            <w:r>
              <w:rPr>
                <w:rFonts w:ascii="宋体" w:hAnsi="宋体" w:cs="宋体" w:eastAsia="宋体" w:hint="default"/>
                <w:w w:val="100"/>
                <w:sz w:val="21"/>
                <w:szCs w:val="21"/>
              </w:rPr>
              <w:t> </w:t>
            </w:r>
            <w:r>
              <w:rPr>
                <w:rFonts w:ascii="宋体" w:hAnsi="宋体" w:cs="宋体" w:eastAsia="宋体" w:hint="default"/>
                <w:sz w:val="21"/>
                <w:szCs w:val="21"/>
              </w:rPr>
              <w:t>资本化</w:t>
              <w:tab/>
            </w:r>
            <w:r>
              <w:rPr>
                <w:rFonts w:ascii="宋体" w:hAnsi="宋体" w:cs="宋体" w:eastAsia="宋体" w:hint="default"/>
                <w:spacing w:val="-1"/>
                <w:sz w:val="21"/>
                <w:szCs w:val="21"/>
              </w:rPr>
              <w:t>款费用资本</w:t>
              <w:tab/>
            </w:r>
            <w:r>
              <w:rPr>
                <w:rFonts w:ascii="宋体" w:hAnsi="宋体" w:cs="宋体" w:eastAsia="宋体" w:hint="default"/>
                <w:sz w:val="21"/>
                <w:szCs w:val="21"/>
              </w:rPr>
              <w:t>款费用</w:t>
            </w:r>
          </w:p>
          <w:p>
            <w:pPr>
              <w:pStyle w:val="TableParagraph"/>
              <w:tabs>
                <w:tab w:pos="1589" w:val="left" w:leader="none"/>
                <w:tab w:pos="2484" w:val="left" w:leader="none"/>
              </w:tabs>
              <w:spacing w:line="272" w:lineRule="exact" w:before="26"/>
              <w:ind w:left="2904" w:right="1120" w:hanging="2811"/>
              <w:jc w:val="right"/>
              <w:rPr>
                <w:rFonts w:ascii="宋体" w:hAnsi="宋体" w:cs="宋体" w:eastAsia="宋体" w:hint="default"/>
                <w:sz w:val="21"/>
                <w:szCs w:val="21"/>
              </w:rPr>
            </w:pPr>
            <w:r>
              <w:rPr>
                <w:rFonts w:ascii="宋体" w:hAnsi="宋体" w:cs="宋体" w:eastAsia="宋体" w:hint="default"/>
                <w:spacing w:val="-1"/>
                <w:sz w:val="21"/>
                <w:szCs w:val="21"/>
              </w:rPr>
              <w:t>累计金额</w:t>
              <w:tab/>
            </w:r>
            <w:r>
              <w:rPr>
                <w:rFonts w:ascii="宋体" w:hAnsi="宋体" w:cs="宋体" w:eastAsia="宋体" w:hint="default"/>
                <w:sz w:val="21"/>
                <w:szCs w:val="21"/>
              </w:rPr>
              <w:t>化金额</w:t>
              <w:tab/>
              <w:t>资本化</w:t>
            </w:r>
            <w:r>
              <w:rPr>
                <w:rFonts w:ascii="宋体" w:hAnsi="宋体" w:cs="宋体" w:eastAsia="宋体" w:hint="default"/>
                <w:w w:val="100"/>
                <w:sz w:val="21"/>
                <w:szCs w:val="21"/>
              </w:rPr>
              <w:t> </w:t>
            </w:r>
            <w:r>
              <w:rPr>
                <w:rFonts w:ascii="宋体" w:hAnsi="宋体" w:cs="宋体" w:eastAsia="宋体" w:hint="default"/>
                <w:sz w:val="21"/>
                <w:szCs w:val="21"/>
              </w:rPr>
              <w:t>率</w:t>
            </w:r>
          </w:p>
        </w:tc>
      </w:tr>
      <w:tr>
        <w:trPr>
          <w:trHeight w:val="597"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重庆雨田大厦</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200,000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67"/>
              <w:jc w:val="right"/>
              <w:rPr>
                <w:rFonts w:ascii="Arial" w:hAnsi="Arial" w:cs="Arial" w:eastAsia="Arial" w:hint="default"/>
                <w:sz w:val="21"/>
                <w:szCs w:val="21"/>
              </w:rPr>
            </w:pPr>
            <w:r>
              <w:rPr>
                <w:rFonts w:ascii="Arial"/>
                <w:w w:val="100"/>
                <w:sz w:val="21"/>
              </w:rPr>
              <w:t>-</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54" w:right="0"/>
              <w:jc w:val="center"/>
              <w:rPr>
                <w:rFonts w:ascii="Arial" w:hAnsi="Arial" w:cs="Arial" w:eastAsia="Arial" w:hint="default"/>
                <w:sz w:val="18"/>
                <w:szCs w:val="18"/>
              </w:rPr>
            </w:pPr>
            <w:r>
              <w:rPr>
                <w:rFonts w:ascii="Arial"/>
                <w:sz w:val="18"/>
              </w:rPr>
              <w:t>196,324</w:t>
            </w:r>
          </w:p>
        </w:tc>
        <w:tc>
          <w:tcPr>
            <w:tcW w:w="113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96"/>
              <w:jc w:val="right"/>
              <w:rPr>
                <w:rFonts w:ascii="Arial" w:hAnsi="Arial" w:cs="Arial" w:eastAsia="Arial" w:hint="default"/>
                <w:sz w:val="18"/>
                <w:szCs w:val="18"/>
              </w:rPr>
            </w:pPr>
            <w:r>
              <w:rPr>
                <w:rFonts w:ascii="Arial"/>
                <w:spacing w:val="-1"/>
                <w:sz w:val="18"/>
              </w:rPr>
              <w:t>196,324</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13"/>
              <w:jc w:val="right"/>
              <w:rPr>
                <w:rFonts w:ascii="Arial" w:hAnsi="Arial" w:cs="Arial" w:eastAsia="Arial" w:hint="default"/>
                <w:sz w:val="18"/>
                <w:szCs w:val="18"/>
              </w:rPr>
            </w:pPr>
            <w:r>
              <w:rPr>
                <w:rFonts w:ascii="Arial"/>
                <w:w w:val="95"/>
                <w:sz w:val="18"/>
              </w:rPr>
              <w:t>98%</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装修工程进行中</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7"/>
                <w:szCs w:val="17"/>
              </w:rPr>
            </w:pPr>
          </w:p>
          <w:p>
            <w:pPr>
              <w:pStyle w:val="TableParagraph"/>
              <w:tabs>
                <w:tab w:pos="1175" w:val="left" w:leader="none"/>
                <w:tab w:pos="2212" w:val="left" w:leader="none"/>
                <w:tab w:pos="2654" w:val="left" w:leader="none"/>
              </w:tabs>
              <w:spacing w:line="240" w:lineRule="auto"/>
              <w:ind w:right="33"/>
              <w:jc w:val="right"/>
              <w:rPr>
                <w:rFonts w:ascii="宋体" w:hAnsi="宋体" w:cs="宋体" w:eastAsia="宋体" w:hint="default"/>
                <w:sz w:val="18"/>
                <w:szCs w:val="18"/>
              </w:rPr>
            </w:pPr>
            <w:r>
              <w:rPr>
                <w:rFonts w:ascii="Arial" w:hAnsi="Arial" w:cs="Arial" w:eastAsia="Arial" w:hint="default"/>
                <w:sz w:val="21"/>
                <w:szCs w:val="21"/>
              </w:rPr>
              <w:t>-</w:t>
              <w:tab/>
              <w:t>-</w:t>
              <w:tab/>
              <w:t>-</w:t>
              <w:tab/>
            </w:r>
            <w:r>
              <w:rPr>
                <w:rFonts w:ascii="宋体" w:hAnsi="宋体" w:cs="宋体" w:eastAsia="宋体" w:hint="default"/>
                <w:sz w:val="18"/>
                <w:szCs w:val="18"/>
              </w:rPr>
              <w:t>自有资金</w:t>
            </w:r>
          </w:p>
        </w:tc>
      </w:tr>
      <w:tr>
        <w:trPr>
          <w:trHeight w:val="560"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539"/>
              <w:jc w:val="left"/>
              <w:rPr>
                <w:rFonts w:ascii="宋体" w:hAnsi="宋体" w:cs="宋体" w:eastAsia="宋体" w:hint="default"/>
                <w:sz w:val="18"/>
                <w:szCs w:val="18"/>
              </w:rPr>
            </w:pPr>
            <w:r>
              <w:rPr>
                <w:rFonts w:ascii="宋体" w:hAnsi="宋体" w:cs="宋体" w:eastAsia="宋体" w:hint="default"/>
                <w:sz w:val="18"/>
                <w:szCs w:val="18"/>
              </w:rPr>
              <w:t>徐庄总部 重庆物流</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1"/>
              <w:jc w:val="right"/>
              <w:rPr>
                <w:rFonts w:ascii="Arial" w:hAnsi="Arial" w:cs="Arial" w:eastAsia="Arial" w:hint="default"/>
                <w:sz w:val="18"/>
                <w:szCs w:val="18"/>
              </w:rPr>
            </w:pPr>
            <w:r>
              <w:rPr>
                <w:rFonts w:ascii="Arial"/>
                <w:spacing w:val="-1"/>
                <w:sz w:val="18"/>
              </w:rPr>
              <w:t>1,572,310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4"/>
              <w:jc w:val="right"/>
              <w:rPr>
                <w:rFonts w:ascii="Arial" w:hAnsi="Arial" w:cs="Arial" w:eastAsia="Arial" w:hint="default"/>
                <w:sz w:val="18"/>
                <w:szCs w:val="18"/>
              </w:rPr>
            </w:pPr>
            <w:r>
              <w:rPr>
                <w:rFonts w:ascii="Arial"/>
                <w:spacing w:val="-1"/>
                <w:sz w:val="18"/>
              </w:rPr>
              <w:t>1,243,968</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9" w:right="0"/>
              <w:jc w:val="center"/>
              <w:rPr>
                <w:rFonts w:ascii="Arial" w:hAnsi="Arial" w:cs="Arial" w:eastAsia="Arial" w:hint="default"/>
                <w:sz w:val="18"/>
                <w:szCs w:val="18"/>
              </w:rPr>
            </w:pPr>
            <w:r>
              <w:rPr>
                <w:rFonts w:ascii="Arial"/>
                <w:sz w:val="18"/>
              </w:rPr>
              <w:t>260,757</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21" w:right="0"/>
              <w:jc w:val="left"/>
              <w:rPr>
                <w:rFonts w:ascii="Arial" w:hAnsi="Arial" w:cs="Arial" w:eastAsia="Arial" w:hint="default"/>
                <w:sz w:val="18"/>
                <w:szCs w:val="18"/>
              </w:rPr>
            </w:pPr>
            <w:r>
              <w:rPr>
                <w:rFonts w:ascii="Arial"/>
                <w:sz w:val="18"/>
              </w:rPr>
              <w:t>(1,327,961)</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6"/>
              <w:jc w:val="right"/>
              <w:rPr>
                <w:rFonts w:ascii="Arial" w:hAnsi="Arial" w:cs="Arial" w:eastAsia="Arial" w:hint="default"/>
                <w:sz w:val="18"/>
                <w:szCs w:val="18"/>
              </w:rPr>
            </w:pPr>
            <w:r>
              <w:rPr>
                <w:rFonts w:ascii="Arial"/>
                <w:spacing w:val="-1"/>
                <w:sz w:val="18"/>
              </w:rPr>
              <w:t>176,764</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5"/>
              <w:jc w:val="right"/>
              <w:rPr>
                <w:rFonts w:ascii="Arial" w:hAnsi="Arial" w:cs="Arial" w:eastAsia="Arial" w:hint="default"/>
                <w:sz w:val="18"/>
                <w:szCs w:val="18"/>
              </w:rPr>
            </w:pPr>
            <w:r>
              <w:rPr>
                <w:rFonts w:ascii="Arial"/>
                <w:w w:val="95"/>
                <w:sz w:val="18"/>
              </w:rPr>
              <w:t>96%</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5" w:right="101" w:firstLine="720"/>
              <w:jc w:val="left"/>
              <w:rPr>
                <w:rFonts w:ascii="宋体" w:hAnsi="宋体" w:cs="宋体" w:eastAsia="宋体" w:hint="default"/>
                <w:sz w:val="18"/>
                <w:szCs w:val="18"/>
              </w:rPr>
            </w:pPr>
            <w:r>
              <w:rPr>
                <w:rFonts w:ascii="宋体" w:hAnsi="宋体" w:cs="宋体" w:eastAsia="宋体" w:hint="default"/>
                <w:sz w:val="18"/>
                <w:szCs w:val="18"/>
              </w:rPr>
              <w:t>主体工程基本完工 钢结构吊装及封顶完成，土</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40" w:lineRule="auto" w:before="67"/>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自有资金</w:t>
            </w:r>
            <w:r>
              <w:rPr>
                <w:rFonts w:ascii="宋体" w:hAnsi="宋体" w:cs="宋体" w:eastAsia="宋体" w:hint="default"/>
                <w:sz w:val="18"/>
                <w:szCs w:val="18"/>
              </w:rPr>
            </w:r>
          </w:p>
        </w:tc>
      </w:tr>
      <w:tr>
        <w:trPr>
          <w:trHeight w:val="46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firstLine="362"/>
              <w:jc w:val="left"/>
              <w:rPr>
                <w:rFonts w:ascii="宋体" w:hAnsi="宋体" w:cs="宋体" w:eastAsia="宋体" w:hint="default"/>
                <w:sz w:val="18"/>
                <w:szCs w:val="18"/>
              </w:rPr>
            </w:pPr>
            <w:r>
              <w:rPr>
                <w:rFonts w:ascii="宋体" w:hAnsi="宋体" w:cs="宋体" w:eastAsia="宋体" w:hint="default"/>
                <w:sz w:val="18"/>
                <w:szCs w:val="18"/>
              </w:rPr>
              <w:t>基地工程</w:t>
            </w: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北京物流基地</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3"/>
              <w:jc w:val="right"/>
              <w:rPr>
                <w:rFonts w:ascii="Arial" w:hAnsi="Arial" w:cs="Arial" w:eastAsia="Arial" w:hint="default"/>
                <w:sz w:val="18"/>
                <w:szCs w:val="18"/>
              </w:rPr>
            </w:pPr>
            <w:r>
              <w:rPr>
                <w:rFonts w:ascii="Arial"/>
                <w:spacing w:val="-1"/>
                <w:sz w:val="18"/>
              </w:rPr>
              <w:t>166,300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8"/>
              <w:jc w:val="right"/>
              <w:rPr>
                <w:rFonts w:ascii="Arial" w:hAnsi="Arial" w:cs="Arial" w:eastAsia="Arial" w:hint="default"/>
                <w:sz w:val="18"/>
                <w:szCs w:val="18"/>
              </w:rPr>
            </w:pPr>
            <w:r>
              <w:rPr>
                <w:rFonts w:ascii="Arial"/>
                <w:w w:val="95"/>
                <w:sz w:val="18"/>
              </w:rPr>
              <w:t>222</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2" w:right="0"/>
              <w:jc w:val="center"/>
              <w:rPr>
                <w:rFonts w:ascii="Arial" w:hAnsi="Arial" w:cs="Arial" w:eastAsia="Arial" w:hint="default"/>
                <w:sz w:val="18"/>
                <w:szCs w:val="18"/>
              </w:rPr>
            </w:pPr>
            <w:r>
              <w:rPr>
                <w:rFonts w:ascii="Arial"/>
                <w:sz w:val="18"/>
              </w:rPr>
              <w:t>117,821</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1463" w:right="0"/>
              <w:jc w:val="left"/>
              <w:rPr>
                <w:rFonts w:ascii="Arial" w:hAnsi="Arial" w:cs="Arial" w:eastAsia="Arial" w:hint="default"/>
                <w:sz w:val="18"/>
                <w:szCs w:val="18"/>
              </w:rPr>
            </w:pPr>
            <w:r>
              <w:rPr>
                <w:rFonts w:ascii="Arial"/>
                <w:sz w:val="18"/>
              </w:rPr>
              <w:t>118,043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3"/>
              <w:jc w:val="right"/>
              <w:rPr>
                <w:rFonts w:ascii="Arial" w:hAnsi="Arial" w:cs="Arial" w:eastAsia="Arial" w:hint="default"/>
                <w:sz w:val="18"/>
                <w:szCs w:val="18"/>
              </w:rPr>
            </w:pPr>
            <w:r>
              <w:rPr>
                <w:rFonts w:ascii="Arial"/>
                <w:w w:val="95"/>
                <w:sz w:val="18"/>
              </w:rPr>
              <w:t>71%</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firstLine="360"/>
              <w:jc w:val="left"/>
              <w:rPr>
                <w:rFonts w:ascii="宋体" w:hAnsi="宋体" w:cs="宋体" w:eastAsia="宋体" w:hint="default"/>
                <w:sz w:val="18"/>
                <w:szCs w:val="18"/>
              </w:rPr>
            </w:pPr>
            <w:r>
              <w:rPr>
                <w:rFonts w:ascii="宋体" w:hAnsi="宋体" w:cs="宋体" w:eastAsia="宋体" w:hint="default"/>
                <w:sz w:val="18"/>
                <w:szCs w:val="18"/>
              </w:rPr>
              <w:t>建封顶，安装开始施工</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钢结构吊装及封顶完成，土</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4"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募集资金</w:t>
            </w:r>
            <w:r>
              <w:rPr>
                <w:rFonts w:ascii="宋体" w:hAnsi="宋体" w:cs="宋体" w:eastAsia="宋体" w:hint="default"/>
                <w:sz w:val="18"/>
                <w:szCs w:val="18"/>
              </w:rPr>
            </w:r>
          </w:p>
        </w:tc>
      </w:tr>
      <w:tr>
        <w:trPr>
          <w:trHeight w:val="46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firstLine="271"/>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二期</w:t>
            </w:r>
          </w:p>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杭州二期</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
              <w:jc w:val="right"/>
              <w:rPr>
                <w:rFonts w:ascii="Arial" w:hAnsi="Arial" w:cs="Arial" w:eastAsia="Arial" w:hint="default"/>
                <w:sz w:val="18"/>
                <w:szCs w:val="18"/>
              </w:rPr>
            </w:pPr>
            <w:r>
              <w:rPr>
                <w:rFonts w:ascii="Arial"/>
                <w:spacing w:val="-1"/>
                <w:sz w:val="18"/>
              </w:rPr>
              <w:t>170,930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9"/>
              <w:jc w:val="right"/>
              <w:rPr>
                <w:rFonts w:ascii="Arial" w:hAnsi="Arial" w:cs="Arial" w:eastAsia="Arial" w:hint="default"/>
                <w:sz w:val="18"/>
                <w:szCs w:val="18"/>
              </w:rPr>
            </w:pPr>
            <w:r>
              <w:rPr>
                <w:rFonts w:ascii="Arial"/>
                <w:spacing w:val="-1"/>
                <w:sz w:val="18"/>
              </w:rPr>
              <w:t>77,171</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 w:right="0"/>
              <w:jc w:val="center"/>
              <w:rPr>
                <w:rFonts w:ascii="Arial" w:hAnsi="Arial" w:cs="Arial" w:eastAsia="Arial" w:hint="default"/>
                <w:sz w:val="18"/>
                <w:szCs w:val="18"/>
              </w:rPr>
            </w:pPr>
            <w:r>
              <w:rPr>
                <w:rFonts w:ascii="Arial"/>
                <w:sz w:val="18"/>
              </w:rPr>
              <w:t>20,050</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Arial" w:hAnsi="Arial" w:cs="Arial" w:eastAsia="Arial" w:hint="default"/>
                <w:sz w:val="18"/>
                <w:szCs w:val="18"/>
              </w:rPr>
            </w:pPr>
            <w:r>
              <w:rPr>
                <w:rFonts w:ascii="Arial"/>
                <w:spacing w:val="-1"/>
                <w:sz w:val="18"/>
              </w:rPr>
              <w:t>97,221</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6"/>
              <w:jc w:val="right"/>
              <w:rPr>
                <w:rFonts w:ascii="Arial" w:hAnsi="Arial" w:cs="Arial" w:eastAsia="Arial" w:hint="default"/>
                <w:sz w:val="18"/>
                <w:szCs w:val="18"/>
              </w:rPr>
            </w:pPr>
            <w:r>
              <w:rPr>
                <w:rFonts w:ascii="Arial"/>
                <w:w w:val="95"/>
                <w:sz w:val="18"/>
              </w:rPr>
              <w:t>57%</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firstLine="360"/>
              <w:jc w:val="left"/>
              <w:rPr>
                <w:rFonts w:ascii="宋体" w:hAnsi="宋体" w:cs="宋体" w:eastAsia="宋体" w:hint="default"/>
                <w:sz w:val="18"/>
                <w:szCs w:val="18"/>
              </w:rPr>
            </w:pPr>
            <w:r>
              <w:rPr>
                <w:rFonts w:ascii="宋体" w:hAnsi="宋体" w:cs="宋体" w:eastAsia="宋体" w:hint="default"/>
                <w:sz w:val="18"/>
                <w:szCs w:val="18"/>
              </w:rPr>
              <w:t>建封顶，安装开始施工</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钢结构进场吊装中，土建即</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4"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募集资金</w:t>
            </w:r>
            <w:r>
              <w:rPr>
                <w:rFonts w:ascii="宋体" w:hAnsi="宋体" w:cs="宋体" w:eastAsia="宋体" w:hint="default"/>
                <w:sz w:val="18"/>
                <w:szCs w:val="18"/>
              </w:rPr>
            </w:r>
          </w:p>
        </w:tc>
      </w:tr>
      <w:tr>
        <w:trPr>
          <w:trHeight w:val="343"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06" w:lineRule="exact"/>
              <w:ind w:right="176"/>
              <w:jc w:val="right"/>
              <w:rPr>
                <w:rFonts w:ascii="宋体" w:hAnsi="宋体" w:cs="宋体" w:eastAsia="宋体" w:hint="default"/>
                <w:sz w:val="18"/>
                <w:szCs w:val="18"/>
              </w:rPr>
            </w:pPr>
            <w:r>
              <w:rPr>
                <w:rFonts w:ascii="宋体" w:hAnsi="宋体" w:cs="宋体" w:eastAsia="宋体" w:hint="default"/>
                <w:sz w:val="18"/>
                <w:szCs w:val="18"/>
              </w:rPr>
              <w:t>物流基地</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3"/>
              <w:jc w:val="right"/>
              <w:rPr>
                <w:rFonts w:ascii="Arial" w:hAnsi="Arial" w:cs="Arial" w:eastAsia="Arial" w:hint="default"/>
                <w:sz w:val="18"/>
                <w:szCs w:val="18"/>
              </w:rPr>
            </w:pPr>
            <w:r>
              <w:rPr>
                <w:rFonts w:ascii="Arial"/>
                <w:spacing w:val="-1"/>
                <w:sz w:val="18"/>
              </w:rPr>
              <w:t>161,560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8"/>
              <w:jc w:val="right"/>
              <w:rPr>
                <w:rFonts w:ascii="Arial" w:hAnsi="Arial" w:cs="Arial" w:eastAsia="Arial" w:hint="default"/>
                <w:sz w:val="18"/>
                <w:szCs w:val="18"/>
              </w:rPr>
            </w:pPr>
            <w:r>
              <w:rPr>
                <w:rFonts w:ascii="Arial"/>
                <w:w w:val="95"/>
                <w:sz w:val="18"/>
              </w:rPr>
              <w:t>26</w:t>
            </w:r>
            <w:r>
              <w:rPr>
                <w:rFonts w:ascii="Arial"/>
                <w:sz w:val="18"/>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31" w:right="0"/>
              <w:jc w:val="center"/>
              <w:rPr>
                <w:rFonts w:ascii="Arial" w:hAnsi="Arial" w:cs="Arial" w:eastAsia="Arial" w:hint="default"/>
                <w:sz w:val="18"/>
                <w:szCs w:val="18"/>
              </w:rPr>
            </w:pPr>
            <w:r>
              <w:rPr>
                <w:rFonts w:ascii="Arial"/>
                <w:sz w:val="18"/>
              </w:rPr>
              <w:t>73,877</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96"/>
              <w:jc w:val="right"/>
              <w:rPr>
                <w:rFonts w:ascii="Arial" w:hAnsi="Arial" w:cs="Arial" w:eastAsia="Arial" w:hint="default"/>
                <w:sz w:val="18"/>
                <w:szCs w:val="18"/>
              </w:rPr>
            </w:pPr>
            <w:r>
              <w:rPr>
                <w:rFonts w:ascii="Arial"/>
                <w:spacing w:val="-1"/>
                <w:sz w:val="18"/>
              </w:rPr>
              <w:t>73,903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3"/>
              <w:jc w:val="right"/>
              <w:rPr>
                <w:rFonts w:ascii="Arial" w:hAnsi="Arial" w:cs="Arial" w:eastAsia="Arial" w:hint="default"/>
                <w:sz w:val="18"/>
                <w:szCs w:val="18"/>
              </w:rPr>
            </w:pPr>
            <w:r>
              <w:rPr>
                <w:rFonts w:ascii="Arial"/>
                <w:w w:val="95"/>
                <w:sz w:val="18"/>
              </w:rPr>
              <w:t>46%</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将封顶</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4"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自有资金</w:t>
            </w:r>
            <w:r>
              <w:rPr>
                <w:rFonts w:ascii="宋体" w:hAnsi="宋体" w:cs="宋体" w:eastAsia="宋体" w:hint="default"/>
                <w:sz w:val="18"/>
                <w:szCs w:val="18"/>
              </w:rPr>
            </w:r>
          </w:p>
        </w:tc>
      </w:tr>
      <w:tr>
        <w:trPr>
          <w:trHeight w:val="56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34" w:lineRule="exact" w:before="92"/>
              <w:ind w:left="35" w:right="359"/>
              <w:jc w:val="left"/>
              <w:rPr>
                <w:rFonts w:ascii="宋体" w:hAnsi="宋体" w:cs="宋体" w:eastAsia="宋体" w:hint="default"/>
                <w:sz w:val="18"/>
                <w:szCs w:val="18"/>
              </w:rPr>
            </w:pPr>
            <w:r>
              <w:rPr>
                <w:rFonts w:ascii="宋体" w:hAnsi="宋体" w:cs="宋体" w:eastAsia="宋体" w:hint="default"/>
                <w:sz w:val="18"/>
                <w:szCs w:val="18"/>
              </w:rPr>
              <w:t>重庆长寿店 济南物流</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0"/>
              <w:jc w:val="right"/>
              <w:rPr>
                <w:rFonts w:ascii="Arial" w:hAnsi="Arial" w:cs="Arial" w:eastAsia="Arial" w:hint="default"/>
                <w:sz w:val="18"/>
                <w:szCs w:val="18"/>
              </w:rPr>
            </w:pPr>
            <w:r>
              <w:rPr>
                <w:rFonts w:ascii="Arial"/>
                <w:spacing w:val="-1"/>
                <w:sz w:val="18"/>
              </w:rPr>
              <w:t>92,670</w:t>
            </w:r>
          </w:p>
        </w:tc>
        <w:tc>
          <w:tcPr>
            <w:tcW w:w="2104" w:type="dxa"/>
            <w:gridSpan w:val="2"/>
            <w:tcBorders>
              <w:top w:val="nil" w:sz="6" w:space="0" w:color="auto"/>
              <w:left w:val="nil" w:sz="6" w:space="0" w:color="auto"/>
              <w:bottom w:val="nil" w:sz="6" w:space="0" w:color="auto"/>
              <w:right w:val="nil" w:sz="6" w:space="0" w:color="auto"/>
            </w:tcBorders>
          </w:tcPr>
          <w:p>
            <w:pPr>
              <w:pStyle w:val="TableParagraph"/>
              <w:tabs>
                <w:tab w:pos="1414" w:val="left" w:leader="none"/>
              </w:tabs>
              <w:spacing w:line="240" w:lineRule="auto" w:before="126"/>
              <w:ind w:left="917" w:right="0"/>
              <w:jc w:val="left"/>
              <w:rPr>
                <w:rFonts w:ascii="Arial" w:hAnsi="Arial" w:cs="Arial" w:eastAsia="Arial" w:hint="default"/>
                <w:sz w:val="18"/>
                <w:szCs w:val="18"/>
              </w:rPr>
            </w:pPr>
            <w:r>
              <w:rPr>
                <w:rFonts w:ascii="Arial"/>
                <w:sz w:val="18"/>
              </w:rPr>
              <w:t>-</w:t>
              <w:tab/>
              <w:t>72,750</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right="96"/>
              <w:jc w:val="right"/>
              <w:rPr>
                <w:rFonts w:ascii="Arial" w:hAnsi="Arial" w:cs="Arial" w:eastAsia="Arial" w:hint="default"/>
                <w:sz w:val="18"/>
                <w:szCs w:val="18"/>
              </w:rPr>
            </w:pPr>
            <w:r>
              <w:rPr>
                <w:rFonts w:ascii="Arial"/>
                <w:spacing w:val="-1"/>
                <w:sz w:val="18"/>
              </w:rPr>
              <w:t>72,750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3"/>
              <w:jc w:val="right"/>
              <w:rPr>
                <w:rFonts w:ascii="Arial" w:hAnsi="Arial" w:cs="Arial" w:eastAsia="Arial" w:hint="default"/>
                <w:sz w:val="18"/>
                <w:szCs w:val="18"/>
              </w:rPr>
            </w:pPr>
            <w:r>
              <w:rPr>
                <w:rFonts w:ascii="Arial"/>
                <w:w w:val="95"/>
                <w:sz w:val="18"/>
              </w:rPr>
              <w:t>79%</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34" w:lineRule="exact" w:before="92"/>
              <w:ind w:left="115" w:right="101" w:firstLine="900"/>
              <w:jc w:val="left"/>
              <w:rPr>
                <w:rFonts w:ascii="宋体" w:hAnsi="宋体" w:cs="宋体" w:eastAsia="宋体" w:hint="default"/>
                <w:sz w:val="18"/>
                <w:szCs w:val="18"/>
              </w:rPr>
            </w:pPr>
            <w:r>
              <w:rPr>
                <w:rFonts w:ascii="宋体" w:hAnsi="宋体" w:cs="宋体" w:eastAsia="宋体" w:hint="default"/>
                <w:sz w:val="18"/>
                <w:szCs w:val="18"/>
              </w:rPr>
              <w:t>装修工程进行中 钢结构开始进场吊装，土建</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54" w:val="left" w:leader="none"/>
              </w:tabs>
              <w:spacing w:line="240" w:lineRule="auto" w:before="74"/>
              <w:ind w:right="33"/>
              <w:jc w:val="right"/>
              <w:rPr>
                <w:rFonts w:ascii="宋体" w:hAnsi="宋体" w:cs="宋体" w:eastAsia="宋体" w:hint="default"/>
                <w:sz w:val="18"/>
                <w:szCs w:val="18"/>
              </w:rPr>
            </w:pPr>
            <w:r>
              <w:rPr>
                <w:rFonts w:ascii="Arial" w:hAnsi="Arial" w:cs="Arial" w:eastAsia="Arial" w:hint="default"/>
                <w:sz w:val="21"/>
                <w:szCs w:val="21"/>
              </w:rPr>
              <w:t>-</w:t>
              <w:tab/>
              <w:t>-</w:t>
              <w:tab/>
              <w:t>-</w:t>
              <w:tab/>
            </w:r>
            <w:r>
              <w:rPr>
                <w:rFonts w:ascii="宋体" w:hAnsi="宋体" w:cs="宋体" w:eastAsia="宋体" w:hint="default"/>
                <w:sz w:val="18"/>
                <w:szCs w:val="18"/>
              </w:rPr>
              <w:t>自有资金</w:t>
            </w:r>
          </w:p>
        </w:tc>
      </w:tr>
      <w:tr>
        <w:trPr>
          <w:trHeight w:val="46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06" w:lineRule="exact"/>
              <w:ind w:left="397" w:right="0"/>
              <w:jc w:val="left"/>
              <w:rPr>
                <w:rFonts w:ascii="宋体" w:hAnsi="宋体" w:cs="宋体" w:eastAsia="宋体" w:hint="default"/>
                <w:sz w:val="18"/>
                <w:szCs w:val="18"/>
              </w:rPr>
            </w:pPr>
            <w:r>
              <w:rPr>
                <w:rFonts w:ascii="宋体" w:hAnsi="宋体" w:cs="宋体" w:eastAsia="宋体" w:hint="default"/>
                <w:sz w:val="18"/>
                <w:szCs w:val="18"/>
              </w:rPr>
              <w:t>基地工程</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盐城物流</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18"/>
                <w:szCs w:val="18"/>
              </w:rPr>
            </w:pPr>
            <w:r>
              <w:rPr>
                <w:rFonts w:ascii="Arial"/>
                <w:spacing w:val="-1"/>
                <w:sz w:val="18"/>
              </w:rPr>
              <w:t>130,910</w:t>
            </w:r>
          </w:p>
        </w:tc>
        <w:tc>
          <w:tcPr>
            <w:tcW w:w="2104" w:type="dxa"/>
            <w:gridSpan w:val="2"/>
            <w:tcBorders>
              <w:top w:val="nil" w:sz="6" w:space="0" w:color="auto"/>
              <w:left w:val="nil" w:sz="6" w:space="0" w:color="auto"/>
              <w:bottom w:val="nil" w:sz="6" w:space="0" w:color="auto"/>
              <w:right w:val="nil" w:sz="6" w:space="0" w:color="auto"/>
            </w:tcBorders>
          </w:tcPr>
          <w:p>
            <w:pPr>
              <w:pStyle w:val="TableParagraph"/>
              <w:tabs>
                <w:tab w:pos="1417" w:val="left" w:leader="none"/>
              </w:tabs>
              <w:spacing w:line="240" w:lineRule="auto" w:before="28"/>
              <w:ind w:left="526" w:right="0"/>
              <w:jc w:val="left"/>
              <w:rPr>
                <w:rFonts w:ascii="Arial" w:hAnsi="Arial" w:cs="Arial" w:eastAsia="Arial" w:hint="default"/>
                <w:sz w:val="18"/>
                <w:szCs w:val="18"/>
              </w:rPr>
            </w:pPr>
            <w:r>
              <w:rPr>
                <w:rFonts w:ascii="Arial"/>
                <w:spacing w:val="-1"/>
                <w:sz w:val="18"/>
              </w:rPr>
              <w:t>3,074</w:t>
              <w:tab/>
              <w:t>63,089</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Arial" w:hAnsi="Arial" w:cs="Arial" w:eastAsia="Arial" w:hint="default"/>
                <w:sz w:val="18"/>
                <w:szCs w:val="18"/>
              </w:rPr>
            </w:pPr>
            <w:r>
              <w:rPr>
                <w:rFonts w:ascii="Arial"/>
                <w:spacing w:val="-1"/>
                <w:sz w:val="18"/>
              </w:rPr>
              <w:t>66,163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3"/>
              <w:jc w:val="right"/>
              <w:rPr>
                <w:rFonts w:ascii="Arial" w:hAnsi="Arial" w:cs="Arial" w:eastAsia="Arial" w:hint="default"/>
                <w:sz w:val="18"/>
                <w:szCs w:val="18"/>
              </w:rPr>
            </w:pPr>
            <w:r>
              <w:rPr>
                <w:rFonts w:ascii="Arial"/>
                <w:w w:val="95"/>
                <w:sz w:val="18"/>
              </w:rPr>
              <w:t>51%</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firstLine="1440"/>
              <w:jc w:val="left"/>
              <w:rPr>
                <w:rFonts w:ascii="宋体" w:hAnsi="宋体" w:cs="宋体" w:eastAsia="宋体" w:hint="default"/>
                <w:sz w:val="18"/>
                <w:szCs w:val="18"/>
              </w:rPr>
            </w:pPr>
            <w:r>
              <w:rPr>
                <w:rFonts w:ascii="宋体" w:hAnsi="宋体" w:cs="宋体" w:eastAsia="宋体" w:hint="default"/>
                <w:sz w:val="18"/>
                <w:szCs w:val="18"/>
              </w:rPr>
              <w:t>即将封顶</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钢结构吊装及封顶完成，土</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5"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自有资金</w:t>
            </w:r>
            <w:r>
              <w:rPr>
                <w:rFonts w:ascii="宋体" w:hAnsi="宋体" w:cs="宋体" w:eastAsia="宋体" w:hint="default"/>
                <w:sz w:val="18"/>
                <w:szCs w:val="18"/>
              </w:rPr>
            </w:r>
          </w:p>
        </w:tc>
      </w:tr>
      <w:tr>
        <w:trPr>
          <w:trHeight w:val="46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06" w:lineRule="exact"/>
              <w:ind w:left="397" w:right="0"/>
              <w:jc w:val="left"/>
              <w:rPr>
                <w:rFonts w:ascii="宋体" w:hAnsi="宋体" w:cs="宋体" w:eastAsia="宋体" w:hint="default"/>
                <w:sz w:val="18"/>
                <w:szCs w:val="18"/>
              </w:rPr>
            </w:pPr>
            <w:r>
              <w:rPr>
                <w:rFonts w:ascii="宋体" w:hAnsi="宋体" w:cs="宋体" w:eastAsia="宋体" w:hint="default"/>
                <w:sz w:val="18"/>
                <w:szCs w:val="18"/>
              </w:rPr>
              <w:t>基地工程</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徐州物流</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4"/>
              <w:jc w:val="right"/>
              <w:rPr>
                <w:rFonts w:ascii="Arial" w:hAnsi="Arial" w:cs="Arial" w:eastAsia="Arial" w:hint="default"/>
                <w:sz w:val="18"/>
                <w:szCs w:val="18"/>
              </w:rPr>
            </w:pPr>
            <w:r>
              <w:rPr>
                <w:rFonts w:ascii="Arial"/>
                <w:spacing w:val="-1"/>
                <w:sz w:val="18"/>
              </w:rPr>
              <w:t>74,100</w:t>
            </w:r>
          </w:p>
        </w:tc>
        <w:tc>
          <w:tcPr>
            <w:tcW w:w="2104" w:type="dxa"/>
            <w:gridSpan w:val="2"/>
            <w:tcBorders>
              <w:top w:val="nil" w:sz="6" w:space="0" w:color="auto"/>
              <w:left w:val="nil" w:sz="6" w:space="0" w:color="auto"/>
              <w:bottom w:val="nil" w:sz="6" w:space="0" w:color="auto"/>
              <w:right w:val="nil" w:sz="6" w:space="0" w:color="auto"/>
            </w:tcBorders>
          </w:tcPr>
          <w:p>
            <w:pPr>
              <w:pStyle w:val="TableParagraph"/>
              <w:tabs>
                <w:tab w:pos="1417" w:val="left" w:leader="none"/>
              </w:tabs>
              <w:spacing w:line="240" w:lineRule="auto" w:before="28"/>
              <w:ind w:left="778" w:right="0"/>
              <w:jc w:val="left"/>
              <w:rPr>
                <w:rFonts w:ascii="Arial" w:hAnsi="Arial" w:cs="Arial" w:eastAsia="Arial" w:hint="default"/>
                <w:sz w:val="18"/>
                <w:szCs w:val="18"/>
              </w:rPr>
            </w:pPr>
            <w:r>
              <w:rPr>
                <w:rFonts w:ascii="Arial"/>
                <w:w w:val="95"/>
                <w:sz w:val="18"/>
              </w:rPr>
              <w:t>80</w:t>
              <w:tab/>
            </w:r>
            <w:r>
              <w:rPr>
                <w:rFonts w:ascii="Arial"/>
                <w:sz w:val="18"/>
              </w:rPr>
              <w:t>54,019</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18"/>
                <w:szCs w:val="18"/>
              </w:rPr>
            </w:pPr>
            <w:r>
              <w:rPr>
                <w:rFonts w:ascii="Arial"/>
                <w:spacing w:val="-1"/>
                <w:sz w:val="18"/>
              </w:rPr>
              <w:t>54,099</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3"/>
              <w:jc w:val="right"/>
              <w:rPr>
                <w:rFonts w:ascii="Arial" w:hAnsi="Arial" w:cs="Arial" w:eastAsia="Arial" w:hint="default"/>
                <w:sz w:val="18"/>
                <w:szCs w:val="18"/>
              </w:rPr>
            </w:pPr>
            <w:r>
              <w:rPr>
                <w:rFonts w:ascii="Arial"/>
                <w:w w:val="95"/>
                <w:sz w:val="18"/>
              </w:rPr>
              <w:t>73%</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firstLine="360"/>
              <w:jc w:val="left"/>
              <w:rPr>
                <w:rFonts w:ascii="宋体" w:hAnsi="宋体" w:cs="宋体" w:eastAsia="宋体" w:hint="default"/>
                <w:sz w:val="18"/>
                <w:szCs w:val="18"/>
              </w:rPr>
            </w:pPr>
            <w:r>
              <w:rPr>
                <w:rFonts w:ascii="宋体" w:hAnsi="宋体" w:cs="宋体" w:eastAsia="宋体" w:hint="default"/>
                <w:sz w:val="18"/>
                <w:szCs w:val="18"/>
              </w:rPr>
              <w:t>建封顶，安装开始施工</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钢结构进场吊装中，土建施</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5"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自有资金</w:t>
            </w:r>
            <w:r>
              <w:rPr>
                <w:rFonts w:ascii="宋体" w:hAnsi="宋体" w:cs="宋体" w:eastAsia="宋体" w:hint="default"/>
                <w:sz w:val="18"/>
                <w:szCs w:val="18"/>
              </w:rPr>
            </w:r>
          </w:p>
        </w:tc>
      </w:tr>
      <w:tr>
        <w:trPr>
          <w:trHeight w:val="33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08" w:lineRule="exact"/>
              <w:ind w:right="176"/>
              <w:jc w:val="right"/>
              <w:rPr>
                <w:rFonts w:ascii="宋体" w:hAnsi="宋体" w:cs="宋体" w:eastAsia="宋体" w:hint="default"/>
                <w:sz w:val="18"/>
                <w:szCs w:val="18"/>
              </w:rPr>
            </w:pPr>
            <w:r>
              <w:rPr>
                <w:rFonts w:ascii="宋体" w:hAnsi="宋体" w:cs="宋体" w:eastAsia="宋体" w:hint="default"/>
                <w:sz w:val="18"/>
                <w:szCs w:val="18"/>
              </w:rPr>
              <w:t>基地工程</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3"/>
              <w:jc w:val="right"/>
              <w:rPr>
                <w:rFonts w:ascii="Arial" w:hAnsi="Arial" w:cs="Arial" w:eastAsia="Arial" w:hint="default"/>
                <w:sz w:val="18"/>
                <w:szCs w:val="18"/>
              </w:rPr>
            </w:pPr>
            <w:r>
              <w:rPr>
                <w:rFonts w:ascii="Arial"/>
                <w:spacing w:val="-1"/>
                <w:sz w:val="18"/>
              </w:rPr>
              <w:t>123,870</w:t>
            </w:r>
          </w:p>
        </w:tc>
        <w:tc>
          <w:tcPr>
            <w:tcW w:w="2104" w:type="dxa"/>
            <w:gridSpan w:val="2"/>
            <w:tcBorders>
              <w:top w:val="nil" w:sz="6" w:space="0" w:color="auto"/>
              <w:left w:val="nil" w:sz="6" w:space="0" w:color="auto"/>
              <w:bottom w:val="nil" w:sz="6" w:space="0" w:color="auto"/>
              <w:right w:val="nil" w:sz="6" w:space="0" w:color="auto"/>
            </w:tcBorders>
          </w:tcPr>
          <w:p>
            <w:pPr>
              <w:pStyle w:val="TableParagraph"/>
              <w:tabs>
                <w:tab w:pos="1414" w:val="left" w:leader="none"/>
              </w:tabs>
              <w:spacing w:line="240" w:lineRule="auto" w:before="28"/>
              <w:ind w:left="526" w:right="0"/>
              <w:jc w:val="left"/>
              <w:rPr>
                <w:rFonts w:ascii="Arial" w:hAnsi="Arial" w:cs="Arial" w:eastAsia="Arial" w:hint="default"/>
                <w:sz w:val="18"/>
                <w:szCs w:val="18"/>
              </w:rPr>
            </w:pPr>
            <w:r>
              <w:rPr>
                <w:rFonts w:ascii="Arial"/>
                <w:spacing w:val="-1"/>
                <w:sz w:val="18"/>
              </w:rPr>
              <w:t>1,867</w:t>
              <w:tab/>
              <w:t>49,638</w:t>
            </w:r>
          </w:p>
        </w:tc>
        <w:tc>
          <w:tcPr>
            <w:tcW w:w="22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Arial" w:hAnsi="Arial" w:cs="Arial" w:eastAsia="Arial" w:hint="default"/>
                <w:sz w:val="18"/>
                <w:szCs w:val="18"/>
              </w:rPr>
            </w:pPr>
            <w:r>
              <w:rPr>
                <w:rFonts w:ascii="Arial"/>
                <w:spacing w:val="-1"/>
                <w:sz w:val="18"/>
              </w:rPr>
              <w:t>51,505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3"/>
              <w:jc w:val="right"/>
              <w:rPr>
                <w:rFonts w:ascii="Arial" w:hAnsi="Arial" w:cs="Arial" w:eastAsia="Arial" w:hint="default"/>
                <w:sz w:val="18"/>
                <w:szCs w:val="18"/>
              </w:rPr>
            </w:pPr>
            <w:r>
              <w:rPr>
                <w:rFonts w:ascii="Arial"/>
                <w:w w:val="95"/>
                <w:sz w:val="18"/>
              </w:rPr>
              <w:t>42%</w:t>
            </w:r>
            <w:r>
              <w:rPr>
                <w:rFonts w:ascii="Arial"/>
                <w:sz w:val="18"/>
              </w:rPr>
            </w:r>
          </w:p>
        </w:tc>
        <w:tc>
          <w:tcPr>
            <w:tcW w:w="2378" w:type="dxa"/>
            <w:tcBorders>
              <w:top w:val="nil" w:sz="6" w:space="0" w:color="auto"/>
              <w:left w:val="nil" w:sz="6" w:space="0" w:color="auto"/>
              <w:bottom w:val="nil" w:sz="6" w:space="0" w:color="auto"/>
              <w:right w:val="nil" w:sz="6" w:space="0" w:color="auto"/>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工中，即将封顶</w:t>
            </w:r>
          </w:p>
        </w:tc>
        <w:tc>
          <w:tcPr>
            <w:tcW w:w="4241" w:type="dxa"/>
            <w:tcBorders>
              <w:top w:val="nil" w:sz="6" w:space="0" w:color="auto"/>
              <w:left w:val="nil" w:sz="6" w:space="0" w:color="auto"/>
              <w:bottom w:val="nil" w:sz="6" w:space="0" w:color="auto"/>
              <w:right w:val="nil" w:sz="6" w:space="0" w:color="auto"/>
            </w:tcBorders>
          </w:tcPr>
          <w:p>
            <w:pPr>
              <w:pStyle w:val="TableParagraph"/>
              <w:tabs>
                <w:tab w:pos="1175" w:val="left" w:leader="none"/>
                <w:tab w:pos="2212" w:val="left" w:leader="none"/>
                <w:tab w:pos="2645" w:val="left" w:leader="none"/>
              </w:tabs>
              <w:spacing w:line="235" w:lineRule="exact"/>
              <w:ind w:right="33"/>
              <w:jc w:val="right"/>
              <w:rPr>
                <w:rFonts w:ascii="宋体" w:hAnsi="宋体" w:cs="宋体" w:eastAsia="宋体" w:hint="default"/>
                <w:sz w:val="18"/>
                <w:szCs w:val="18"/>
              </w:rPr>
            </w:pPr>
            <w:r>
              <w:rPr>
                <w:rFonts w:ascii="Arial" w:hAnsi="Arial" w:cs="Arial" w:eastAsia="Arial" w:hint="default"/>
                <w:sz w:val="18"/>
                <w:szCs w:val="18"/>
              </w:rPr>
              <w:t>-</w:t>
              <w:tab/>
              <w:t>-</w:t>
              <w:tab/>
              <w:t>-</w:t>
              <w:tab/>
            </w:r>
            <w:r>
              <w:rPr>
                <w:rFonts w:ascii="宋体" w:hAnsi="宋体" w:cs="宋体" w:eastAsia="宋体" w:hint="default"/>
                <w:w w:val="95"/>
                <w:position w:val="1"/>
                <w:sz w:val="18"/>
                <w:szCs w:val="18"/>
              </w:rPr>
              <w:t>募集资金</w:t>
            </w:r>
            <w:r>
              <w:rPr>
                <w:rFonts w:ascii="宋体" w:hAnsi="宋体" w:cs="宋体" w:eastAsia="宋体" w:hint="default"/>
                <w:sz w:val="18"/>
                <w:szCs w:val="18"/>
              </w:rPr>
            </w:r>
          </w:p>
        </w:tc>
      </w:tr>
    </w:tbl>
    <w:p>
      <w:pPr>
        <w:spacing w:after="0" w:line="235" w:lineRule="exact"/>
        <w:jc w:val="right"/>
        <w:rPr>
          <w:rFonts w:ascii="宋体" w:hAnsi="宋体" w:cs="宋体" w:eastAsia="宋体" w:hint="default"/>
          <w:sz w:val="18"/>
          <w:szCs w:val="18"/>
        </w:rPr>
        <w:sectPr>
          <w:headerReference w:type="default" r:id="rId86"/>
          <w:footerReference w:type="default" r:id="rId87"/>
          <w:pgSz w:w="16850" w:h="11910" w:orient="landscape"/>
          <w:pgMar w:header="1474" w:footer="954" w:top="2960" w:bottom="1140" w:left="920" w:right="0"/>
          <w:pgNumType w:start="164"/>
        </w:sectPr>
      </w:pPr>
    </w:p>
    <w:p>
      <w:pPr>
        <w:spacing w:line="240" w:lineRule="auto" w:before="1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877"/>
        <w:gridCol w:w="1400"/>
        <w:gridCol w:w="925"/>
        <w:gridCol w:w="1156"/>
        <w:gridCol w:w="928"/>
        <w:gridCol w:w="1084"/>
        <w:gridCol w:w="1102"/>
        <w:gridCol w:w="1272"/>
        <w:gridCol w:w="2212"/>
        <w:gridCol w:w="989"/>
        <w:gridCol w:w="1196"/>
        <w:gridCol w:w="899"/>
        <w:gridCol w:w="1198"/>
      </w:tblGrid>
      <w:tr>
        <w:trPr>
          <w:trHeight w:val="717"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481"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52"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28" w:type="dxa"/>
            <w:tcBorders>
              <w:top w:val="single" w:sz="6" w:space="0" w:color="000000"/>
              <w:left w:val="nil" w:sz="6" w:space="0" w:color="auto"/>
              <w:bottom w:val="nil" w:sz="6" w:space="0" w:color="auto"/>
              <w:right w:val="nil" w:sz="6" w:space="0" w:color="auto"/>
            </w:tcBorders>
          </w:tcPr>
          <w:p>
            <w:pPr/>
          </w:p>
        </w:tc>
        <w:tc>
          <w:tcPr>
            <w:tcW w:w="1084" w:type="dxa"/>
            <w:tcBorders>
              <w:top w:val="single" w:sz="6" w:space="0" w:color="000000"/>
              <w:left w:val="nil" w:sz="6" w:space="0" w:color="auto"/>
              <w:bottom w:val="nil" w:sz="6" w:space="0" w:color="auto"/>
              <w:right w:val="nil" w:sz="6" w:space="0" w:color="auto"/>
            </w:tcBorders>
          </w:tcPr>
          <w:p>
            <w:pPr/>
          </w:p>
        </w:tc>
        <w:tc>
          <w:tcPr>
            <w:tcW w:w="1102" w:type="dxa"/>
            <w:tcBorders>
              <w:top w:val="single" w:sz="6" w:space="0" w:color="000000"/>
              <w:left w:val="nil" w:sz="6" w:space="0" w:color="auto"/>
              <w:bottom w:val="nil" w:sz="6" w:space="0" w:color="auto"/>
              <w:right w:val="nil" w:sz="6" w:space="0" w:color="auto"/>
            </w:tcBorders>
          </w:tcPr>
          <w:p>
            <w:pPr/>
          </w:p>
        </w:tc>
        <w:tc>
          <w:tcPr>
            <w:tcW w:w="1272" w:type="dxa"/>
            <w:tcBorders>
              <w:top w:val="single" w:sz="6" w:space="0" w:color="000000"/>
              <w:left w:val="nil" w:sz="6" w:space="0" w:color="auto"/>
              <w:bottom w:val="nil" w:sz="6" w:space="0" w:color="auto"/>
              <w:right w:val="nil" w:sz="6" w:space="0" w:color="auto"/>
            </w:tcBorders>
          </w:tcPr>
          <w:p>
            <w:pPr/>
          </w:p>
        </w:tc>
        <w:tc>
          <w:tcPr>
            <w:tcW w:w="2212" w:type="dxa"/>
            <w:tcBorders>
              <w:top w:val="single" w:sz="6" w:space="0" w:color="000000"/>
              <w:left w:val="nil" w:sz="6" w:space="0" w:color="auto"/>
              <w:bottom w:val="nil" w:sz="6" w:space="0" w:color="auto"/>
              <w:right w:val="nil" w:sz="6" w:space="0" w:color="auto"/>
            </w:tcBorders>
          </w:tcPr>
          <w:p>
            <w:pPr/>
          </w:p>
        </w:tc>
        <w:tc>
          <w:tcPr>
            <w:tcW w:w="989" w:type="dxa"/>
            <w:tcBorders>
              <w:top w:val="single" w:sz="6" w:space="0" w:color="000000"/>
              <w:left w:val="nil" w:sz="6" w:space="0" w:color="auto"/>
              <w:bottom w:val="nil" w:sz="6" w:space="0" w:color="auto"/>
              <w:right w:val="nil" w:sz="6" w:space="0" w:color="auto"/>
            </w:tcBorders>
          </w:tcPr>
          <w:p>
            <w:pPr/>
          </w:p>
        </w:tc>
        <w:tc>
          <w:tcPr>
            <w:tcW w:w="1196" w:type="dxa"/>
            <w:tcBorders>
              <w:top w:val="single" w:sz="6" w:space="0" w:color="000000"/>
              <w:left w:val="nil" w:sz="6" w:space="0" w:color="auto"/>
              <w:bottom w:val="nil" w:sz="6" w:space="0" w:color="auto"/>
              <w:right w:val="nil" w:sz="6" w:space="0" w:color="auto"/>
            </w:tcBorders>
          </w:tcPr>
          <w:p>
            <w:pPr/>
          </w:p>
        </w:tc>
        <w:tc>
          <w:tcPr>
            <w:tcW w:w="899" w:type="dxa"/>
            <w:tcBorders>
              <w:top w:val="single" w:sz="6" w:space="0" w:color="000000"/>
              <w:left w:val="nil" w:sz="6" w:space="0" w:color="auto"/>
              <w:bottom w:val="nil" w:sz="6" w:space="0" w:color="auto"/>
              <w:right w:val="nil" w:sz="6" w:space="0" w:color="auto"/>
            </w:tcBorders>
          </w:tcPr>
          <w:p>
            <w:pPr/>
          </w:p>
        </w:tc>
        <w:tc>
          <w:tcPr>
            <w:tcW w:w="1198" w:type="dxa"/>
            <w:tcBorders>
              <w:top w:val="single" w:sz="6" w:space="0" w:color="000000"/>
              <w:left w:val="nil" w:sz="6" w:space="0" w:color="auto"/>
              <w:bottom w:val="nil" w:sz="6" w:space="0" w:color="auto"/>
              <w:right w:val="nil" w:sz="6" w:space="0" w:color="auto"/>
            </w:tcBorders>
          </w:tcPr>
          <w:p>
            <w:pPr/>
          </w:p>
        </w:tc>
      </w:tr>
      <w:tr>
        <w:trPr>
          <w:trHeight w:val="624"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(12)</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2" w:right="-17"/>
              <w:jc w:val="left"/>
              <w:rPr>
                <w:rFonts w:ascii="Arial" w:hAnsi="Arial" w:cs="Arial" w:eastAsia="Arial" w:hint="default"/>
                <w:sz w:val="24"/>
                <w:szCs w:val="24"/>
              </w:rPr>
            </w:pPr>
            <w:r>
              <w:rPr>
                <w:rFonts w:ascii="宋体" w:hAnsi="宋体" w:cs="宋体" w:eastAsia="宋体" w:hint="default"/>
                <w:b/>
                <w:bCs/>
                <w:w w:val="95"/>
                <w:sz w:val="24"/>
                <w:szCs w:val="24"/>
              </w:rPr>
              <w:t>在建工程</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sz w:val="24"/>
                <w:szCs w:val="24"/>
              </w:rPr>
            </w:r>
          </w:p>
        </w:tc>
        <w:tc>
          <w:tcPr>
            <w:tcW w:w="925"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928"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r>
      <w:tr>
        <w:trPr>
          <w:trHeight w:val="619"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(a)</w:t>
            </w:r>
          </w:p>
        </w:tc>
        <w:tc>
          <w:tcPr>
            <w:tcW w:w="34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4"/>
              <w:ind w:left="52" w:right="0"/>
              <w:jc w:val="left"/>
              <w:rPr>
                <w:rFonts w:ascii="宋体" w:hAnsi="宋体" w:cs="宋体" w:eastAsia="宋体" w:hint="default"/>
                <w:sz w:val="24"/>
                <w:szCs w:val="24"/>
              </w:rPr>
            </w:pPr>
            <w:r>
              <w:rPr>
                <w:rFonts w:ascii="宋体" w:hAnsi="宋体" w:cs="宋体" w:eastAsia="宋体" w:hint="default"/>
                <w:b/>
                <w:bCs/>
                <w:sz w:val="24"/>
                <w:szCs w:val="24"/>
              </w:rPr>
              <w:t>重大在建工程项目变动</w:t>
            </w:r>
            <w:r>
              <w:rPr>
                <w:rFonts w:ascii="宋体" w:hAnsi="宋体" w:cs="宋体" w:eastAsia="宋体" w:hint="default"/>
                <w:b/>
                <w:bCs/>
                <w:sz w:val="24"/>
                <w:szCs w:val="24"/>
              </w:rPr>
              <w:t>(</w:t>
            </w:r>
            <w:r>
              <w:rPr>
                <w:rFonts w:ascii="宋体" w:hAnsi="宋体" w:cs="宋体" w:eastAsia="宋体" w:hint="default"/>
                <w:b/>
                <w:bCs/>
                <w:sz w:val="24"/>
                <w:szCs w:val="24"/>
              </w:rPr>
              <w:t>续</w:t>
            </w:r>
            <w:r>
              <w:rPr>
                <w:rFonts w:ascii="宋体" w:hAnsi="宋体" w:cs="宋体" w:eastAsia="宋体" w:hint="default"/>
                <w:b/>
                <w:bCs/>
                <w:sz w:val="24"/>
                <w:szCs w:val="24"/>
              </w:rPr>
              <w:t>)</w:t>
            </w:r>
            <w:r>
              <w:rPr>
                <w:rFonts w:ascii="宋体" w:hAnsi="宋体" w:cs="宋体" w:eastAsia="宋体" w:hint="default"/>
                <w:sz w:val="24"/>
                <w:szCs w:val="24"/>
              </w:rPr>
            </w:r>
          </w:p>
        </w:tc>
        <w:tc>
          <w:tcPr>
            <w:tcW w:w="928"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221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r>
      <w:tr>
        <w:trPr>
          <w:trHeight w:val="1249"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2"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7"/>
              <w:jc w:val="right"/>
              <w:rPr>
                <w:rFonts w:ascii="宋体" w:hAnsi="宋体" w:cs="宋体" w:eastAsia="宋体" w:hint="default"/>
                <w:sz w:val="21"/>
                <w:szCs w:val="21"/>
              </w:rPr>
            </w:pPr>
            <w:r>
              <w:rPr>
                <w:rFonts w:ascii="宋体" w:hAnsi="宋体" w:cs="宋体" w:eastAsia="宋体" w:hint="default"/>
                <w:sz w:val="21"/>
                <w:szCs w:val="21"/>
              </w:rPr>
              <w:t>预算数</w:t>
            </w:r>
          </w:p>
        </w:tc>
        <w:tc>
          <w:tcPr>
            <w:tcW w:w="1156" w:type="dxa"/>
            <w:tcBorders>
              <w:top w:val="nil" w:sz="6" w:space="0" w:color="auto"/>
              <w:left w:val="nil" w:sz="6" w:space="0" w:color="auto"/>
              <w:bottom w:val="nil" w:sz="6" w:space="0" w:color="auto"/>
              <w:right w:val="nil" w:sz="6" w:space="0" w:color="auto"/>
            </w:tcBorders>
          </w:tcPr>
          <w:p>
            <w:pPr>
              <w:pStyle w:val="TableParagraph"/>
              <w:spacing w:line="282" w:lineRule="exact" w:before="126"/>
              <w:ind w:left="114" w:right="0"/>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right="80"/>
              <w:jc w:val="center"/>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928" w:type="dxa"/>
            <w:tcBorders>
              <w:top w:val="nil" w:sz="6" w:space="0" w:color="auto"/>
              <w:left w:val="nil" w:sz="6" w:space="0" w:color="auto"/>
              <w:bottom w:val="nil" w:sz="6" w:space="0" w:color="auto"/>
              <w:right w:val="nil" w:sz="6" w:space="0" w:color="auto"/>
            </w:tcBorders>
          </w:tcPr>
          <w:p>
            <w:pPr>
              <w:pStyle w:val="TableParagraph"/>
              <w:spacing w:line="274" w:lineRule="exact" w:before="126"/>
              <w:ind w:left="157" w:right="0"/>
              <w:jc w:val="left"/>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4" w:lineRule="exact"/>
              <w:ind w:left="577"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7" w:right="121"/>
              <w:jc w:val="left"/>
              <w:rPr>
                <w:rFonts w:ascii="宋体" w:hAnsi="宋体" w:cs="宋体" w:eastAsia="宋体" w:hint="default"/>
                <w:sz w:val="21"/>
                <w:szCs w:val="21"/>
              </w:rPr>
            </w:pPr>
            <w:r>
              <w:rPr>
                <w:rFonts w:ascii="宋体" w:hAnsi="宋体" w:cs="宋体" w:eastAsia="宋体" w:hint="default"/>
                <w:spacing w:val="-1"/>
                <w:sz w:val="21"/>
                <w:szCs w:val="21"/>
              </w:rPr>
              <w:t>本年转入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固定资产</w:t>
            </w:r>
          </w:p>
        </w:tc>
        <w:tc>
          <w:tcPr>
            <w:tcW w:w="1102" w:type="dxa"/>
            <w:tcBorders>
              <w:top w:val="nil" w:sz="6" w:space="0" w:color="auto"/>
              <w:left w:val="nil" w:sz="6" w:space="0" w:color="auto"/>
              <w:bottom w:val="nil" w:sz="6" w:space="0" w:color="auto"/>
              <w:right w:val="nil" w:sz="6" w:space="0" w:color="auto"/>
            </w:tcBorders>
          </w:tcPr>
          <w:p>
            <w:pPr>
              <w:pStyle w:val="TableParagraph"/>
              <w:spacing w:line="282" w:lineRule="exact" w:before="126"/>
              <w:ind w:left="298"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p>
          <w:p>
            <w:pPr>
              <w:pStyle w:val="TableParagraph"/>
              <w:spacing w:line="282" w:lineRule="exact"/>
              <w:ind w:left="75"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31</w:t>
            </w:r>
            <w:r>
              <w:rPr>
                <w:rFonts w:ascii="Arial" w:hAnsi="Arial" w:cs="Arial" w:eastAsia="Arial" w:hint="default"/>
                <w:spacing w:val="-13"/>
                <w:sz w:val="21"/>
                <w:szCs w:val="21"/>
              </w:rPr>
              <w:t> </w:t>
            </w:r>
            <w:r>
              <w:rPr>
                <w:rFonts w:ascii="宋体" w:hAnsi="宋体" w:cs="宋体" w:eastAsia="宋体" w:hint="default"/>
                <w:sz w:val="21"/>
                <w:szCs w:val="21"/>
              </w:rPr>
              <w:t>日</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6" w:right="341"/>
              <w:jc w:val="left"/>
              <w:rPr>
                <w:rFonts w:ascii="宋体" w:hAnsi="宋体" w:cs="宋体" w:eastAsia="宋体" w:hint="default"/>
                <w:sz w:val="21"/>
                <w:szCs w:val="21"/>
              </w:rPr>
            </w:pPr>
            <w:r>
              <w:rPr>
                <w:rFonts w:ascii="宋体" w:hAnsi="宋体" w:cs="宋体" w:eastAsia="宋体" w:hint="default"/>
                <w:spacing w:val="-1"/>
                <w:sz w:val="21"/>
                <w:szCs w:val="21"/>
              </w:rPr>
              <w:t>工程投入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占预算的</w:t>
            </w:r>
          </w:p>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2"/>
              <w:jc w:val="right"/>
              <w:rPr>
                <w:rFonts w:ascii="宋体" w:hAnsi="宋体" w:cs="宋体" w:eastAsia="宋体" w:hint="default"/>
                <w:sz w:val="21"/>
                <w:szCs w:val="21"/>
              </w:rPr>
            </w:pPr>
            <w:r>
              <w:rPr>
                <w:rFonts w:ascii="宋体" w:hAnsi="宋体" w:cs="宋体" w:eastAsia="宋体" w:hint="default"/>
                <w:sz w:val="21"/>
                <w:szCs w:val="21"/>
              </w:rPr>
              <w:t>工程进度</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71"/>
              <w:jc w:val="right"/>
              <w:rPr>
                <w:rFonts w:ascii="宋体" w:hAnsi="宋体" w:cs="宋体" w:eastAsia="宋体" w:hint="default"/>
                <w:sz w:val="21"/>
                <w:szCs w:val="21"/>
              </w:rPr>
            </w:pPr>
            <w:r>
              <w:rPr>
                <w:rFonts w:ascii="宋体" w:hAnsi="宋体" w:cs="宋体" w:eastAsia="宋体" w:hint="default"/>
                <w:spacing w:val="-1"/>
                <w:sz w:val="21"/>
                <w:szCs w:val="21"/>
              </w:rPr>
              <w:t>借款费用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pacing w:val="-1"/>
                <w:sz w:val="21"/>
                <w:szCs w:val="21"/>
              </w:rPr>
              <w:t>累计金额</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26" w:right="125" w:hanging="171"/>
              <w:jc w:val="both"/>
              <w:rPr>
                <w:rFonts w:ascii="宋体" w:hAnsi="宋体" w:cs="宋体" w:eastAsia="宋体" w:hint="default"/>
                <w:sz w:val="21"/>
                <w:szCs w:val="21"/>
              </w:rPr>
            </w:pPr>
            <w:r>
              <w:rPr>
                <w:rFonts w:ascii="宋体" w:hAnsi="宋体" w:cs="宋体" w:eastAsia="宋体" w:hint="default"/>
                <w:spacing w:val="-9"/>
                <w:sz w:val="21"/>
                <w:szCs w:val="21"/>
              </w:rPr>
              <w:t>其中：本年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借款费用</w:t>
            </w:r>
            <w:r>
              <w:rPr>
                <w:rFonts w:ascii="宋体" w:hAnsi="宋体" w:cs="宋体" w:eastAsia="宋体" w:hint="default"/>
                <w:w w:val="100"/>
                <w:sz w:val="21"/>
                <w:szCs w:val="21"/>
              </w:rPr>
              <w:t> </w:t>
            </w:r>
            <w:r>
              <w:rPr>
                <w:rFonts w:ascii="宋体" w:hAnsi="宋体" w:cs="宋体" w:eastAsia="宋体" w:hint="default"/>
                <w:spacing w:val="-1"/>
                <w:sz w:val="21"/>
                <w:szCs w:val="21"/>
              </w:rPr>
              <w:t>资本化金</w:t>
            </w:r>
          </w:p>
          <w:p>
            <w:pPr>
              <w:pStyle w:val="TableParagraph"/>
              <w:spacing w:line="271" w:lineRule="exact"/>
              <w:ind w:right="127"/>
              <w:jc w:val="right"/>
              <w:rPr>
                <w:rFonts w:ascii="宋体" w:hAnsi="宋体" w:cs="宋体" w:eastAsia="宋体" w:hint="default"/>
                <w:sz w:val="21"/>
                <w:szCs w:val="21"/>
              </w:rPr>
            </w:pPr>
            <w:r>
              <w:rPr>
                <w:rFonts w:ascii="宋体" w:hAnsi="宋体" w:cs="宋体" w:eastAsia="宋体" w:hint="default"/>
                <w:w w:val="100"/>
                <w:sz w:val="21"/>
                <w:szCs w:val="21"/>
              </w:rPr>
              <w:t>额</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27" w:right="137"/>
              <w:jc w:val="both"/>
              <w:rPr>
                <w:rFonts w:ascii="宋体" w:hAnsi="宋体" w:cs="宋体" w:eastAsia="宋体" w:hint="default"/>
                <w:sz w:val="21"/>
                <w:szCs w:val="21"/>
              </w:rPr>
            </w:pPr>
            <w:r>
              <w:rPr>
                <w:rFonts w:ascii="宋体" w:hAnsi="宋体" w:cs="宋体" w:eastAsia="宋体" w:hint="default"/>
                <w:sz w:val="21"/>
                <w:szCs w:val="21"/>
              </w:rPr>
              <w:t>本年借</w:t>
            </w:r>
            <w:r>
              <w:rPr>
                <w:rFonts w:ascii="宋体" w:hAnsi="宋体" w:cs="宋体" w:eastAsia="宋体" w:hint="default"/>
                <w:spacing w:val="-102"/>
                <w:sz w:val="21"/>
                <w:szCs w:val="21"/>
              </w:rPr>
              <w:t> </w:t>
            </w:r>
            <w:r>
              <w:rPr>
                <w:rFonts w:ascii="宋体" w:hAnsi="宋体" w:cs="宋体" w:eastAsia="宋体" w:hint="default"/>
                <w:sz w:val="21"/>
                <w:szCs w:val="21"/>
              </w:rPr>
              <w:t>款费用</w:t>
            </w:r>
            <w:r>
              <w:rPr>
                <w:rFonts w:ascii="宋体" w:hAnsi="宋体" w:cs="宋体" w:eastAsia="宋体" w:hint="default"/>
                <w:spacing w:val="-102"/>
                <w:sz w:val="21"/>
                <w:szCs w:val="21"/>
              </w:rPr>
              <w:t> </w:t>
            </w:r>
            <w:r>
              <w:rPr>
                <w:rFonts w:ascii="宋体" w:hAnsi="宋体" w:cs="宋体" w:eastAsia="宋体" w:hint="default"/>
                <w:sz w:val="21"/>
                <w:szCs w:val="21"/>
              </w:rPr>
              <w:t>资本化</w:t>
            </w:r>
          </w:p>
          <w:p>
            <w:pPr>
              <w:pStyle w:val="TableParagraph"/>
              <w:spacing w:line="271" w:lineRule="exact"/>
              <w:ind w:left="547"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5"/>
              <w:jc w:val="right"/>
              <w:rPr>
                <w:rFonts w:ascii="宋体" w:hAnsi="宋体" w:cs="宋体" w:eastAsia="宋体" w:hint="default"/>
                <w:sz w:val="21"/>
                <w:szCs w:val="21"/>
              </w:rPr>
            </w:pPr>
            <w:r>
              <w:rPr>
                <w:rFonts w:ascii="宋体" w:hAnsi="宋体" w:cs="宋体" w:eastAsia="宋体" w:hint="default"/>
                <w:spacing w:val="-1"/>
                <w:sz w:val="21"/>
                <w:szCs w:val="21"/>
              </w:rPr>
              <w:t>资金来源</w:t>
            </w:r>
          </w:p>
        </w:tc>
      </w:tr>
      <w:tr>
        <w:trPr>
          <w:trHeight w:val="482"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09" w:lineRule="exact"/>
              <w:ind w:left="-42" w:right="359"/>
              <w:jc w:val="center"/>
              <w:rPr>
                <w:rFonts w:ascii="宋体" w:hAnsi="宋体" w:cs="宋体" w:eastAsia="宋体" w:hint="default"/>
                <w:sz w:val="18"/>
                <w:szCs w:val="18"/>
              </w:rPr>
            </w:pPr>
            <w:r>
              <w:rPr>
                <w:rFonts w:ascii="宋体" w:hAnsi="宋体" w:cs="宋体" w:eastAsia="宋体" w:hint="default"/>
                <w:sz w:val="18"/>
                <w:szCs w:val="18"/>
              </w:rPr>
              <w:t>湖州苏宁电器</w:t>
            </w:r>
          </w:p>
          <w:p>
            <w:pPr>
              <w:pStyle w:val="TableParagraph"/>
              <w:spacing w:line="240" w:lineRule="auto"/>
              <w:ind w:right="394"/>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73"/>
              <w:jc w:val="right"/>
              <w:rPr>
                <w:rFonts w:ascii="Arial" w:hAnsi="Arial" w:cs="Arial" w:eastAsia="Arial" w:hint="default"/>
                <w:sz w:val="18"/>
                <w:szCs w:val="18"/>
              </w:rPr>
            </w:pPr>
            <w:r>
              <w:rPr>
                <w:rFonts w:ascii="Arial"/>
                <w:spacing w:val="-1"/>
                <w:sz w:val="18"/>
              </w:rPr>
              <w:t>148,670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458" w:right="0"/>
              <w:jc w:val="left"/>
              <w:rPr>
                <w:rFonts w:ascii="Arial" w:hAnsi="Arial" w:cs="Arial" w:eastAsia="Arial" w:hint="default"/>
                <w:sz w:val="18"/>
                <w:szCs w:val="18"/>
              </w:rPr>
            </w:pPr>
            <w:r>
              <w:rPr>
                <w:rFonts w:ascii="Arial"/>
                <w:sz w:val="18"/>
              </w:rPr>
              <w:t>1,162</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18"/>
              <w:jc w:val="right"/>
              <w:rPr>
                <w:rFonts w:ascii="Arial" w:hAnsi="Arial" w:cs="Arial" w:eastAsia="Arial" w:hint="default"/>
                <w:sz w:val="18"/>
                <w:szCs w:val="18"/>
              </w:rPr>
            </w:pPr>
            <w:r>
              <w:rPr>
                <w:rFonts w:ascii="Arial"/>
                <w:spacing w:val="-1"/>
                <w:sz w:val="18"/>
              </w:rPr>
              <w:t>48,196</w:t>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14"/>
              <w:jc w:val="right"/>
              <w:rPr>
                <w:rFonts w:ascii="Arial" w:hAnsi="Arial" w:cs="Arial" w:eastAsia="Arial" w:hint="default"/>
                <w:sz w:val="18"/>
                <w:szCs w:val="18"/>
              </w:rPr>
            </w:pPr>
            <w:r>
              <w:rPr>
                <w:rFonts w:ascii="Arial"/>
                <w:spacing w:val="-1"/>
                <w:sz w:val="18"/>
              </w:rPr>
              <w:t>49,358</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336"/>
              <w:jc w:val="right"/>
              <w:rPr>
                <w:rFonts w:ascii="Arial" w:hAnsi="Arial" w:cs="Arial" w:eastAsia="Arial" w:hint="default"/>
                <w:sz w:val="18"/>
                <w:szCs w:val="18"/>
              </w:rPr>
            </w:pPr>
            <w:r>
              <w:rPr>
                <w:rFonts w:ascii="Arial"/>
                <w:w w:val="95"/>
                <w:sz w:val="18"/>
              </w:rPr>
              <w:t>33%</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09" w:lineRule="exact"/>
              <w:ind w:left="1024" w:right="0" w:hanging="360"/>
              <w:jc w:val="left"/>
              <w:rPr>
                <w:rFonts w:ascii="宋体" w:hAnsi="宋体" w:cs="宋体" w:eastAsia="宋体" w:hint="default"/>
                <w:sz w:val="18"/>
                <w:szCs w:val="18"/>
              </w:rPr>
            </w:pPr>
            <w:r>
              <w:rPr>
                <w:rFonts w:ascii="宋体" w:hAnsi="宋体" w:cs="宋体" w:eastAsia="宋体" w:hint="default"/>
                <w:sz w:val="18"/>
                <w:szCs w:val="18"/>
              </w:rPr>
              <w:t>基坑支护施工完毕</w:t>
            </w:r>
          </w:p>
          <w:p>
            <w:pPr>
              <w:pStyle w:val="TableParagraph"/>
              <w:spacing w:line="240" w:lineRule="auto"/>
              <w:ind w:left="1024" w:right="0"/>
              <w:jc w:val="left"/>
              <w:rPr>
                <w:rFonts w:ascii="宋体" w:hAnsi="宋体" w:cs="宋体" w:eastAsia="宋体" w:hint="default"/>
                <w:sz w:val="18"/>
                <w:szCs w:val="18"/>
              </w:rPr>
            </w:pPr>
            <w:r>
              <w:rPr>
                <w:rFonts w:ascii="宋体" w:hAnsi="宋体" w:cs="宋体" w:eastAsia="宋体" w:hint="default"/>
                <w:sz w:val="18"/>
                <w:szCs w:val="18"/>
              </w:rPr>
              <w:t>土方施工开始</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359"/>
              <w:jc w:val="center"/>
              <w:rPr>
                <w:rFonts w:ascii="宋体" w:hAnsi="宋体" w:cs="宋体" w:eastAsia="宋体" w:hint="default"/>
                <w:sz w:val="18"/>
                <w:szCs w:val="18"/>
              </w:rPr>
            </w:pPr>
            <w:r>
              <w:rPr>
                <w:rFonts w:ascii="宋体" w:hAnsi="宋体" w:cs="宋体" w:eastAsia="宋体" w:hint="default"/>
                <w:sz w:val="18"/>
                <w:szCs w:val="18"/>
              </w:rPr>
              <w:t>汕头苏宁电器</w:t>
            </w:r>
          </w:p>
          <w:p>
            <w:pPr>
              <w:pStyle w:val="TableParagraph"/>
              <w:spacing w:line="240" w:lineRule="auto"/>
              <w:ind w:right="394"/>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69,622</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18"/>
                <w:szCs w:val="18"/>
              </w:rPr>
            </w:pPr>
            <w:r>
              <w:rPr>
                <w:rFonts w:ascii="Arial"/>
                <w:spacing w:val="-1"/>
                <w:sz w:val="18"/>
              </w:rPr>
              <w:t>44,893</w:t>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44,893</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6"/>
              <w:jc w:val="right"/>
              <w:rPr>
                <w:rFonts w:ascii="Arial" w:hAnsi="Arial" w:cs="Arial" w:eastAsia="Arial" w:hint="default"/>
                <w:sz w:val="18"/>
                <w:szCs w:val="18"/>
              </w:rPr>
            </w:pPr>
            <w:r>
              <w:rPr>
                <w:rFonts w:ascii="Arial"/>
                <w:w w:val="95"/>
                <w:sz w:val="18"/>
              </w:rPr>
              <w:t>64%</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195" w:lineRule="exact"/>
              <w:ind w:left="878" w:right="0" w:hanging="214"/>
              <w:jc w:val="left"/>
              <w:rPr>
                <w:rFonts w:ascii="宋体" w:hAnsi="宋体" w:cs="宋体" w:eastAsia="宋体" w:hint="default"/>
                <w:sz w:val="18"/>
                <w:szCs w:val="18"/>
              </w:rPr>
            </w:pPr>
            <w:r>
              <w:rPr>
                <w:rFonts w:ascii="宋体" w:hAnsi="宋体" w:cs="宋体" w:eastAsia="宋体" w:hint="default"/>
                <w:sz w:val="18"/>
                <w:szCs w:val="18"/>
              </w:rPr>
              <w:t>总包合同尚未签订</w:t>
            </w: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桩基施工进行中</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青岛物流</w:t>
            </w: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60,570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w w:val="95"/>
                <w:sz w:val="18"/>
              </w:rPr>
              <w:t>3,349</w:t>
            </w:r>
            <w:r>
              <w:rPr>
                <w:rFonts w:ascii="Arial"/>
                <w:sz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spacing w:val="-1"/>
                <w:sz w:val="18"/>
              </w:rPr>
              <w:t>39,665</w:t>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18"/>
                <w:szCs w:val="18"/>
              </w:rPr>
            </w:pPr>
            <w:r>
              <w:rPr>
                <w:rFonts w:ascii="Arial"/>
                <w:spacing w:val="-1"/>
                <w:sz w:val="18"/>
              </w:rPr>
              <w:t>43,014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6"/>
              <w:jc w:val="right"/>
              <w:rPr>
                <w:rFonts w:ascii="Arial" w:hAnsi="Arial" w:cs="Arial" w:eastAsia="Arial" w:hint="default"/>
                <w:sz w:val="18"/>
                <w:szCs w:val="18"/>
              </w:rPr>
            </w:pPr>
            <w:r>
              <w:rPr>
                <w:rFonts w:ascii="Arial"/>
                <w:w w:val="95"/>
                <w:sz w:val="18"/>
              </w:rPr>
              <w:t>71%</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195" w:lineRule="exact"/>
              <w:ind w:left="518" w:right="0"/>
              <w:jc w:val="left"/>
              <w:rPr>
                <w:rFonts w:ascii="宋体" w:hAnsi="宋体" w:cs="宋体" w:eastAsia="宋体" w:hint="default"/>
                <w:sz w:val="18"/>
                <w:szCs w:val="18"/>
              </w:rPr>
            </w:pPr>
            <w:r>
              <w:rPr>
                <w:rFonts w:ascii="宋体" w:hAnsi="宋体" w:cs="宋体" w:eastAsia="宋体" w:hint="default"/>
                <w:sz w:val="18"/>
                <w:szCs w:val="18"/>
              </w:rPr>
              <w:t>钢结构开始进场吊装</w:t>
            </w: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土建即将封顶</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8"/>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合肥物流</w:t>
            </w: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193,558</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spacing w:val="-1"/>
                <w:sz w:val="18"/>
              </w:rPr>
              <w:t>29,397</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129,962</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(125,160)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34,199</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7"/>
              <w:jc w:val="right"/>
              <w:rPr>
                <w:rFonts w:ascii="Arial" w:hAnsi="Arial" w:cs="Arial" w:eastAsia="Arial" w:hint="default"/>
                <w:sz w:val="18"/>
                <w:szCs w:val="18"/>
              </w:rPr>
            </w:pPr>
            <w:r>
              <w:rPr>
                <w:rFonts w:ascii="Arial"/>
                <w:w w:val="95"/>
                <w:sz w:val="18"/>
              </w:rPr>
              <w:t>82%</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179"/>
              <w:jc w:val="center"/>
              <w:rPr>
                <w:rFonts w:ascii="宋体" w:hAnsi="宋体" w:cs="宋体" w:eastAsia="宋体" w:hint="default"/>
                <w:sz w:val="18"/>
                <w:szCs w:val="18"/>
              </w:rPr>
            </w:pPr>
            <w:r>
              <w:rPr>
                <w:rFonts w:ascii="宋体" w:hAnsi="宋体" w:cs="宋体" w:eastAsia="宋体" w:hint="default"/>
                <w:sz w:val="18"/>
                <w:szCs w:val="18"/>
              </w:rPr>
              <w:t>大庆苏宁购置店</w:t>
            </w:r>
          </w:p>
          <w:p>
            <w:pPr>
              <w:pStyle w:val="TableParagraph"/>
              <w:spacing w:line="240" w:lineRule="auto"/>
              <w:ind w:right="157"/>
              <w:jc w:val="center"/>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会战大街</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35,500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18"/>
                <w:szCs w:val="18"/>
              </w:rPr>
            </w:pPr>
            <w:r>
              <w:rPr>
                <w:rFonts w:ascii="Arial"/>
                <w:spacing w:val="-1"/>
                <w:sz w:val="18"/>
              </w:rPr>
              <w:t>32,499</w:t>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32,499</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6"/>
              <w:jc w:val="right"/>
              <w:rPr>
                <w:rFonts w:ascii="Arial" w:hAnsi="Arial" w:cs="Arial" w:eastAsia="Arial" w:hint="default"/>
                <w:sz w:val="18"/>
                <w:szCs w:val="18"/>
              </w:rPr>
            </w:pPr>
            <w:r>
              <w:rPr>
                <w:rFonts w:ascii="Arial"/>
                <w:w w:val="95"/>
                <w:sz w:val="18"/>
              </w:rPr>
              <w:t>92%</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装修工程进行中</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9"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359"/>
              <w:jc w:val="center"/>
              <w:rPr>
                <w:rFonts w:ascii="宋体" w:hAnsi="宋体" w:cs="宋体" w:eastAsia="宋体" w:hint="default"/>
                <w:sz w:val="18"/>
                <w:szCs w:val="18"/>
              </w:rPr>
            </w:pPr>
            <w:r>
              <w:rPr>
                <w:rFonts w:ascii="宋体" w:hAnsi="宋体" w:cs="宋体" w:eastAsia="宋体" w:hint="default"/>
                <w:sz w:val="18"/>
                <w:szCs w:val="18"/>
              </w:rPr>
              <w:t>芜湖苏宁电器</w:t>
            </w:r>
          </w:p>
          <w:p>
            <w:pPr>
              <w:pStyle w:val="TableParagraph"/>
              <w:spacing w:line="240" w:lineRule="auto"/>
              <w:ind w:right="366"/>
              <w:jc w:val="center"/>
              <w:rPr>
                <w:rFonts w:ascii="宋体" w:hAnsi="宋体" w:cs="宋体" w:eastAsia="宋体" w:hint="default"/>
                <w:sz w:val="18"/>
                <w:szCs w:val="18"/>
              </w:rPr>
            </w:pPr>
            <w:r>
              <w:rPr>
                <w:rFonts w:ascii="宋体" w:hAnsi="宋体" w:cs="宋体" w:eastAsia="宋体" w:hint="default"/>
                <w:sz w:val="18"/>
                <w:szCs w:val="18"/>
              </w:rPr>
              <w:t>广场项目</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39,836</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5"/>
              <w:jc w:val="right"/>
              <w:rPr>
                <w:rFonts w:ascii="Arial" w:hAnsi="Arial" w:cs="Arial" w:eastAsia="Arial" w:hint="default"/>
                <w:sz w:val="18"/>
                <w:szCs w:val="18"/>
              </w:rPr>
            </w:pPr>
            <w:r>
              <w:rPr>
                <w:rFonts w:ascii="Arial"/>
                <w:w w:val="99"/>
                <w:sz w:val="18"/>
              </w:rPr>
              <w:t>-</w:t>
            </w:r>
            <w:r>
              <w:rPr>
                <w:rFonts w:ascii="Arial"/>
                <w:sz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18"/>
                <w:szCs w:val="18"/>
              </w:rPr>
            </w:pPr>
            <w:r>
              <w:rPr>
                <w:rFonts w:ascii="Arial"/>
                <w:spacing w:val="-1"/>
                <w:sz w:val="18"/>
              </w:rPr>
              <w:t>16,355</w:t>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16,355</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6"/>
              <w:jc w:val="right"/>
              <w:rPr>
                <w:rFonts w:ascii="Arial" w:hAnsi="Arial" w:cs="Arial" w:eastAsia="Arial" w:hint="default"/>
                <w:sz w:val="18"/>
                <w:szCs w:val="18"/>
              </w:rPr>
            </w:pPr>
            <w:r>
              <w:rPr>
                <w:rFonts w:ascii="Arial"/>
                <w:w w:val="95"/>
                <w:sz w:val="18"/>
              </w:rPr>
              <w:t>41%</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195" w:lineRule="exact"/>
              <w:ind w:left="878" w:right="0" w:hanging="214"/>
              <w:jc w:val="left"/>
              <w:rPr>
                <w:rFonts w:ascii="宋体" w:hAnsi="宋体" w:cs="宋体" w:eastAsia="宋体" w:hint="default"/>
                <w:sz w:val="18"/>
                <w:szCs w:val="18"/>
              </w:rPr>
            </w:pPr>
            <w:r>
              <w:rPr>
                <w:rFonts w:ascii="宋体" w:hAnsi="宋体" w:cs="宋体" w:eastAsia="宋体" w:hint="default"/>
                <w:sz w:val="18"/>
                <w:szCs w:val="18"/>
              </w:rPr>
              <w:t>总包合同尚未签订</w:t>
            </w: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桩基施工进行中</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江苏物流中心</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250,000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w w:val="95"/>
                <w:sz w:val="18"/>
              </w:rPr>
              <w:t>8,698</w:t>
            </w:r>
            <w:r>
              <w:rPr>
                <w:rFonts w:ascii="Arial"/>
                <w:sz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w w:val="95"/>
                <w:sz w:val="18"/>
              </w:rPr>
              <w:t>3,546</w:t>
            </w:r>
            <w:r>
              <w:rPr>
                <w:rFonts w:ascii="Arial"/>
                <w:sz w:val="18"/>
              </w:rPr>
            </w:r>
          </w:p>
        </w:tc>
        <w:tc>
          <w:tcPr>
            <w:tcW w:w="1084"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spacing w:val="-1"/>
                <w:sz w:val="18"/>
              </w:rPr>
              <w:t>12,244</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Arial" w:hAnsi="Arial" w:cs="Arial" w:eastAsia="Arial" w:hint="default"/>
                <w:sz w:val="18"/>
                <w:szCs w:val="18"/>
              </w:rPr>
            </w:pPr>
            <w:r>
              <w:rPr>
                <w:rFonts w:ascii="Arial"/>
                <w:w w:val="95"/>
                <w:sz w:val="18"/>
              </w:rPr>
              <w:t>5%</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195" w:lineRule="exact"/>
              <w:ind w:left="878" w:right="0" w:hanging="540"/>
              <w:jc w:val="left"/>
              <w:rPr>
                <w:rFonts w:ascii="宋体" w:hAnsi="宋体" w:cs="宋体" w:eastAsia="宋体" w:hint="default"/>
                <w:sz w:val="18"/>
                <w:szCs w:val="18"/>
              </w:rPr>
            </w:pPr>
            <w:r>
              <w:rPr>
                <w:rFonts w:ascii="宋体" w:hAnsi="宋体" w:cs="宋体" w:eastAsia="宋体" w:hint="default"/>
                <w:sz w:val="18"/>
                <w:szCs w:val="18"/>
              </w:rPr>
              <w:t>配送、数据中心已完工</w:t>
            </w: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高架库即将完工</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成都物流</w:t>
            </w:r>
          </w:p>
          <w:p>
            <w:pPr>
              <w:pStyle w:val="TableParagraph"/>
              <w:spacing w:line="235" w:lineRule="exact"/>
              <w:ind w:left="321"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179,105</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spacing w:val="-1"/>
                <w:sz w:val="18"/>
              </w:rPr>
              <w:t>64,572</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spacing w:val="-1"/>
                <w:sz w:val="18"/>
              </w:rPr>
              <w:t>108,452</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Arial" w:hAnsi="Arial" w:cs="Arial" w:eastAsia="Arial" w:hint="default"/>
                <w:sz w:val="18"/>
                <w:szCs w:val="18"/>
              </w:rPr>
            </w:pPr>
            <w:r>
              <w:rPr>
                <w:rFonts w:ascii="Arial"/>
                <w:spacing w:val="-1"/>
                <w:sz w:val="18"/>
              </w:rPr>
              <w:t>(166,943)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5"/>
                <w:sz w:val="18"/>
              </w:rPr>
              <w:t>6,081</w:t>
            </w:r>
            <w:r>
              <w:rPr>
                <w:rFonts w:ascii="Arial"/>
                <w:sz w:val="18"/>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Arial" w:hAnsi="Arial" w:cs="Arial" w:eastAsia="Arial" w:hint="default"/>
                <w:sz w:val="18"/>
                <w:szCs w:val="18"/>
              </w:rPr>
            </w:pPr>
            <w:r>
              <w:rPr>
                <w:rFonts w:ascii="Arial"/>
                <w:w w:val="95"/>
                <w:sz w:val="18"/>
              </w:rPr>
              <w:t>97%</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53" w:hRule="exact"/>
        </w:trPr>
        <w:tc>
          <w:tcPr>
            <w:tcW w:w="87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天津物流</w:t>
            </w: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0"/>
              <w:jc w:val="right"/>
              <w:rPr>
                <w:rFonts w:ascii="Arial" w:hAnsi="Arial" w:cs="Arial" w:eastAsia="Arial" w:hint="default"/>
                <w:sz w:val="18"/>
                <w:szCs w:val="18"/>
              </w:rPr>
            </w:pPr>
            <w:r>
              <w:rPr>
                <w:rFonts w:ascii="Arial"/>
                <w:spacing w:val="-1"/>
                <w:sz w:val="18"/>
              </w:rPr>
              <w:t>173,000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spacing w:val="-1"/>
                <w:sz w:val="18"/>
              </w:rPr>
              <w:t>48,997</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spacing w:val="-2"/>
                <w:w w:val="95"/>
                <w:sz w:val="18"/>
              </w:rPr>
              <w:t>119,331</w:t>
            </w:r>
            <w:r>
              <w:rPr>
                <w:rFonts w:ascii="Arial"/>
                <w:spacing w:val="-2"/>
                <w:sz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(163,656)</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5"/>
                <w:sz w:val="18"/>
              </w:rPr>
              <w:t>4,672</w:t>
            </w:r>
            <w:r>
              <w:rPr>
                <w:rFonts w:ascii="Arial"/>
                <w:sz w:val="18"/>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Arial" w:hAnsi="Arial" w:cs="Arial" w:eastAsia="Arial" w:hint="default"/>
                <w:sz w:val="18"/>
                <w:szCs w:val="18"/>
              </w:rPr>
            </w:pPr>
            <w:r>
              <w:rPr>
                <w:rFonts w:ascii="Arial"/>
                <w:w w:val="95"/>
                <w:sz w:val="18"/>
              </w:rPr>
              <w:t>97%</w:t>
            </w:r>
            <w:r>
              <w:rPr>
                <w:rFonts w:ascii="Arial"/>
                <w:sz w:val="18"/>
              </w:rPr>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18"/>
                <w:szCs w:val="18"/>
              </w:rPr>
            </w:pPr>
            <w:r>
              <w:rPr>
                <w:rFonts w:ascii="Arial"/>
                <w:w w:val="99"/>
                <w:sz w:val="18"/>
              </w:rPr>
              <w:t>-</w:t>
            </w:r>
            <w:r>
              <w:rPr>
                <w:rFonts w:ascii="Arial"/>
                <w:sz w:val="18"/>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240" w:lineRule="auto"/>
        <w:jc w:val="right"/>
        <w:rPr>
          <w:rFonts w:ascii="宋体" w:hAnsi="宋体" w:cs="宋体" w:eastAsia="宋体" w:hint="default"/>
          <w:sz w:val="18"/>
          <w:szCs w:val="18"/>
        </w:rPr>
        <w:sectPr>
          <w:pgSz w:w="16850" w:h="11910" w:orient="landscape"/>
          <w:pgMar w:header="1474" w:footer="954" w:top="2960" w:bottom="1140" w:left="7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877"/>
        <w:gridCol w:w="1409"/>
        <w:gridCol w:w="974"/>
        <w:gridCol w:w="1037"/>
        <w:gridCol w:w="986"/>
        <w:gridCol w:w="1101"/>
        <w:gridCol w:w="1026"/>
        <w:gridCol w:w="1508"/>
        <w:gridCol w:w="2129"/>
        <w:gridCol w:w="898"/>
        <w:gridCol w:w="1094"/>
        <w:gridCol w:w="1061"/>
        <w:gridCol w:w="1138"/>
      </w:tblGrid>
      <w:tr>
        <w:trPr>
          <w:trHeight w:val="682"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420"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112"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86" w:type="dxa"/>
            <w:tcBorders>
              <w:top w:val="single" w:sz="6" w:space="0" w:color="000000"/>
              <w:left w:val="nil" w:sz="6" w:space="0" w:color="auto"/>
              <w:bottom w:val="nil" w:sz="6" w:space="0" w:color="auto"/>
              <w:right w:val="nil" w:sz="6" w:space="0" w:color="auto"/>
            </w:tcBorders>
          </w:tcPr>
          <w:p>
            <w:pPr/>
          </w:p>
        </w:tc>
        <w:tc>
          <w:tcPr>
            <w:tcW w:w="1101" w:type="dxa"/>
            <w:tcBorders>
              <w:top w:val="single" w:sz="6" w:space="0" w:color="000000"/>
              <w:left w:val="nil" w:sz="6" w:space="0" w:color="auto"/>
              <w:bottom w:val="nil" w:sz="6" w:space="0" w:color="auto"/>
              <w:right w:val="nil" w:sz="6" w:space="0" w:color="auto"/>
            </w:tcBorders>
          </w:tcPr>
          <w:p>
            <w:pPr/>
          </w:p>
        </w:tc>
        <w:tc>
          <w:tcPr>
            <w:tcW w:w="1026" w:type="dxa"/>
            <w:tcBorders>
              <w:top w:val="single" w:sz="6" w:space="0" w:color="000000"/>
              <w:left w:val="nil" w:sz="6" w:space="0" w:color="auto"/>
              <w:bottom w:val="nil" w:sz="6" w:space="0" w:color="auto"/>
              <w:right w:val="nil" w:sz="6" w:space="0" w:color="auto"/>
            </w:tcBorders>
          </w:tcPr>
          <w:p>
            <w:pPr/>
          </w:p>
        </w:tc>
        <w:tc>
          <w:tcPr>
            <w:tcW w:w="1508" w:type="dxa"/>
            <w:tcBorders>
              <w:top w:val="single" w:sz="6" w:space="0" w:color="000000"/>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nil" w:sz="6" w:space="0" w:color="auto"/>
              <w:right w:val="nil" w:sz="6" w:space="0" w:color="auto"/>
            </w:tcBorders>
          </w:tcPr>
          <w:p>
            <w:pPr/>
          </w:p>
        </w:tc>
        <w:tc>
          <w:tcPr>
            <w:tcW w:w="898" w:type="dxa"/>
            <w:tcBorders>
              <w:top w:val="single" w:sz="6" w:space="0" w:color="000000"/>
              <w:left w:val="nil" w:sz="6" w:space="0" w:color="auto"/>
              <w:bottom w:val="nil" w:sz="6" w:space="0" w:color="auto"/>
              <w:right w:val="nil" w:sz="6" w:space="0" w:color="auto"/>
            </w:tcBorders>
          </w:tcPr>
          <w:p>
            <w:pPr/>
          </w:p>
        </w:tc>
        <w:tc>
          <w:tcPr>
            <w:tcW w:w="1094" w:type="dxa"/>
            <w:tcBorders>
              <w:top w:val="single" w:sz="6" w:space="0" w:color="000000"/>
              <w:left w:val="nil" w:sz="6" w:space="0" w:color="auto"/>
              <w:bottom w:val="nil" w:sz="6" w:space="0" w:color="auto"/>
              <w:right w:val="nil" w:sz="6" w:space="0" w:color="auto"/>
            </w:tcBorders>
          </w:tcPr>
          <w:p>
            <w:pPr/>
          </w:p>
        </w:tc>
        <w:tc>
          <w:tcPr>
            <w:tcW w:w="1061" w:type="dxa"/>
            <w:tcBorders>
              <w:top w:val="single" w:sz="6" w:space="0" w:color="000000"/>
              <w:left w:val="nil" w:sz="6" w:space="0" w:color="auto"/>
              <w:bottom w:val="nil" w:sz="6" w:space="0" w:color="auto"/>
              <w:right w:val="nil" w:sz="6" w:space="0" w:color="auto"/>
            </w:tcBorders>
          </w:tcPr>
          <w:p>
            <w:pPr/>
          </w:p>
        </w:tc>
        <w:tc>
          <w:tcPr>
            <w:tcW w:w="1138" w:type="dxa"/>
            <w:tcBorders>
              <w:top w:val="single" w:sz="6" w:space="0" w:color="000000"/>
              <w:left w:val="nil" w:sz="6" w:space="0" w:color="auto"/>
              <w:bottom w:val="nil" w:sz="6" w:space="0" w:color="auto"/>
              <w:right w:val="nil" w:sz="6" w:space="0" w:color="auto"/>
            </w:tcBorders>
          </w:tcPr>
          <w:p>
            <w:pPr/>
          </w:p>
        </w:tc>
      </w:tr>
      <w:tr>
        <w:trPr>
          <w:trHeight w:val="589"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Arial" w:hAnsi="Arial" w:cs="Arial" w:eastAsia="Arial" w:hint="default"/>
                <w:sz w:val="24"/>
                <w:szCs w:val="24"/>
              </w:rPr>
            </w:pPr>
            <w:r>
              <w:rPr>
                <w:rFonts w:ascii="Arial"/>
                <w:sz w:val="24"/>
              </w:rPr>
              <w:t>(12)</w:t>
            </w:r>
          </w:p>
        </w:tc>
        <w:tc>
          <w:tcPr>
            <w:tcW w:w="23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12" w:right="0"/>
              <w:jc w:val="left"/>
              <w:rPr>
                <w:rFonts w:ascii="Arial" w:hAnsi="Arial" w:cs="Arial" w:eastAsia="Arial" w:hint="default"/>
                <w:sz w:val="24"/>
                <w:szCs w:val="24"/>
              </w:rPr>
            </w:pPr>
            <w:r>
              <w:rPr>
                <w:rFonts w:ascii="宋体" w:hAnsi="宋体" w:cs="宋体" w:eastAsia="宋体" w:hint="default"/>
                <w:b/>
                <w:bCs/>
                <w:sz w:val="24"/>
                <w:szCs w:val="24"/>
              </w:rPr>
              <w:t>在建工程</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37"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586"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(a)</w:t>
            </w:r>
          </w:p>
        </w:tc>
        <w:tc>
          <w:tcPr>
            <w:tcW w:w="342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4"/>
              <w:ind w:left="112" w:right="0"/>
              <w:jc w:val="left"/>
              <w:rPr>
                <w:rFonts w:ascii="Arial" w:hAnsi="Arial" w:cs="Arial" w:eastAsia="Arial" w:hint="default"/>
                <w:sz w:val="24"/>
                <w:szCs w:val="24"/>
              </w:rPr>
            </w:pPr>
            <w:r>
              <w:rPr>
                <w:rFonts w:ascii="宋体" w:hAnsi="宋体" w:cs="宋体" w:eastAsia="宋体" w:hint="default"/>
                <w:b/>
                <w:bCs/>
                <w:sz w:val="24"/>
                <w:szCs w:val="24"/>
              </w:rPr>
              <w:t>重大在建工程项目变动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86"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821"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3"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037" w:type="dxa"/>
            <w:tcBorders>
              <w:top w:val="nil" w:sz="6" w:space="0" w:color="auto"/>
              <w:left w:val="nil" w:sz="6" w:space="0" w:color="auto"/>
              <w:bottom w:val="nil" w:sz="6" w:space="0" w:color="auto"/>
              <w:right w:val="nil" w:sz="6" w:space="0" w:color="auto"/>
            </w:tcBorders>
          </w:tcPr>
          <w:p>
            <w:pPr>
              <w:pStyle w:val="TableParagraph"/>
              <w:spacing w:line="242" w:lineRule="exact" w:before="90"/>
              <w:ind w:left="31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4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1" w:right="138"/>
              <w:jc w:val="left"/>
              <w:rPr>
                <w:rFonts w:ascii="宋体" w:hAnsi="宋体" w:cs="宋体" w:eastAsia="宋体" w:hint="default"/>
                <w:sz w:val="18"/>
                <w:szCs w:val="18"/>
              </w:rPr>
            </w:pPr>
            <w:r>
              <w:rPr>
                <w:rFonts w:ascii="宋体" w:hAnsi="宋体" w:cs="宋体" w:eastAsia="宋体" w:hint="default"/>
                <w:sz w:val="18"/>
                <w:szCs w:val="18"/>
              </w:rPr>
              <w:t>本年转入 固定资产</w:t>
            </w:r>
          </w:p>
        </w:tc>
        <w:tc>
          <w:tcPr>
            <w:tcW w:w="1026" w:type="dxa"/>
            <w:tcBorders>
              <w:top w:val="nil" w:sz="6" w:space="0" w:color="auto"/>
              <w:left w:val="nil" w:sz="6" w:space="0" w:color="auto"/>
              <w:bottom w:val="nil" w:sz="6" w:space="0" w:color="auto"/>
              <w:right w:val="nil" w:sz="6" w:space="0" w:color="auto"/>
            </w:tcBorders>
          </w:tcPr>
          <w:p>
            <w:pPr>
              <w:pStyle w:val="TableParagraph"/>
              <w:spacing w:line="242" w:lineRule="exact" w:before="90"/>
              <w:ind w:left="38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7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8" w:right="516"/>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3"/>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898" w:type="dxa"/>
            <w:tcBorders>
              <w:top w:val="nil" w:sz="6" w:space="0" w:color="auto"/>
              <w:left w:val="nil" w:sz="6" w:space="0" w:color="auto"/>
              <w:bottom w:val="nil" w:sz="6" w:space="0" w:color="auto"/>
              <w:right w:val="nil" w:sz="6" w:space="0" w:color="auto"/>
            </w:tcBorders>
          </w:tcPr>
          <w:p>
            <w:pPr>
              <w:pStyle w:val="TableParagraph"/>
              <w:spacing w:line="237" w:lineRule="auto" w:before="92"/>
              <w:ind w:left="103" w:right="72"/>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8" w:right="24" w:hanging="111"/>
              <w:jc w:val="left"/>
              <w:rPr>
                <w:rFonts w:ascii="宋体" w:hAnsi="宋体" w:cs="宋体" w:eastAsia="宋体" w:hint="default"/>
                <w:sz w:val="18"/>
                <w:szCs w:val="18"/>
              </w:rPr>
            </w:pPr>
            <w:r>
              <w:rPr>
                <w:rFonts w:ascii="宋体" w:hAnsi="宋体" w:cs="宋体" w:eastAsia="宋体" w:hint="default"/>
                <w:spacing w:val="-12"/>
                <w:sz w:val="18"/>
                <w:szCs w:val="18"/>
              </w:rPr>
              <w:t>其中：本年借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款费用资本</w:t>
            </w:r>
          </w:p>
          <w:p>
            <w:pPr>
              <w:pStyle w:val="TableParagraph"/>
              <w:spacing w:line="233" w:lineRule="exact"/>
              <w:ind w:left="528" w:right="0"/>
              <w:jc w:val="left"/>
              <w:rPr>
                <w:rFonts w:ascii="宋体" w:hAnsi="宋体" w:cs="宋体" w:eastAsia="宋体" w:hint="default"/>
                <w:sz w:val="18"/>
                <w:szCs w:val="18"/>
              </w:rPr>
            </w:pPr>
            <w:r>
              <w:rPr>
                <w:rFonts w:ascii="宋体" w:hAnsi="宋体" w:cs="宋体" w:eastAsia="宋体" w:hint="default"/>
                <w:sz w:val="18"/>
                <w:szCs w:val="18"/>
              </w:rPr>
              <w:t>化金额</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1" w:right="197"/>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3" w:lineRule="exact"/>
              <w:ind w:left="501"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9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81"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06" w:lineRule="exact"/>
              <w:ind w:left="-42" w:right="0"/>
              <w:jc w:val="left"/>
              <w:rPr>
                <w:rFonts w:ascii="宋体" w:hAnsi="宋体" w:cs="宋体" w:eastAsia="宋体" w:hint="default"/>
                <w:sz w:val="18"/>
                <w:szCs w:val="18"/>
              </w:rPr>
            </w:pPr>
            <w:r>
              <w:rPr>
                <w:rFonts w:ascii="宋体" w:hAnsi="宋体" w:cs="宋体" w:eastAsia="宋体" w:hint="default"/>
                <w:sz w:val="18"/>
                <w:szCs w:val="18"/>
              </w:rPr>
              <w:t>刘家窑芳群公寓</w:t>
            </w:r>
          </w:p>
          <w:p>
            <w:pPr>
              <w:pStyle w:val="TableParagraph"/>
              <w:spacing w:line="234" w:lineRule="exact"/>
              <w:ind w:left="321" w:right="0"/>
              <w:jc w:val="left"/>
              <w:rPr>
                <w:rFonts w:ascii="宋体" w:hAnsi="宋体" w:cs="宋体" w:eastAsia="宋体" w:hint="default"/>
                <w:sz w:val="18"/>
                <w:szCs w:val="18"/>
              </w:rPr>
            </w:pPr>
            <w:r>
              <w:rPr>
                <w:rFonts w:ascii="宋体" w:hAnsi="宋体" w:cs="宋体" w:eastAsia="宋体" w:hint="default"/>
                <w:sz w:val="18"/>
                <w:szCs w:val="18"/>
              </w:rPr>
              <w:t>商场物业</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61" w:right="0"/>
              <w:jc w:val="center"/>
              <w:rPr>
                <w:rFonts w:ascii="Arial" w:hAnsi="Arial" w:cs="Arial" w:eastAsia="Arial" w:hint="default"/>
                <w:sz w:val="18"/>
                <w:szCs w:val="18"/>
              </w:rPr>
            </w:pPr>
            <w:r>
              <w:rPr>
                <w:rFonts w:ascii="Arial"/>
                <w:sz w:val="18"/>
              </w:rPr>
              <w:t>100,965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67" w:right="0"/>
              <w:jc w:val="left"/>
              <w:rPr>
                <w:rFonts w:ascii="Arial" w:hAnsi="Arial" w:cs="Arial" w:eastAsia="Arial" w:hint="default"/>
                <w:sz w:val="18"/>
                <w:szCs w:val="18"/>
              </w:rPr>
            </w:pPr>
            <w:r>
              <w:rPr>
                <w:rFonts w:ascii="Arial"/>
                <w:sz w:val="18"/>
              </w:rPr>
              <w:t>99,733</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76"/>
              <w:jc w:val="right"/>
              <w:rPr>
                <w:rFonts w:ascii="Arial" w:hAnsi="Arial" w:cs="Arial" w:eastAsia="Arial" w:hint="default"/>
                <w:sz w:val="18"/>
                <w:szCs w:val="18"/>
              </w:rPr>
            </w:pPr>
            <w:r>
              <w:rPr>
                <w:rFonts w:ascii="Arial"/>
                <w:spacing w:val="-1"/>
                <w:sz w:val="18"/>
              </w:rPr>
              <w:t>(98,501)</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9"/>
              <w:jc w:val="right"/>
              <w:rPr>
                <w:rFonts w:ascii="Arial" w:hAnsi="Arial" w:cs="Arial" w:eastAsia="Arial" w:hint="default"/>
                <w:sz w:val="18"/>
                <w:szCs w:val="18"/>
              </w:rPr>
            </w:pPr>
            <w:r>
              <w:rPr>
                <w:rFonts w:ascii="Arial"/>
                <w:w w:val="95"/>
                <w:sz w:val="18"/>
              </w:rPr>
              <w:t>1,232</w:t>
            </w:r>
            <w:r>
              <w:rPr>
                <w:rFonts w:ascii="Arial"/>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09"/>
              <w:jc w:val="right"/>
              <w:rPr>
                <w:rFonts w:ascii="Arial" w:hAnsi="Arial" w:cs="Arial" w:eastAsia="Arial" w:hint="default"/>
                <w:sz w:val="18"/>
                <w:szCs w:val="18"/>
              </w:rPr>
            </w:pPr>
            <w:r>
              <w:rPr>
                <w:rFonts w:ascii="Arial"/>
                <w:w w:val="95"/>
                <w:sz w:val="18"/>
              </w:rPr>
              <w:t>99%</w:t>
            </w:r>
            <w:r>
              <w:rPr>
                <w:rFonts w:ascii="Arial"/>
                <w:sz w:val="18"/>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4" w:lineRule="exact"/>
              <w:ind w:left="-42" w:right="0"/>
              <w:jc w:val="left"/>
              <w:rPr>
                <w:rFonts w:ascii="宋体" w:hAnsi="宋体" w:cs="宋体" w:eastAsia="宋体" w:hint="default"/>
                <w:sz w:val="18"/>
                <w:szCs w:val="18"/>
              </w:rPr>
            </w:pPr>
            <w:r>
              <w:rPr>
                <w:rFonts w:ascii="宋体" w:hAnsi="宋体" w:cs="宋体" w:eastAsia="宋体" w:hint="default"/>
                <w:sz w:val="18"/>
                <w:szCs w:val="18"/>
              </w:rPr>
              <w:t>大同苏宁购置店</w:t>
            </w:r>
          </w:p>
          <w:p>
            <w:pPr>
              <w:pStyle w:val="TableParagraph"/>
              <w:spacing w:line="247" w:lineRule="exact"/>
              <w:ind w:left="98"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金帝商厦</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Arial" w:hAnsi="Arial" w:cs="Arial" w:eastAsia="Arial" w:hint="default"/>
                <w:sz w:val="18"/>
                <w:szCs w:val="18"/>
              </w:rPr>
            </w:pPr>
            <w:r>
              <w:rPr>
                <w:rFonts w:ascii="Arial"/>
                <w:sz w:val="18"/>
              </w:rPr>
              <w:t>183,475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Arial" w:hAnsi="Arial" w:cs="Arial" w:eastAsia="Arial" w:hint="default"/>
                <w:sz w:val="18"/>
                <w:szCs w:val="18"/>
              </w:rPr>
            </w:pPr>
            <w:r>
              <w:rPr>
                <w:rFonts w:ascii="Arial"/>
                <w:sz w:val="18"/>
              </w:rPr>
              <w:t>183,346</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(183,217)</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Arial" w:hAnsi="Arial" w:cs="Arial" w:eastAsia="Arial" w:hint="default"/>
                <w:sz w:val="18"/>
                <w:szCs w:val="18"/>
              </w:rPr>
            </w:pPr>
            <w:r>
              <w:rPr>
                <w:rFonts w:ascii="Arial"/>
                <w:w w:val="95"/>
                <w:sz w:val="18"/>
              </w:rPr>
              <w:t>129</w:t>
            </w:r>
            <w:r>
              <w:rPr>
                <w:rFonts w:ascii="Arial"/>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9"/>
              <w:jc w:val="right"/>
              <w:rPr>
                <w:rFonts w:ascii="Arial" w:hAnsi="Arial" w:cs="Arial" w:eastAsia="Arial" w:hint="default"/>
                <w:sz w:val="18"/>
                <w:szCs w:val="18"/>
              </w:rPr>
            </w:pPr>
            <w:r>
              <w:rPr>
                <w:rFonts w:ascii="Arial"/>
                <w:w w:val="95"/>
                <w:sz w:val="18"/>
              </w:rPr>
              <w:t>99%</w:t>
            </w:r>
            <w:r>
              <w:rPr>
                <w:rFonts w:ascii="Arial"/>
                <w:sz w:val="18"/>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主体工程基本完工</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3" w:lineRule="exact"/>
              <w:ind w:left="-42" w:right="189"/>
              <w:jc w:val="center"/>
              <w:rPr>
                <w:rFonts w:ascii="宋体" w:hAnsi="宋体" w:cs="宋体" w:eastAsia="宋体" w:hint="default"/>
                <w:sz w:val="18"/>
                <w:szCs w:val="18"/>
              </w:rPr>
            </w:pPr>
            <w:r>
              <w:rPr>
                <w:rFonts w:ascii="宋体" w:hAnsi="宋体" w:cs="宋体" w:eastAsia="宋体" w:hint="default"/>
                <w:sz w:val="18"/>
                <w:szCs w:val="18"/>
              </w:rPr>
              <w:t>大连苏宁购置店</w:t>
            </w:r>
          </w:p>
          <w:p>
            <w:pPr>
              <w:pStyle w:val="TableParagraph"/>
              <w:spacing w:line="247" w:lineRule="exact"/>
              <w:ind w:right="165"/>
              <w:jc w:val="center"/>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胜利广场</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Arial" w:hAnsi="Arial" w:cs="Arial" w:eastAsia="Arial" w:hint="default"/>
                <w:sz w:val="18"/>
                <w:szCs w:val="18"/>
              </w:rPr>
            </w:pPr>
            <w:r>
              <w:rPr>
                <w:rFonts w:ascii="Arial"/>
                <w:sz w:val="18"/>
              </w:rPr>
              <w:t>219,527</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Arial" w:hAnsi="Arial" w:cs="Arial" w:eastAsia="Arial" w:hint="default"/>
                <w:sz w:val="18"/>
                <w:szCs w:val="18"/>
              </w:rPr>
            </w:pPr>
            <w:r>
              <w:rPr>
                <w:rFonts w:ascii="Arial"/>
                <w:sz w:val="18"/>
              </w:rPr>
              <w:t>219,527</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7"/>
              <w:jc w:val="right"/>
              <w:rPr>
                <w:rFonts w:ascii="Arial" w:hAnsi="Arial" w:cs="Arial" w:eastAsia="Arial" w:hint="default"/>
                <w:sz w:val="18"/>
                <w:szCs w:val="18"/>
              </w:rPr>
            </w:pPr>
            <w:r>
              <w:rPr>
                <w:rFonts w:ascii="Arial"/>
                <w:spacing w:val="-1"/>
                <w:sz w:val="18"/>
              </w:rPr>
              <w:t>(219,527)</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9"/>
              <w:jc w:val="right"/>
              <w:rPr>
                <w:rFonts w:ascii="Arial" w:hAnsi="Arial" w:cs="Arial" w:eastAsia="Arial" w:hint="default"/>
                <w:sz w:val="18"/>
                <w:szCs w:val="18"/>
              </w:rPr>
            </w:pPr>
            <w:r>
              <w:rPr>
                <w:rFonts w:ascii="Arial"/>
                <w:w w:val="95"/>
                <w:sz w:val="18"/>
              </w:rPr>
              <w:t>100%</w:t>
            </w:r>
            <w:r>
              <w:rPr>
                <w:rFonts w:ascii="Arial"/>
                <w:sz w:val="18"/>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3" w:lineRule="exact"/>
              <w:ind w:left="-42" w:right="0"/>
              <w:jc w:val="left"/>
              <w:rPr>
                <w:rFonts w:ascii="宋体" w:hAnsi="宋体" w:cs="宋体" w:eastAsia="宋体" w:hint="default"/>
                <w:sz w:val="18"/>
                <w:szCs w:val="18"/>
              </w:rPr>
            </w:pPr>
            <w:r>
              <w:rPr>
                <w:rFonts w:ascii="宋体" w:hAnsi="宋体" w:cs="宋体" w:eastAsia="宋体" w:hint="default"/>
                <w:sz w:val="18"/>
                <w:szCs w:val="18"/>
              </w:rPr>
              <w:t>无锡物流</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基地工程</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Arial" w:hAnsi="Arial" w:cs="Arial" w:eastAsia="Arial" w:hint="default"/>
                <w:sz w:val="18"/>
                <w:szCs w:val="18"/>
              </w:rPr>
            </w:pPr>
            <w:r>
              <w:rPr>
                <w:rFonts w:ascii="Arial"/>
                <w:sz w:val="18"/>
              </w:rPr>
              <w:t>121,345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72" w:right="0"/>
              <w:jc w:val="left"/>
              <w:rPr>
                <w:rFonts w:ascii="Arial" w:hAnsi="Arial" w:cs="Arial" w:eastAsia="Arial" w:hint="default"/>
                <w:sz w:val="18"/>
                <w:szCs w:val="18"/>
              </w:rPr>
            </w:pPr>
            <w:r>
              <w:rPr>
                <w:rFonts w:ascii="Arial"/>
                <w:spacing w:val="-3"/>
                <w:sz w:val="18"/>
              </w:rPr>
              <w:t>59,011</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5" w:right="0"/>
              <w:jc w:val="left"/>
              <w:rPr>
                <w:rFonts w:ascii="Arial" w:hAnsi="Arial" w:cs="Arial" w:eastAsia="Arial" w:hint="default"/>
                <w:sz w:val="18"/>
                <w:szCs w:val="18"/>
              </w:rPr>
            </w:pPr>
            <w:r>
              <w:rPr>
                <w:rFonts w:ascii="Arial"/>
                <w:sz w:val="18"/>
              </w:rPr>
              <w:t>62,334</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Arial" w:hAnsi="Arial" w:cs="Arial" w:eastAsia="Arial" w:hint="default"/>
                <w:sz w:val="18"/>
                <w:szCs w:val="18"/>
              </w:rPr>
            </w:pPr>
            <w:r>
              <w:rPr>
                <w:rFonts w:ascii="Arial"/>
                <w:spacing w:val="-1"/>
                <w:sz w:val="18"/>
              </w:rPr>
              <w:t>(121,345)</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10"/>
              <w:jc w:val="right"/>
              <w:rPr>
                <w:rFonts w:ascii="Arial" w:hAnsi="Arial" w:cs="Arial" w:eastAsia="Arial" w:hint="default"/>
                <w:sz w:val="18"/>
                <w:szCs w:val="18"/>
              </w:rPr>
            </w:pPr>
            <w:r>
              <w:rPr>
                <w:rFonts w:ascii="Arial"/>
                <w:w w:val="95"/>
                <w:sz w:val="18"/>
              </w:rPr>
              <w:t>100%</w:t>
            </w:r>
            <w:r>
              <w:rPr>
                <w:rFonts w:ascii="Arial"/>
                <w:sz w:val="18"/>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468"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3" w:lineRule="exact"/>
              <w:ind w:left="-42" w:right="0"/>
              <w:jc w:val="left"/>
              <w:rPr>
                <w:rFonts w:ascii="宋体" w:hAnsi="宋体" w:cs="宋体" w:eastAsia="宋体" w:hint="default"/>
                <w:sz w:val="18"/>
                <w:szCs w:val="18"/>
              </w:rPr>
            </w:pPr>
            <w:r>
              <w:rPr>
                <w:rFonts w:ascii="宋体" w:hAnsi="宋体" w:cs="宋体" w:eastAsia="宋体" w:hint="default"/>
                <w:sz w:val="18"/>
                <w:szCs w:val="18"/>
              </w:rPr>
              <w:t>大厂电器</w:t>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sz w:val="18"/>
                <w:szCs w:val="18"/>
              </w:rPr>
              <w:t>广场项目</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2" w:right="0"/>
              <w:jc w:val="center"/>
              <w:rPr>
                <w:rFonts w:ascii="Arial" w:hAnsi="Arial" w:cs="Arial" w:eastAsia="Arial" w:hint="default"/>
                <w:sz w:val="18"/>
                <w:szCs w:val="18"/>
              </w:rPr>
            </w:pPr>
            <w:r>
              <w:rPr>
                <w:rFonts w:ascii="Arial"/>
                <w:sz w:val="18"/>
              </w:rPr>
              <w:t>61,570</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Arial" w:hAnsi="Arial" w:cs="Arial" w:eastAsia="Arial" w:hint="default"/>
                <w:sz w:val="18"/>
                <w:szCs w:val="18"/>
              </w:rPr>
            </w:pPr>
            <w:r>
              <w:rPr>
                <w:rFonts w:ascii="Arial"/>
                <w:sz w:val="18"/>
              </w:rPr>
              <w:t>15,441</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5" w:right="0"/>
              <w:jc w:val="left"/>
              <w:rPr>
                <w:rFonts w:ascii="Arial" w:hAnsi="Arial" w:cs="Arial" w:eastAsia="Arial" w:hint="default"/>
                <w:sz w:val="18"/>
                <w:szCs w:val="18"/>
              </w:rPr>
            </w:pPr>
            <w:r>
              <w:rPr>
                <w:rFonts w:ascii="Arial"/>
                <w:sz w:val="18"/>
              </w:rPr>
              <w:t>46,129</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spacing w:val="-1"/>
                <w:sz w:val="18"/>
              </w:rPr>
              <w:t>(61,570)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0"/>
              <w:jc w:val="right"/>
              <w:rPr>
                <w:rFonts w:ascii="Arial" w:hAnsi="Arial" w:cs="Arial" w:eastAsia="Arial" w:hint="default"/>
                <w:sz w:val="18"/>
                <w:szCs w:val="18"/>
              </w:rPr>
            </w:pPr>
            <w:r>
              <w:rPr>
                <w:rFonts w:ascii="Arial"/>
                <w:w w:val="99"/>
                <w:sz w:val="18"/>
              </w:rPr>
              <w:t>-</w:t>
            </w:r>
            <w:r>
              <w:rPr>
                <w:rFonts w:ascii="Arial"/>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10"/>
              <w:jc w:val="right"/>
              <w:rPr>
                <w:rFonts w:ascii="Arial" w:hAnsi="Arial" w:cs="Arial" w:eastAsia="Arial" w:hint="default"/>
                <w:sz w:val="18"/>
                <w:szCs w:val="18"/>
              </w:rPr>
            </w:pPr>
            <w:r>
              <w:rPr>
                <w:rFonts w:ascii="Arial"/>
                <w:w w:val="95"/>
                <w:sz w:val="18"/>
              </w:rPr>
              <w:t>100%</w:t>
            </w:r>
            <w:r>
              <w:rPr>
                <w:rFonts w:ascii="Arial"/>
                <w:sz w:val="18"/>
              </w:rPr>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已完工转固</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229"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195" w:lineRule="exact"/>
              <w:ind w:left="-42"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974"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tabs>
                <w:tab w:pos="484" w:val="left" w:leader="none"/>
                <w:tab w:pos="967"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6"/>
                <w:sz w:val="18"/>
                <w:u w:val="single" w:color="000000"/>
              </w:rPr>
              <w:t>2,111</w:t>
              <w:tab/>
            </w:r>
            <w:r>
              <w:rPr>
                <w:rFonts w:ascii="Arial"/>
                <w:spacing w:val="-6"/>
                <w:sz w:val="18"/>
              </w:rPr>
            </w:r>
          </w:p>
        </w:tc>
        <w:tc>
          <w:tcPr>
            <w:tcW w:w="986"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15"/>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
                <w:sz w:val="18"/>
                <w:u w:val="single" w:color="000000"/>
              </w:rPr>
              <w:t>223,761</w:t>
              <w:tab/>
            </w:r>
            <w:r>
              <w:rPr>
                <w:rFonts w:ascii="Arial"/>
                <w:spacing w:val="-1"/>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5"/>
                <w:sz w:val="18"/>
                <w:u w:val="single" w:color="000000"/>
              </w:rPr>
              <w:t> </w:t>
            </w:r>
            <w:r>
              <w:rPr>
                <w:rFonts w:ascii="Arial"/>
                <w:spacing w:val="-1"/>
                <w:sz w:val="18"/>
                <w:u w:val="single" w:color="000000"/>
              </w:rPr>
              <w:t>(125,819)</w:t>
            </w:r>
            <w:r>
              <w:rPr>
                <w:rFonts w:ascii="Arial"/>
                <w:spacing w:val="-1"/>
                <w:sz w:val="18"/>
              </w:rPr>
            </w:r>
          </w:p>
        </w:tc>
        <w:tc>
          <w:tcPr>
            <w:tcW w:w="1026" w:type="dxa"/>
            <w:tcBorders>
              <w:top w:val="nil" w:sz="6" w:space="0" w:color="auto"/>
              <w:left w:val="nil" w:sz="6" w:space="0" w:color="auto"/>
              <w:bottom w:val="nil" w:sz="6" w:space="0" w:color="auto"/>
              <w:right w:val="nil" w:sz="6" w:space="0" w:color="auto"/>
            </w:tcBorders>
          </w:tcPr>
          <w:p>
            <w:pPr>
              <w:pStyle w:val="TableParagraph"/>
              <w:tabs>
                <w:tab w:pos="309" w:val="left" w:leader="none"/>
                <w:tab w:pos="1015"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100,053</w:t>
              <w:tab/>
            </w:r>
            <w:r>
              <w:rPr>
                <w:rFonts w:ascii="Arial"/>
                <w:spacing w:val="-1"/>
                <w:sz w:val="18"/>
              </w:rPr>
            </w:r>
          </w:p>
        </w:tc>
        <w:tc>
          <w:tcPr>
            <w:tcW w:w="150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6" w:space="0" w:color="000000"/>
              <w:right w:val="nil" w:sz="6" w:space="0" w:color="auto"/>
            </w:tcBorders>
          </w:tcPr>
          <w:p>
            <w:pPr/>
          </w:p>
        </w:tc>
        <w:tc>
          <w:tcPr>
            <w:tcW w:w="1094" w:type="dxa"/>
            <w:tcBorders>
              <w:top w:val="nil" w:sz="6" w:space="0" w:color="auto"/>
              <w:left w:val="nil" w:sz="6" w:space="0" w:color="auto"/>
              <w:bottom w:val="single" w:sz="6" w:space="0" w:color="000000"/>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r>
        <w:trPr>
          <w:trHeight w:val="230" w:hRule="exact"/>
        </w:trPr>
        <w:tc>
          <w:tcPr>
            <w:tcW w:w="877"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132" w:right="0"/>
              <w:jc w:val="left"/>
              <w:rPr>
                <w:rFonts w:ascii="Arial" w:hAnsi="Arial" w:cs="Arial" w:eastAsia="Arial" w:hint="default"/>
                <w:sz w:val="18"/>
                <w:szCs w:val="18"/>
              </w:rPr>
            </w:pPr>
            <w:r>
              <w:rPr>
                <w:rFonts w:ascii="Arial"/>
                <w:sz w:val="18"/>
              </w:rPr>
              <w:t>2,061,752</w:t>
            </w:r>
          </w:p>
        </w:tc>
        <w:tc>
          <w:tcPr>
            <w:tcW w:w="986"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93" w:right="0"/>
              <w:jc w:val="left"/>
              <w:rPr>
                <w:rFonts w:ascii="Arial" w:hAnsi="Arial" w:cs="Arial" w:eastAsia="Arial" w:hint="default"/>
                <w:sz w:val="18"/>
                <w:szCs w:val="18"/>
              </w:rPr>
            </w:pPr>
            <w:r>
              <w:rPr>
                <w:rFonts w:ascii="Arial"/>
                <w:sz w:val="18"/>
              </w:rPr>
              <w:t>1,783,448</w:t>
            </w:r>
          </w:p>
        </w:tc>
        <w:tc>
          <w:tcPr>
            <w:tcW w:w="1101"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88"/>
              <w:jc w:val="right"/>
              <w:rPr>
                <w:rFonts w:ascii="Arial" w:hAnsi="Arial" w:cs="Arial" w:eastAsia="Arial" w:hint="default"/>
                <w:sz w:val="18"/>
                <w:szCs w:val="18"/>
              </w:rPr>
            </w:pPr>
            <w:r>
              <w:rPr>
                <w:rFonts w:ascii="Arial"/>
                <w:spacing w:val="-1"/>
                <w:sz w:val="18"/>
              </w:rPr>
              <w:t>(2,593,699)</w:t>
            </w:r>
          </w:p>
        </w:tc>
        <w:tc>
          <w:tcPr>
            <w:tcW w:w="1026"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50"/>
              <w:jc w:val="right"/>
              <w:rPr>
                <w:rFonts w:ascii="Arial" w:hAnsi="Arial" w:cs="Arial" w:eastAsia="Arial" w:hint="default"/>
                <w:sz w:val="18"/>
                <w:szCs w:val="18"/>
              </w:rPr>
            </w:pPr>
            <w:r>
              <w:rPr>
                <w:rFonts w:ascii="Arial"/>
                <w:spacing w:val="-1"/>
                <w:sz w:val="18"/>
              </w:rPr>
              <w:t>1,251,501</w:t>
            </w:r>
          </w:p>
        </w:tc>
        <w:tc>
          <w:tcPr>
            <w:tcW w:w="1508"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898" w:type="dxa"/>
            <w:tcBorders>
              <w:top w:val="single" w:sz="6" w:space="0" w:color="000000"/>
              <w:left w:val="nil" w:sz="6" w:space="0" w:color="auto"/>
              <w:bottom w:val="single" w:sz="12" w:space="0" w:color="000000"/>
              <w:right w:val="nil" w:sz="6" w:space="0" w:color="auto"/>
            </w:tcBorders>
          </w:tcPr>
          <w:p>
            <w:pPr>
              <w:pStyle w:val="TableParagraph"/>
              <w:spacing w:line="240" w:lineRule="auto" w:before="1"/>
              <w:ind w:right="55"/>
              <w:jc w:val="right"/>
              <w:rPr>
                <w:rFonts w:ascii="Arial" w:hAnsi="Arial" w:cs="Arial" w:eastAsia="Arial" w:hint="default"/>
                <w:sz w:val="18"/>
                <w:szCs w:val="18"/>
              </w:rPr>
            </w:pPr>
            <w:r>
              <w:rPr>
                <w:rFonts w:ascii="Arial"/>
                <w:w w:val="99"/>
                <w:sz w:val="18"/>
              </w:rPr>
              <w:t>-</w:t>
            </w:r>
            <w:r>
              <w:rPr>
                <w:rFonts w:ascii="Arial"/>
                <w:sz w:val="18"/>
              </w:rPr>
            </w:r>
          </w:p>
        </w:tc>
        <w:tc>
          <w:tcPr>
            <w:tcW w:w="1094" w:type="dxa"/>
            <w:tcBorders>
              <w:top w:val="single" w:sz="6" w:space="0" w:color="000000"/>
              <w:left w:val="nil" w:sz="6" w:space="0" w:color="auto"/>
              <w:bottom w:val="single" w:sz="12" w:space="0" w:color="000000"/>
              <w:right w:val="nil" w:sz="6" w:space="0" w:color="auto"/>
            </w:tcBorders>
          </w:tcPr>
          <w:p>
            <w:pPr>
              <w:pStyle w:val="TableParagraph"/>
              <w:spacing w:line="240" w:lineRule="auto" w:before="1"/>
              <w:ind w:right="22"/>
              <w:jc w:val="right"/>
              <w:rPr>
                <w:rFonts w:ascii="Arial" w:hAnsi="Arial" w:cs="Arial" w:eastAsia="Arial" w:hint="default"/>
                <w:sz w:val="18"/>
                <w:szCs w:val="18"/>
              </w:rPr>
            </w:pPr>
            <w:r>
              <w:rPr>
                <w:rFonts w:ascii="Arial"/>
                <w:w w:val="99"/>
                <w:sz w:val="18"/>
              </w:rPr>
              <w:t>-</w:t>
            </w:r>
            <w:r>
              <w:rPr>
                <w:rFonts w:ascii="Arial"/>
                <w:sz w:val="18"/>
              </w:rPr>
            </w:r>
          </w:p>
        </w:tc>
        <w:tc>
          <w:tcPr>
            <w:tcW w:w="106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r>
    </w:tbl>
    <w:p>
      <w:pPr>
        <w:spacing w:after="0"/>
        <w:sectPr>
          <w:pgSz w:w="16850" w:h="11910" w:orient="landscape"/>
          <w:pgMar w:header="1474" w:footer="954" w:top="2960" w:bottom="1140" w:left="7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786"/>
        <w:gridCol w:w="2044"/>
        <w:gridCol w:w="3928"/>
        <w:gridCol w:w="3885"/>
      </w:tblGrid>
      <w:tr>
        <w:trPr>
          <w:trHeight w:val="69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597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85"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(12)</w:t>
            </w: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Arial" w:hAnsi="Arial" w:cs="Arial" w:eastAsia="Arial" w:hint="default"/>
                <w:sz w:val="24"/>
                <w:szCs w:val="24"/>
              </w:rPr>
            </w:pPr>
            <w:r>
              <w:rPr>
                <w:rFonts w:ascii="宋体" w:hAnsi="宋体" w:cs="宋体" w:eastAsia="宋体" w:hint="default"/>
                <w:b/>
                <w:bCs/>
                <w:sz w:val="24"/>
                <w:szCs w:val="24"/>
              </w:rPr>
              <w:t>在建工程</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928" w:type="dxa"/>
            <w:tcBorders>
              <w:top w:val="nil" w:sz="6" w:space="0" w:color="auto"/>
              <w:left w:val="nil" w:sz="6" w:space="0" w:color="auto"/>
              <w:bottom w:val="nil" w:sz="6" w:space="0" w:color="auto"/>
              <w:right w:val="nil" w:sz="6" w:space="0" w:color="auto"/>
            </w:tcBorders>
          </w:tcPr>
          <w:p>
            <w:pPr/>
          </w:p>
        </w:tc>
        <w:tc>
          <w:tcPr>
            <w:tcW w:w="3885" w:type="dxa"/>
            <w:tcBorders>
              <w:top w:val="nil" w:sz="6" w:space="0" w:color="auto"/>
              <w:left w:val="nil" w:sz="6" w:space="0" w:color="auto"/>
              <w:bottom w:val="nil" w:sz="6" w:space="0" w:color="auto"/>
              <w:right w:val="nil" w:sz="6" w:space="0" w:color="auto"/>
            </w:tcBorders>
          </w:tcPr>
          <w:p>
            <w:pPr/>
          </w:p>
        </w:tc>
      </w:tr>
      <w:tr>
        <w:trPr>
          <w:trHeight w:val="589"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985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134" w:right="0"/>
              <w:jc w:val="left"/>
              <w:rPr>
                <w:rFonts w:ascii="宋体" w:hAnsi="宋体" w:cs="宋体" w:eastAsia="宋体" w:hint="default"/>
                <w:sz w:val="24"/>
                <w:szCs w:val="24"/>
              </w:rPr>
            </w:pPr>
            <w:r>
              <w:rPr>
                <w:rFonts w:ascii="宋体" w:hAnsi="宋体" w:cs="宋体" w:eastAsia="宋体" w:hint="default"/>
                <w:sz w:val="24"/>
                <w:szCs w:val="24"/>
              </w:rPr>
              <w:t>重大在建工程于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日的工程进度分析如下：</w:t>
            </w:r>
          </w:p>
        </w:tc>
      </w:tr>
      <w:tr>
        <w:trPr>
          <w:trHeight w:val="52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
              <w:jc w:val="center"/>
              <w:rPr>
                <w:rFonts w:ascii="宋体" w:hAnsi="宋体" w:cs="宋体" w:eastAsia="宋体" w:hint="default"/>
                <w:sz w:val="22"/>
                <w:szCs w:val="22"/>
              </w:rPr>
            </w:pPr>
            <w:r>
              <w:rPr>
                <w:rFonts w:ascii="宋体" w:hAnsi="宋体" w:cs="宋体" w:eastAsia="宋体" w:hint="default"/>
                <w:sz w:val="22"/>
                <w:szCs w:val="22"/>
              </w:rPr>
              <w:t>工程进度</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91"/>
              <w:jc w:val="center"/>
              <w:rPr>
                <w:rFonts w:ascii="宋体" w:hAnsi="宋体" w:cs="宋体" w:eastAsia="宋体" w:hint="default"/>
                <w:sz w:val="22"/>
                <w:szCs w:val="22"/>
              </w:rPr>
            </w:pPr>
            <w:r>
              <w:rPr>
                <w:rFonts w:ascii="宋体" w:hAnsi="宋体" w:cs="宋体" w:eastAsia="宋体" w:hint="default"/>
                <w:sz w:val="22"/>
                <w:szCs w:val="22"/>
              </w:rPr>
              <w:t>备注</w:t>
            </w:r>
          </w:p>
        </w:tc>
      </w:tr>
      <w:tr>
        <w:trPr>
          <w:trHeight w:val="378"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34" w:right="0"/>
              <w:jc w:val="left"/>
              <w:rPr>
                <w:rFonts w:ascii="宋体" w:hAnsi="宋体" w:cs="宋体" w:eastAsia="宋体" w:hint="default"/>
                <w:sz w:val="21"/>
                <w:szCs w:val="21"/>
              </w:rPr>
            </w:pPr>
            <w:r>
              <w:rPr>
                <w:rFonts w:ascii="宋体" w:hAnsi="宋体" w:cs="宋体" w:eastAsia="宋体" w:hint="default"/>
                <w:sz w:val="21"/>
                <w:szCs w:val="21"/>
              </w:rPr>
              <w:t>重庆雨田大厦</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50"/>
              <w:jc w:val="right"/>
              <w:rPr>
                <w:rFonts w:ascii="宋体" w:hAnsi="宋体" w:cs="宋体" w:eastAsia="宋体" w:hint="default"/>
                <w:sz w:val="21"/>
                <w:szCs w:val="21"/>
              </w:rPr>
            </w:pPr>
            <w:r>
              <w:rPr>
                <w:rFonts w:ascii="宋体" w:hAnsi="宋体" w:cs="宋体" w:eastAsia="宋体" w:hint="default"/>
                <w:spacing w:val="-1"/>
                <w:sz w:val="21"/>
                <w:szCs w:val="21"/>
              </w:rPr>
              <w:t>装修工程进行中</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3"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徐庄总部</w:t>
            </w:r>
          </w:p>
        </w:tc>
        <w:tc>
          <w:tcPr>
            <w:tcW w:w="3928" w:type="dxa"/>
            <w:tcBorders>
              <w:top w:val="nil" w:sz="6" w:space="0" w:color="auto"/>
              <w:left w:val="nil" w:sz="6" w:space="0" w:color="auto"/>
              <w:bottom w:val="nil" w:sz="6" w:space="0" w:color="auto"/>
              <w:right w:val="nil" w:sz="6" w:space="0" w:color="auto"/>
            </w:tcBorders>
          </w:tcPr>
          <w:p>
            <w:pPr>
              <w:pStyle w:val="TableParagraph"/>
              <w:spacing w:line="241" w:lineRule="exact"/>
              <w:ind w:right="352"/>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7"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重庆物流基地</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left="226" w:right="0"/>
              <w:jc w:val="left"/>
              <w:rPr>
                <w:rFonts w:ascii="宋体" w:hAnsi="宋体" w:cs="宋体" w:eastAsia="宋体" w:hint="default"/>
                <w:sz w:val="21"/>
                <w:szCs w:val="21"/>
              </w:rPr>
            </w:pPr>
            <w:r>
              <w:rPr>
                <w:rFonts w:ascii="宋体" w:hAnsi="宋体" w:cs="宋体" w:eastAsia="宋体" w:hint="default"/>
                <w:sz w:val="21"/>
                <w:szCs w:val="21"/>
              </w:rPr>
              <w:t>钢结构吊装及封顶完成，土建封顶，</w:t>
            </w:r>
          </w:p>
          <w:p>
            <w:pPr>
              <w:pStyle w:val="TableParagraph"/>
              <w:spacing w:line="274" w:lineRule="exact"/>
              <w:ind w:left="2312" w:right="0"/>
              <w:jc w:val="left"/>
              <w:rPr>
                <w:rFonts w:ascii="宋体" w:hAnsi="宋体" w:cs="宋体" w:eastAsia="宋体" w:hint="default"/>
                <w:sz w:val="21"/>
                <w:szCs w:val="21"/>
              </w:rPr>
            </w:pPr>
            <w:r>
              <w:rPr>
                <w:rFonts w:ascii="宋体" w:hAnsi="宋体" w:cs="宋体" w:eastAsia="宋体" w:hint="default"/>
                <w:sz w:val="21"/>
                <w:szCs w:val="21"/>
              </w:rPr>
              <w:t>安装开始施工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5"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北京物流基地二期</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钢结构吊装及封顶完成，土建封顶，</w:t>
            </w:r>
          </w:p>
          <w:p>
            <w:pPr>
              <w:pStyle w:val="TableParagraph"/>
              <w:spacing w:line="273" w:lineRule="exact"/>
              <w:ind w:left="2312" w:right="0"/>
              <w:jc w:val="left"/>
              <w:rPr>
                <w:rFonts w:ascii="宋体" w:hAnsi="宋体" w:cs="宋体" w:eastAsia="宋体" w:hint="default"/>
                <w:sz w:val="21"/>
                <w:szCs w:val="21"/>
              </w:rPr>
            </w:pPr>
            <w:r>
              <w:rPr>
                <w:rFonts w:ascii="宋体" w:hAnsi="宋体" w:cs="宋体" w:eastAsia="宋体" w:hint="default"/>
                <w:sz w:val="21"/>
                <w:szCs w:val="21"/>
              </w:rPr>
              <w:t>安装开始施工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杭州二期物流基地</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50"/>
              <w:jc w:val="right"/>
              <w:rPr>
                <w:rFonts w:ascii="宋体" w:hAnsi="宋体" w:cs="宋体" w:eastAsia="宋体" w:hint="default"/>
                <w:sz w:val="21"/>
                <w:szCs w:val="21"/>
              </w:rPr>
            </w:pPr>
            <w:r>
              <w:rPr>
                <w:rFonts w:ascii="宋体" w:hAnsi="宋体" w:cs="宋体" w:eastAsia="宋体" w:hint="default"/>
                <w:spacing w:val="-2"/>
                <w:sz w:val="21"/>
                <w:szCs w:val="21"/>
              </w:rPr>
              <w:t>钢结构进场吊装中，土建即将封顶</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重庆长寿店</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50"/>
              <w:jc w:val="right"/>
              <w:rPr>
                <w:rFonts w:ascii="宋体" w:hAnsi="宋体" w:cs="宋体" w:eastAsia="宋体" w:hint="default"/>
                <w:sz w:val="21"/>
                <w:szCs w:val="21"/>
              </w:rPr>
            </w:pPr>
            <w:r>
              <w:rPr>
                <w:rFonts w:ascii="宋体" w:hAnsi="宋体" w:cs="宋体" w:eastAsia="宋体" w:hint="default"/>
                <w:spacing w:val="-1"/>
                <w:sz w:val="21"/>
                <w:szCs w:val="21"/>
              </w:rPr>
              <w:t>装修工程进行中</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2"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济南物流项目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50"/>
              <w:jc w:val="right"/>
              <w:rPr>
                <w:rFonts w:ascii="宋体" w:hAnsi="宋体" w:cs="宋体" w:eastAsia="宋体" w:hint="default"/>
                <w:sz w:val="21"/>
                <w:szCs w:val="21"/>
              </w:rPr>
            </w:pPr>
            <w:r>
              <w:rPr>
                <w:rFonts w:ascii="宋体" w:hAnsi="宋体" w:cs="宋体" w:eastAsia="宋体" w:hint="default"/>
                <w:spacing w:val="-3"/>
                <w:sz w:val="21"/>
                <w:szCs w:val="21"/>
              </w:rPr>
              <w:t>钢结构开始进场吊装，土建即将封顶</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6"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盐城物流项目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钢结构吊装及封顶完成，土建封顶，</w:t>
            </w:r>
          </w:p>
          <w:p>
            <w:pPr>
              <w:pStyle w:val="TableParagraph"/>
              <w:spacing w:line="274" w:lineRule="exact"/>
              <w:ind w:left="2312" w:right="0"/>
              <w:jc w:val="left"/>
              <w:rPr>
                <w:rFonts w:ascii="宋体" w:hAnsi="宋体" w:cs="宋体" w:eastAsia="宋体" w:hint="default"/>
                <w:sz w:val="21"/>
                <w:szCs w:val="21"/>
              </w:rPr>
            </w:pPr>
            <w:r>
              <w:rPr>
                <w:rFonts w:ascii="宋体" w:hAnsi="宋体" w:cs="宋体" w:eastAsia="宋体" w:hint="default"/>
                <w:sz w:val="21"/>
                <w:szCs w:val="21"/>
              </w:rPr>
              <w:t>安装开始施工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6"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徐州物流项目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51"/>
              <w:jc w:val="right"/>
              <w:rPr>
                <w:rFonts w:ascii="宋体" w:hAnsi="宋体" w:cs="宋体" w:eastAsia="宋体" w:hint="default"/>
                <w:sz w:val="21"/>
                <w:szCs w:val="21"/>
              </w:rPr>
            </w:pPr>
            <w:r>
              <w:rPr>
                <w:rFonts w:ascii="宋体" w:hAnsi="宋体" w:cs="宋体" w:eastAsia="宋体" w:hint="default"/>
                <w:spacing w:val="-2"/>
                <w:sz w:val="21"/>
                <w:szCs w:val="21"/>
              </w:rPr>
              <w:t>钢结构进场吊装中，土建施工中，</w:t>
            </w:r>
          </w:p>
          <w:p>
            <w:pPr>
              <w:pStyle w:val="TableParagraph"/>
              <w:spacing w:line="274" w:lineRule="exact"/>
              <w:ind w:right="350"/>
              <w:jc w:val="right"/>
              <w:rPr>
                <w:rFonts w:ascii="宋体" w:hAnsi="宋体" w:cs="宋体" w:eastAsia="宋体" w:hint="default"/>
                <w:sz w:val="21"/>
                <w:szCs w:val="21"/>
              </w:rPr>
            </w:pPr>
            <w:r>
              <w:rPr>
                <w:rFonts w:ascii="宋体" w:hAnsi="宋体" w:cs="宋体" w:eastAsia="宋体" w:hint="default"/>
                <w:spacing w:val="-1"/>
                <w:sz w:val="21"/>
                <w:szCs w:val="21"/>
              </w:rPr>
              <w:t>即将封顶</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3"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湖州苏宁广场项目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spacing w:val="-2"/>
                <w:sz w:val="21"/>
                <w:szCs w:val="21"/>
              </w:rPr>
              <w:t>基坑支护施工完毕，土方施工开始</w:t>
            </w:r>
          </w:p>
        </w:tc>
        <w:tc>
          <w:tcPr>
            <w:tcW w:w="3885"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汕头苏宁广场项目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50"/>
              <w:jc w:val="right"/>
              <w:rPr>
                <w:rFonts w:ascii="宋体" w:hAnsi="宋体" w:cs="宋体" w:eastAsia="宋体" w:hint="default"/>
                <w:sz w:val="21"/>
                <w:szCs w:val="21"/>
              </w:rPr>
            </w:pPr>
            <w:r>
              <w:rPr>
                <w:rFonts w:ascii="宋体" w:hAnsi="宋体" w:cs="宋体" w:eastAsia="宋体" w:hint="default"/>
                <w:spacing w:val="-3"/>
                <w:sz w:val="21"/>
                <w:szCs w:val="21"/>
              </w:rPr>
              <w:t>总包合同尚未签订，桩基施工进行中</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青岛物流项目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钢结构开始进场吊装，土建即将封顶</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2"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合肥物流基地工程</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6"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exact"/>
              <w:ind w:left="323" w:right="0" w:hanging="190"/>
              <w:jc w:val="left"/>
              <w:rPr>
                <w:rFonts w:ascii="宋体" w:hAnsi="宋体" w:cs="宋体" w:eastAsia="宋体" w:hint="default"/>
                <w:sz w:val="21"/>
                <w:szCs w:val="21"/>
              </w:rPr>
            </w:pPr>
            <w:r>
              <w:rPr>
                <w:rFonts w:ascii="宋体" w:hAnsi="宋体" w:cs="宋体" w:eastAsia="宋体" w:hint="default"/>
                <w:sz w:val="21"/>
                <w:szCs w:val="21"/>
              </w:rPr>
              <w:t>大庆会战大街</w:t>
            </w:r>
          </w:p>
          <w:p>
            <w:pPr>
              <w:pStyle w:val="TableParagraph"/>
              <w:spacing w:line="274" w:lineRule="exact"/>
              <w:ind w:left="323" w:right="0"/>
              <w:jc w:val="left"/>
              <w:rPr>
                <w:rFonts w:ascii="宋体" w:hAnsi="宋体" w:cs="宋体" w:eastAsia="宋体" w:hint="default"/>
                <w:sz w:val="21"/>
                <w:szCs w:val="21"/>
              </w:rPr>
            </w:pPr>
            <w:r>
              <w:rPr>
                <w:rFonts w:ascii="宋体" w:hAnsi="宋体" w:cs="宋体" w:eastAsia="宋体" w:hint="default"/>
                <w:sz w:val="21"/>
                <w:szCs w:val="21"/>
              </w:rPr>
              <w:t>三层商服楼</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pacing w:val="-1"/>
                <w:sz w:val="21"/>
                <w:szCs w:val="21"/>
              </w:rPr>
              <w:t>装修工程进行中</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芜湖苏宁广场项目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总包合同尚未签订，桩基施工进行中</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5"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江苏物流中心</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配送数据中心已完工；高架库即将完</w:t>
            </w:r>
          </w:p>
          <w:p>
            <w:pPr>
              <w:pStyle w:val="TableParagraph"/>
              <w:spacing w:line="273" w:lineRule="exact"/>
              <w:ind w:right="319"/>
              <w:jc w:val="right"/>
              <w:rPr>
                <w:rFonts w:ascii="宋体" w:hAnsi="宋体" w:cs="宋体" w:eastAsia="宋体" w:hint="default"/>
                <w:sz w:val="21"/>
                <w:szCs w:val="21"/>
              </w:rPr>
            </w:pPr>
            <w:r>
              <w:rPr>
                <w:rFonts w:ascii="宋体" w:hAnsi="宋体" w:cs="宋体" w:eastAsia="宋体" w:hint="default"/>
                <w:w w:val="100"/>
                <w:sz w:val="21"/>
                <w:szCs w:val="21"/>
              </w:rPr>
              <w:t>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成都物流基地工程</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天津物流基地工程</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5"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刘家窑芳群公寓</w:t>
            </w:r>
          </w:p>
          <w:p>
            <w:pPr>
              <w:pStyle w:val="TableParagraph"/>
              <w:spacing w:line="273" w:lineRule="exact"/>
              <w:ind w:left="323" w:right="0"/>
              <w:jc w:val="left"/>
              <w:rPr>
                <w:rFonts w:ascii="宋体" w:hAnsi="宋体" w:cs="宋体" w:eastAsia="宋体" w:hint="default"/>
                <w:sz w:val="21"/>
                <w:szCs w:val="21"/>
              </w:rPr>
            </w:pPr>
            <w:r>
              <w:rPr>
                <w:rFonts w:ascii="宋体" w:hAnsi="宋体" w:cs="宋体" w:eastAsia="宋体" w:hint="default"/>
                <w:sz w:val="21"/>
                <w:szCs w:val="21"/>
              </w:rPr>
              <w:t>商场物业</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7"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大同苏宁购置店</w:t>
            </w:r>
          </w:p>
          <w:p>
            <w:pPr>
              <w:pStyle w:val="TableParagraph"/>
              <w:spacing w:line="274"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金帝商厦</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pacing w:val="-2"/>
                <w:sz w:val="21"/>
                <w:szCs w:val="21"/>
              </w:rPr>
              <w:t>主体工程基本完工</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545"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大连苏宁购置店</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胜利广场</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pacing w:val="-1"/>
                <w:sz w:val="21"/>
                <w:szCs w:val="21"/>
              </w:rPr>
              <w:t>已完工转固</w:t>
            </w:r>
          </w:p>
        </w:tc>
        <w:tc>
          <w:tcPr>
            <w:tcW w:w="38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74"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无锡物流基地工程</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1"/>
                <w:sz w:val="21"/>
                <w:szCs w:val="21"/>
              </w:rPr>
              <w:t>已完工转固</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r>
        <w:trPr>
          <w:trHeight w:val="242" w:hRule="exact"/>
        </w:trPr>
        <w:tc>
          <w:tcPr>
            <w:tcW w:w="786" w:type="dxa"/>
            <w:tcBorders>
              <w:top w:val="nil" w:sz="6" w:space="0" w:color="auto"/>
              <w:left w:val="nil" w:sz="6" w:space="0" w:color="auto"/>
              <w:bottom w:val="nil" w:sz="6" w:space="0" w:color="auto"/>
              <w:right w:val="nil" w:sz="6" w:space="0" w:color="auto"/>
            </w:tcBorders>
          </w:tcPr>
          <w:p>
            <w:pPr/>
          </w:p>
        </w:tc>
        <w:tc>
          <w:tcPr>
            <w:tcW w:w="2044" w:type="dxa"/>
            <w:tcBorders>
              <w:top w:val="nil" w:sz="6" w:space="0" w:color="auto"/>
              <w:left w:val="nil" w:sz="6" w:space="0" w:color="auto"/>
              <w:bottom w:val="nil" w:sz="6" w:space="0" w:color="auto"/>
              <w:right w:val="nil" w:sz="6" w:space="0" w:color="auto"/>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大厂电器广场项目</w:t>
            </w:r>
          </w:p>
        </w:tc>
        <w:tc>
          <w:tcPr>
            <w:tcW w:w="3928" w:type="dxa"/>
            <w:tcBorders>
              <w:top w:val="nil" w:sz="6" w:space="0" w:color="auto"/>
              <w:left w:val="nil" w:sz="6" w:space="0" w:color="auto"/>
              <w:bottom w:val="nil" w:sz="6" w:space="0" w:color="auto"/>
              <w:right w:val="nil" w:sz="6" w:space="0" w:color="auto"/>
            </w:tcBorders>
          </w:tcPr>
          <w:p>
            <w:pPr>
              <w:pStyle w:val="TableParagraph"/>
              <w:spacing w:line="242" w:lineRule="exact"/>
              <w:ind w:right="317"/>
              <w:jc w:val="right"/>
              <w:rPr>
                <w:rFonts w:ascii="宋体" w:hAnsi="宋体" w:cs="宋体" w:eastAsia="宋体" w:hint="default"/>
                <w:sz w:val="21"/>
                <w:szCs w:val="21"/>
              </w:rPr>
            </w:pPr>
            <w:r>
              <w:rPr>
                <w:rFonts w:ascii="宋体" w:hAnsi="宋体" w:cs="宋体" w:eastAsia="宋体" w:hint="default"/>
                <w:spacing w:val="-1"/>
                <w:sz w:val="21"/>
                <w:szCs w:val="21"/>
              </w:rPr>
              <w:t>已完工转固</w:t>
            </w:r>
          </w:p>
        </w:tc>
        <w:tc>
          <w:tcPr>
            <w:tcW w:w="3885"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工程进度以形象进度为基础进行估计</w:t>
            </w:r>
          </w:p>
        </w:tc>
      </w:tr>
    </w:tbl>
    <w:p>
      <w:pPr>
        <w:spacing w:after="0" w:line="242" w:lineRule="exact"/>
        <w:jc w:val="right"/>
        <w:rPr>
          <w:rFonts w:ascii="宋体" w:hAnsi="宋体" w:cs="宋体" w:eastAsia="宋体" w:hint="default"/>
          <w:sz w:val="21"/>
          <w:szCs w:val="21"/>
        </w:rPr>
        <w:sectPr>
          <w:headerReference w:type="default" r:id="rId88"/>
          <w:footerReference w:type="default" r:id="rId89"/>
          <w:pgSz w:w="11910" w:h="16850"/>
          <w:pgMar w:header="754" w:footer="956" w:top="2240" w:bottom="1140" w:left="800" w:right="0"/>
          <w:pgNumType w:start="167"/>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824"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786"/>
        <w:gridCol w:w="3158"/>
      </w:tblGrid>
      <w:tr>
        <w:trPr>
          <w:trHeight w:val="533"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53"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815"/>
        <w:gridCol w:w="2521"/>
        <w:gridCol w:w="1801"/>
        <w:gridCol w:w="1659"/>
        <w:gridCol w:w="1671"/>
        <w:gridCol w:w="1704"/>
      </w:tblGrid>
      <w:tr>
        <w:trPr>
          <w:trHeight w:val="418"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(13)</w:t>
            </w:r>
          </w:p>
        </w:tc>
        <w:tc>
          <w:tcPr>
            <w:tcW w:w="2521"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无形资产</w:t>
            </w:r>
            <w:r>
              <w:rPr>
                <w:rFonts w:ascii="宋体" w:hAnsi="宋体" w:cs="宋体" w:eastAsia="宋体" w:hint="default"/>
                <w:sz w:val="24"/>
                <w:szCs w:val="24"/>
              </w:rPr>
            </w:r>
          </w:p>
        </w:tc>
        <w:tc>
          <w:tcPr>
            <w:tcW w:w="1801"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r>
      <w:tr>
        <w:trPr>
          <w:trHeight w:val="854" w:hRule="exact"/>
        </w:trPr>
        <w:tc>
          <w:tcPr>
            <w:tcW w:w="81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95" w:lineRule="exact" w:before="105"/>
              <w:ind w:left="719"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387"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343"/>
              <w:jc w:val="right"/>
              <w:rPr>
                <w:rFonts w:ascii="宋体" w:hAnsi="宋体" w:cs="宋体" w:eastAsia="宋体" w:hint="default"/>
                <w:sz w:val="22"/>
                <w:szCs w:val="22"/>
              </w:rPr>
            </w:pPr>
            <w:r>
              <w:rPr>
                <w:rFonts w:ascii="宋体" w:hAnsi="宋体" w:cs="宋体" w:eastAsia="宋体" w:hint="default"/>
                <w:sz w:val="22"/>
                <w:szCs w:val="22"/>
              </w:rPr>
              <w:t>本年增加</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8"/>
              <w:ind w:right="502"/>
              <w:jc w:val="right"/>
              <w:rPr>
                <w:rFonts w:ascii="宋体" w:hAnsi="宋体" w:cs="宋体" w:eastAsia="宋体" w:hint="default"/>
                <w:sz w:val="22"/>
                <w:szCs w:val="22"/>
              </w:rPr>
            </w:pPr>
            <w:r>
              <w:rPr>
                <w:rFonts w:ascii="宋体" w:hAnsi="宋体" w:cs="宋体" w:eastAsia="宋体" w:hint="default"/>
                <w:sz w:val="22"/>
                <w:szCs w:val="22"/>
              </w:rPr>
              <w:t>本年减少</w:t>
            </w:r>
          </w:p>
        </w:tc>
        <w:tc>
          <w:tcPr>
            <w:tcW w:w="1704" w:type="dxa"/>
            <w:tcBorders>
              <w:top w:val="nil" w:sz="6" w:space="0" w:color="auto"/>
              <w:left w:val="nil" w:sz="6" w:space="0" w:color="auto"/>
              <w:bottom w:val="nil" w:sz="6" w:space="0" w:color="auto"/>
              <w:right w:val="nil" w:sz="6" w:space="0" w:color="auto"/>
            </w:tcBorders>
          </w:tcPr>
          <w:p>
            <w:pPr>
              <w:pStyle w:val="TableParagraph"/>
              <w:spacing w:line="295" w:lineRule="exact" w:before="105"/>
              <w:ind w:left="849"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4"/>
                <w:sz w:val="22"/>
                <w:szCs w:val="22"/>
              </w:rPr>
              <w:t> </w:t>
            </w:r>
            <w:r>
              <w:rPr>
                <w:rFonts w:ascii="宋体" w:hAnsi="宋体" w:cs="宋体" w:eastAsia="宋体" w:hint="default"/>
                <w:sz w:val="22"/>
                <w:szCs w:val="22"/>
              </w:rPr>
              <w:t>年</w:t>
            </w:r>
          </w:p>
          <w:p>
            <w:pPr>
              <w:pStyle w:val="TableParagraph"/>
              <w:spacing w:line="295" w:lineRule="exact"/>
              <w:ind w:left="504"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23" w:hRule="exact"/>
        </w:trPr>
        <w:tc>
          <w:tcPr>
            <w:tcW w:w="81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07" w:right="0"/>
              <w:jc w:val="left"/>
              <w:rPr>
                <w:rFonts w:ascii="宋体" w:hAnsi="宋体" w:cs="宋体" w:eastAsia="宋体" w:hint="default"/>
                <w:sz w:val="22"/>
                <w:szCs w:val="22"/>
              </w:rPr>
            </w:pPr>
            <w:r>
              <w:rPr>
                <w:rFonts w:ascii="宋体" w:hAnsi="宋体" w:cs="宋体" w:eastAsia="宋体" w:hint="default"/>
                <w:sz w:val="22"/>
                <w:szCs w:val="22"/>
              </w:rPr>
              <w:t>原价合计</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431" w:right="0"/>
              <w:jc w:val="left"/>
              <w:rPr>
                <w:rFonts w:ascii="Arial" w:hAnsi="Arial" w:cs="Arial" w:eastAsia="Arial" w:hint="default"/>
                <w:sz w:val="22"/>
                <w:szCs w:val="22"/>
              </w:rPr>
            </w:pPr>
            <w:r>
              <w:rPr>
                <w:rFonts w:ascii="Arial"/>
                <w:sz w:val="22"/>
              </w:rPr>
              <w:t>1,591,578</w:t>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359"/>
              <w:jc w:val="right"/>
              <w:rPr>
                <w:rFonts w:ascii="Arial" w:hAnsi="Arial" w:cs="Arial" w:eastAsia="Arial" w:hint="default"/>
                <w:sz w:val="22"/>
                <w:szCs w:val="22"/>
              </w:rPr>
            </w:pPr>
            <w:r>
              <w:rPr>
                <w:rFonts w:ascii="Arial"/>
                <w:sz w:val="22"/>
              </w:rPr>
              <w:t>3,216,676</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139"/>
              <w:jc w:val="right"/>
              <w:rPr>
                <w:rFonts w:ascii="Arial" w:hAnsi="Arial" w:cs="Arial" w:eastAsia="Arial" w:hint="default"/>
                <w:sz w:val="22"/>
                <w:szCs w:val="22"/>
              </w:rPr>
            </w:pPr>
            <w:r>
              <w:rPr>
                <w:rFonts w:ascii="Arial"/>
                <w:sz w:val="22"/>
              </w:rPr>
              <w:t>4,808,254</w:t>
            </w:r>
          </w:p>
        </w:tc>
      </w:tr>
      <w:tr>
        <w:trPr>
          <w:trHeight w:val="308"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single" w:sz="4" w:space="0" w:color="000000"/>
              <w:left w:val="single" w:sz="4" w:space="0" w:color="000000"/>
              <w:bottom w:val="nil" w:sz="6" w:space="0" w:color="auto"/>
              <w:right w:val="nil" w:sz="6" w:space="0" w:color="auto"/>
            </w:tcBorders>
          </w:tcPr>
          <w:p>
            <w:pPr>
              <w:pStyle w:val="TableParagraph"/>
              <w:spacing w:line="252" w:lineRule="exact"/>
              <w:ind w:left="299"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80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31" w:right="0"/>
              <w:jc w:val="left"/>
              <w:rPr>
                <w:rFonts w:ascii="Arial" w:hAnsi="Arial" w:cs="Arial" w:eastAsia="Arial" w:hint="default"/>
                <w:sz w:val="22"/>
                <w:szCs w:val="22"/>
              </w:rPr>
            </w:pPr>
            <w:r>
              <w:rPr>
                <w:rFonts w:ascii="Arial"/>
                <w:sz w:val="22"/>
              </w:rPr>
              <w:t>1,005,272</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59"/>
              <w:jc w:val="right"/>
              <w:rPr>
                <w:rFonts w:ascii="Arial" w:hAnsi="Arial" w:cs="Arial" w:eastAsia="Arial" w:hint="default"/>
                <w:sz w:val="22"/>
                <w:szCs w:val="22"/>
              </w:rPr>
            </w:pPr>
            <w:r>
              <w:rPr>
                <w:rFonts w:ascii="Arial"/>
                <w:sz w:val="22"/>
              </w:rPr>
              <w:t>2,704,043</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77"/>
              <w:jc w:val="right"/>
              <w:rPr>
                <w:rFonts w:ascii="Arial" w:hAnsi="Arial" w:cs="Arial" w:eastAsia="Arial" w:hint="default"/>
                <w:sz w:val="22"/>
                <w:szCs w:val="22"/>
              </w:rPr>
            </w:pPr>
            <w:r>
              <w:rPr>
                <w:rFonts w:ascii="Arial"/>
                <w:w w:val="100"/>
                <w:sz w:val="22"/>
              </w:rPr>
              <w:t>-</w:t>
            </w:r>
          </w:p>
        </w:tc>
        <w:tc>
          <w:tcPr>
            <w:tcW w:w="1704" w:type="dxa"/>
            <w:tcBorders>
              <w:top w:val="single" w:sz="4" w:space="0" w:color="000000"/>
              <w:left w:val="nil" w:sz="6" w:space="0" w:color="auto"/>
              <w:bottom w:val="nil" w:sz="6" w:space="0" w:color="auto"/>
              <w:right w:val="single" w:sz="4" w:space="0" w:color="000000"/>
            </w:tcBorders>
          </w:tcPr>
          <w:p>
            <w:pPr>
              <w:pStyle w:val="TableParagraph"/>
              <w:spacing w:line="240" w:lineRule="auto" w:before="32"/>
              <w:ind w:right="134"/>
              <w:jc w:val="right"/>
              <w:rPr>
                <w:rFonts w:ascii="Arial" w:hAnsi="Arial" w:cs="Arial" w:eastAsia="Arial" w:hint="default"/>
                <w:sz w:val="22"/>
                <w:szCs w:val="22"/>
              </w:rPr>
            </w:pPr>
            <w:r>
              <w:rPr>
                <w:rFonts w:ascii="Arial"/>
                <w:sz w:val="22"/>
              </w:rPr>
              <w:t>3,709,315</w:t>
            </w:r>
          </w:p>
        </w:tc>
      </w:tr>
      <w:tr>
        <w:trPr>
          <w:trHeight w:val="296"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44" w:lineRule="exact"/>
              <w:ind w:left="299"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5" w:right="0"/>
              <w:jc w:val="left"/>
              <w:rPr>
                <w:rFonts w:ascii="Arial" w:hAnsi="Arial" w:cs="Arial" w:eastAsia="Arial" w:hint="default"/>
                <w:sz w:val="22"/>
                <w:szCs w:val="22"/>
              </w:rPr>
            </w:pPr>
            <w:r>
              <w:rPr>
                <w:rFonts w:ascii="Arial"/>
                <w:sz w:val="22"/>
              </w:rPr>
              <w:t>325,056</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62"/>
              <w:jc w:val="right"/>
              <w:rPr>
                <w:rFonts w:ascii="Arial" w:hAnsi="Arial" w:cs="Arial" w:eastAsia="Arial" w:hint="default"/>
                <w:sz w:val="22"/>
                <w:szCs w:val="22"/>
              </w:rPr>
            </w:pPr>
            <w:r>
              <w:rPr>
                <w:rFonts w:ascii="Arial"/>
                <w:spacing w:val="-3"/>
                <w:sz w:val="22"/>
              </w:rPr>
              <w:t>118,546</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right="134"/>
              <w:jc w:val="right"/>
              <w:rPr>
                <w:rFonts w:ascii="Arial" w:hAnsi="Arial" w:cs="Arial" w:eastAsia="Arial" w:hint="default"/>
                <w:sz w:val="22"/>
                <w:szCs w:val="22"/>
              </w:rPr>
            </w:pPr>
            <w:r>
              <w:rPr>
                <w:rFonts w:ascii="Arial"/>
                <w:spacing w:val="-1"/>
                <w:sz w:val="22"/>
              </w:rPr>
              <w:t>443,602</w:t>
            </w:r>
          </w:p>
        </w:tc>
      </w:tr>
      <w:tr>
        <w:trPr>
          <w:trHeight w:val="295"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61" w:lineRule="exact"/>
              <w:ind w:left="299"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5" w:right="0"/>
              <w:jc w:val="left"/>
              <w:rPr>
                <w:rFonts w:ascii="Arial" w:hAnsi="Arial" w:cs="Arial" w:eastAsia="Arial" w:hint="default"/>
                <w:sz w:val="22"/>
                <w:szCs w:val="22"/>
              </w:rPr>
            </w:pPr>
            <w:r>
              <w:rPr>
                <w:rFonts w:ascii="Arial"/>
                <w:sz w:val="22"/>
              </w:rPr>
              <w:t>245,233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63"/>
              <w:jc w:val="right"/>
              <w:rPr>
                <w:rFonts w:ascii="Arial" w:hAnsi="Arial" w:cs="Arial" w:eastAsia="Arial" w:hint="default"/>
                <w:sz w:val="22"/>
                <w:szCs w:val="22"/>
              </w:rPr>
            </w:pPr>
            <w:r>
              <w:rPr>
                <w:rFonts w:ascii="Arial"/>
                <w:w w:val="100"/>
                <w:sz w:val="22"/>
              </w:rPr>
              <w:t>-</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136"/>
              <w:jc w:val="right"/>
              <w:rPr>
                <w:rFonts w:ascii="Arial" w:hAnsi="Arial" w:cs="Arial" w:eastAsia="Arial" w:hint="default"/>
                <w:sz w:val="22"/>
                <w:szCs w:val="22"/>
              </w:rPr>
            </w:pPr>
            <w:r>
              <w:rPr>
                <w:rFonts w:ascii="Arial"/>
                <w:spacing w:val="-1"/>
                <w:sz w:val="22"/>
              </w:rPr>
              <w:t>245,233</w:t>
            </w:r>
          </w:p>
        </w:tc>
      </w:tr>
      <w:tr>
        <w:trPr>
          <w:trHeight w:val="284"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single" w:sz="4" w:space="0" w:color="000000"/>
              <w:right w:val="nil" w:sz="6" w:space="0" w:color="auto"/>
            </w:tcBorders>
          </w:tcPr>
          <w:p>
            <w:pPr>
              <w:pStyle w:val="TableParagraph"/>
              <w:spacing w:line="245" w:lineRule="exact"/>
              <w:ind w:left="544"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85"/>
              <w:jc w:val="right"/>
              <w:rPr>
                <w:rFonts w:ascii="Arial" w:hAnsi="Arial" w:cs="Arial" w:eastAsia="Arial" w:hint="default"/>
                <w:sz w:val="22"/>
                <w:szCs w:val="22"/>
              </w:rPr>
            </w:pPr>
            <w:r>
              <w:rPr>
                <w:rFonts w:ascii="Arial"/>
                <w:spacing w:val="-1"/>
                <w:sz w:val="22"/>
              </w:rPr>
              <w:t>16,017</w:t>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59"/>
              <w:jc w:val="right"/>
              <w:rPr>
                <w:rFonts w:ascii="Arial" w:hAnsi="Arial" w:cs="Arial" w:eastAsia="Arial" w:hint="default"/>
                <w:sz w:val="22"/>
                <w:szCs w:val="22"/>
              </w:rPr>
            </w:pPr>
            <w:r>
              <w:rPr>
                <w:rFonts w:ascii="Arial"/>
                <w:spacing w:val="-1"/>
                <w:sz w:val="22"/>
              </w:rPr>
              <w:t>394,087</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22"/>
                <w:szCs w:val="22"/>
              </w:rPr>
            </w:pPr>
            <w:r>
              <w:rPr>
                <w:rFonts w:ascii="Arial"/>
                <w:spacing w:val="-1"/>
                <w:sz w:val="22"/>
              </w:rPr>
              <w:t>410,104</w:t>
            </w:r>
          </w:p>
        </w:tc>
      </w:tr>
      <w:tr>
        <w:trPr>
          <w:trHeight w:val="559" w:hRule="exact"/>
        </w:trPr>
        <w:tc>
          <w:tcPr>
            <w:tcW w:w="815" w:type="dxa"/>
            <w:tcBorders>
              <w:top w:val="nil" w:sz="6" w:space="0" w:color="auto"/>
              <w:left w:val="nil" w:sz="6" w:space="0" w:color="auto"/>
              <w:bottom w:val="nil" w:sz="6" w:space="0" w:color="auto"/>
              <w:right w:val="nil" w:sz="6" w:space="0" w:color="auto"/>
            </w:tcBorders>
          </w:tcPr>
          <w:p>
            <w:pPr/>
          </w:p>
        </w:tc>
        <w:tc>
          <w:tcPr>
            <w:tcW w:w="252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累计摊销合计</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14"/>
              <w:jc w:val="right"/>
              <w:rPr>
                <w:rFonts w:ascii="Arial" w:hAnsi="Arial" w:cs="Arial" w:eastAsia="Arial" w:hint="default"/>
                <w:sz w:val="22"/>
                <w:szCs w:val="22"/>
              </w:rPr>
            </w:pPr>
            <w:r>
              <w:rPr>
                <w:rFonts w:ascii="Arial"/>
                <w:spacing w:val="-1"/>
                <w:sz w:val="22"/>
              </w:rPr>
              <w:t>(282,241)</w:t>
            </w:r>
          </w:p>
        </w:tc>
        <w:tc>
          <w:tcPr>
            <w:tcW w:w="165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81"/>
              <w:jc w:val="right"/>
              <w:rPr>
                <w:rFonts w:ascii="Arial" w:hAnsi="Arial" w:cs="Arial" w:eastAsia="Arial" w:hint="default"/>
                <w:sz w:val="22"/>
                <w:szCs w:val="22"/>
              </w:rPr>
            </w:pPr>
            <w:r>
              <w:rPr>
                <w:rFonts w:ascii="Arial"/>
                <w:spacing w:val="-1"/>
                <w:sz w:val="22"/>
              </w:rPr>
              <w:t>(157,749)</w:t>
            </w:r>
          </w:p>
        </w:tc>
        <w:tc>
          <w:tcPr>
            <w:tcW w:w="167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77"/>
              <w:jc w:val="right"/>
              <w:rPr>
                <w:rFonts w:ascii="Arial" w:hAnsi="Arial" w:cs="Arial" w:eastAsia="Arial" w:hint="default"/>
                <w:sz w:val="22"/>
                <w:szCs w:val="22"/>
              </w:rPr>
            </w:pPr>
            <w:r>
              <w:rPr>
                <w:rFonts w:ascii="Arial"/>
                <w:w w:val="100"/>
                <w:sz w:val="22"/>
              </w:rPr>
              <w:t>-</w:t>
            </w: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9"/>
              <w:jc w:val="right"/>
              <w:rPr>
                <w:rFonts w:ascii="Arial" w:hAnsi="Arial" w:cs="Arial" w:eastAsia="Arial" w:hint="default"/>
                <w:sz w:val="22"/>
                <w:szCs w:val="22"/>
              </w:rPr>
            </w:pPr>
            <w:r>
              <w:rPr>
                <w:rFonts w:ascii="Arial"/>
                <w:spacing w:val="-1"/>
                <w:sz w:val="22"/>
              </w:rPr>
              <w:t>(439,990)</w:t>
            </w:r>
          </w:p>
        </w:tc>
      </w:tr>
      <w:tr>
        <w:trPr>
          <w:trHeight w:val="309"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single" w:sz="4" w:space="0" w:color="000000"/>
              <w:left w:val="single" w:sz="4" w:space="0" w:color="000000"/>
              <w:bottom w:val="nil" w:sz="6" w:space="0" w:color="auto"/>
              <w:right w:val="nil" w:sz="6" w:space="0" w:color="auto"/>
            </w:tcBorders>
          </w:tcPr>
          <w:p>
            <w:pPr>
              <w:pStyle w:val="TableParagraph"/>
              <w:spacing w:line="252" w:lineRule="exact"/>
              <w:ind w:left="299"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80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16"/>
              <w:jc w:val="right"/>
              <w:rPr>
                <w:rFonts w:ascii="Arial" w:hAnsi="Arial" w:cs="Arial" w:eastAsia="Arial" w:hint="default"/>
                <w:sz w:val="22"/>
                <w:szCs w:val="22"/>
              </w:rPr>
            </w:pPr>
            <w:r>
              <w:rPr>
                <w:rFonts w:ascii="Arial"/>
                <w:spacing w:val="-1"/>
                <w:sz w:val="22"/>
              </w:rPr>
              <w:t>(30,122)</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284"/>
              <w:jc w:val="right"/>
              <w:rPr>
                <w:rFonts w:ascii="Arial" w:hAnsi="Arial" w:cs="Arial" w:eastAsia="Arial" w:hint="default"/>
                <w:sz w:val="22"/>
                <w:szCs w:val="22"/>
              </w:rPr>
            </w:pPr>
            <w:r>
              <w:rPr>
                <w:rFonts w:ascii="Arial"/>
                <w:spacing w:val="-1"/>
                <w:sz w:val="22"/>
              </w:rPr>
              <w:t>(35,335)</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577"/>
              <w:jc w:val="right"/>
              <w:rPr>
                <w:rFonts w:ascii="Arial" w:hAnsi="Arial" w:cs="Arial" w:eastAsia="Arial" w:hint="default"/>
                <w:sz w:val="22"/>
                <w:szCs w:val="22"/>
              </w:rPr>
            </w:pPr>
            <w:r>
              <w:rPr>
                <w:rFonts w:ascii="Arial"/>
                <w:w w:val="100"/>
                <w:sz w:val="22"/>
              </w:rPr>
              <w:t>-</w:t>
            </w:r>
          </w:p>
        </w:tc>
        <w:tc>
          <w:tcPr>
            <w:tcW w:w="1704"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56"/>
              <w:jc w:val="right"/>
              <w:rPr>
                <w:rFonts w:ascii="Arial" w:hAnsi="Arial" w:cs="Arial" w:eastAsia="Arial" w:hint="default"/>
                <w:sz w:val="22"/>
                <w:szCs w:val="22"/>
              </w:rPr>
            </w:pPr>
            <w:r>
              <w:rPr>
                <w:rFonts w:ascii="Arial"/>
                <w:spacing w:val="-1"/>
                <w:sz w:val="22"/>
              </w:rPr>
              <w:t>(65,457)</w:t>
            </w:r>
          </w:p>
        </w:tc>
      </w:tr>
      <w:tr>
        <w:trPr>
          <w:trHeight w:val="295"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45" w:lineRule="exact"/>
              <w:ind w:left="299"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7"/>
              <w:jc w:val="right"/>
              <w:rPr>
                <w:rFonts w:ascii="Arial" w:hAnsi="Arial" w:cs="Arial" w:eastAsia="Arial" w:hint="default"/>
                <w:sz w:val="22"/>
                <w:szCs w:val="22"/>
              </w:rPr>
            </w:pPr>
            <w:r>
              <w:rPr>
                <w:rFonts w:ascii="Arial"/>
                <w:spacing w:val="-1"/>
                <w:sz w:val="22"/>
              </w:rPr>
              <w:t>(84,260)</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81"/>
              <w:jc w:val="right"/>
              <w:rPr>
                <w:rFonts w:ascii="Arial" w:hAnsi="Arial" w:cs="Arial" w:eastAsia="Arial" w:hint="default"/>
                <w:sz w:val="22"/>
                <w:szCs w:val="22"/>
              </w:rPr>
            </w:pPr>
            <w:r>
              <w:rPr>
                <w:rFonts w:ascii="Arial"/>
                <w:spacing w:val="-1"/>
                <w:sz w:val="22"/>
              </w:rPr>
              <w:t>(76,581)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54"/>
              <w:jc w:val="right"/>
              <w:rPr>
                <w:rFonts w:ascii="Arial" w:hAnsi="Arial" w:cs="Arial" w:eastAsia="Arial" w:hint="default"/>
                <w:sz w:val="22"/>
                <w:szCs w:val="22"/>
              </w:rPr>
            </w:pPr>
            <w:r>
              <w:rPr>
                <w:rFonts w:ascii="Arial"/>
                <w:spacing w:val="-1"/>
                <w:sz w:val="22"/>
              </w:rPr>
              <w:t>(160,841)</w:t>
            </w:r>
          </w:p>
        </w:tc>
      </w:tr>
      <w:tr>
        <w:trPr>
          <w:trHeight w:val="296"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61" w:lineRule="exact"/>
              <w:ind w:left="299"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4"/>
              <w:jc w:val="right"/>
              <w:rPr>
                <w:rFonts w:ascii="Arial" w:hAnsi="Arial" w:cs="Arial" w:eastAsia="Arial" w:hint="default"/>
                <w:sz w:val="22"/>
                <w:szCs w:val="22"/>
              </w:rPr>
            </w:pPr>
            <w:r>
              <w:rPr>
                <w:rFonts w:ascii="Arial"/>
                <w:spacing w:val="-1"/>
                <w:sz w:val="22"/>
              </w:rPr>
              <w:t>(165,698)</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4"/>
              <w:jc w:val="right"/>
              <w:rPr>
                <w:rFonts w:ascii="Arial" w:hAnsi="Arial" w:cs="Arial" w:eastAsia="Arial" w:hint="default"/>
                <w:sz w:val="22"/>
                <w:szCs w:val="22"/>
              </w:rPr>
            </w:pPr>
            <w:r>
              <w:rPr>
                <w:rFonts w:ascii="Arial"/>
                <w:spacing w:val="-1"/>
                <w:sz w:val="22"/>
              </w:rPr>
              <w:t>(43,670)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right="56"/>
              <w:jc w:val="right"/>
              <w:rPr>
                <w:rFonts w:ascii="Arial" w:hAnsi="Arial" w:cs="Arial" w:eastAsia="Arial" w:hint="default"/>
                <w:sz w:val="22"/>
                <w:szCs w:val="22"/>
              </w:rPr>
            </w:pPr>
            <w:r>
              <w:rPr>
                <w:rFonts w:ascii="Arial"/>
                <w:spacing w:val="-1"/>
                <w:sz w:val="22"/>
              </w:rPr>
              <w:t>(209,368)</w:t>
            </w:r>
          </w:p>
        </w:tc>
      </w:tr>
      <w:tr>
        <w:trPr>
          <w:trHeight w:val="283"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single" w:sz="4" w:space="0" w:color="000000"/>
              <w:right w:val="nil" w:sz="6" w:space="0" w:color="auto"/>
            </w:tcBorders>
          </w:tcPr>
          <w:p>
            <w:pPr>
              <w:pStyle w:val="TableParagraph"/>
              <w:spacing w:line="244" w:lineRule="exact"/>
              <w:ind w:left="299"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314"/>
              <w:jc w:val="right"/>
              <w:rPr>
                <w:rFonts w:ascii="Arial" w:hAnsi="Arial" w:cs="Arial" w:eastAsia="Arial" w:hint="default"/>
                <w:sz w:val="22"/>
                <w:szCs w:val="22"/>
              </w:rPr>
            </w:pPr>
            <w:r>
              <w:rPr>
                <w:rFonts w:ascii="Arial"/>
                <w:spacing w:val="-1"/>
                <w:sz w:val="22"/>
              </w:rPr>
              <w:t>(2,161)</w:t>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84"/>
              <w:jc w:val="right"/>
              <w:rPr>
                <w:rFonts w:ascii="Arial" w:hAnsi="Arial" w:cs="Arial" w:eastAsia="Arial" w:hint="default"/>
                <w:sz w:val="22"/>
                <w:szCs w:val="22"/>
              </w:rPr>
            </w:pPr>
            <w:r>
              <w:rPr>
                <w:rFonts w:ascii="Arial"/>
                <w:spacing w:val="-1"/>
                <w:sz w:val="22"/>
              </w:rPr>
              <w:t>(2,163)</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577"/>
              <w:jc w:val="right"/>
              <w:rPr>
                <w:rFonts w:ascii="Arial" w:hAnsi="Arial" w:cs="Arial" w:eastAsia="Arial" w:hint="default"/>
                <w:sz w:val="22"/>
                <w:szCs w:val="22"/>
              </w:rPr>
            </w:pPr>
            <w:r>
              <w:rPr>
                <w:rFonts w:ascii="Arial"/>
                <w:w w:val="100"/>
                <w:sz w:val="22"/>
              </w:rPr>
              <w:t>-</w:t>
            </w:r>
          </w:p>
        </w:tc>
        <w:tc>
          <w:tcPr>
            <w:tcW w:w="1704" w:type="dxa"/>
            <w:tcBorders>
              <w:top w:val="nil" w:sz="6" w:space="0" w:color="auto"/>
              <w:left w:val="nil" w:sz="6" w:space="0" w:color="auto"/>
              <w:bottom w:val="single" w:sz="4" w:space="0" w:color="000000"/>
              <w:right w:val="single" w:sz="4" w:space="0" w:color="000000"/>
            </w:tcBorders>
          </w:tcPr>
          <w:p>
            <w:pPr>
              <w:pStyle w:val="TableParagraph"/>
              <w:spacing w:line="240" w:lineRule="auto" w:before="23"/>
              <w:ind w:right="56"/>
              <w:jc w:val="right"/>
              <w:rPr>
                <w:rFonts w:ascii="Arial" w:hAnsi="Arial" w:cs="Arial" w:eastAsia="Arial" w:hint="default"/>
                <w:sz w:val="22"/>
                <w:szCs w:val="22"/>
              </w:rPr>
            </w:pPr>
            <w:r>
              <w:rPr>
                <w:rFonts w:ascii="Arial"/>
                <w:spacing w:val="-1"/>
                <w:sz w:val="22"/>
              </w:rPr>
              <w:t>(4,324)</w:t>
            </w:r>
          </w:p>
        </w:tc>
      </w:tr>
      <w:tr>
        <w:trPr>
          <w:trHeight w:val="574" w:hRule="exact"/>
        </w:trPr>
        <w:tc>
          <w:tcPr>
            <w:tcW w:w="815" w:type="dxa"/>
            <w:tcBorders>
              <w:top w:val="nil" w:sz="6" w:space="0" w:color="auto"/>
              <w:left w:val="nil" w:sz="6" w:space="0" w:color="auto"/>
              <w:bottom w:val="nil" w:sz="6" w:space="0" w:color="auto"/>
              <w:right w:val="nil" w:sz="6" w:space="0" w:color="auto"/>
            </w:tcBorders>
          </w:tcPr>
          <w:p>
            <w:pPr/>
          </w:p>
        </w:tc>
        <w:tc>
          <w:tcPr>
            <w:tcW w:w="252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账面价值合计</w:t>
            </w:r>
          </w:p>
        </w:tc>
        <w:tc>
          <w:tcPr>
            <w:tcW w:w="180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431" w:right="0"/>
              <w:jc w:val="left"/>
              <w:rPr>
                <w:rFonts w:ascii="Arial" w:hAnsi="Arial" w:cs="Arial" w:eastAsia="Arial" w:hint="default"/>
                <w:sz w:val="22"/>
                <w:szCs w:val="22"/>
              </w:rPr>
            </w:pPr>
            <w:r>
              <w:rPr>
                <w:rFonts w:ascii="Arial"/>
                <w:sz w:val="22"/>
              </w:rPr>
              <w:t>1,309,337</w:t>
            </w:r>
          </w:p>
        </w:tc>
        <w:tc>
          <w:tcPr>
            <w:tcW w:w="1659" w:type="dxa"/>
            <w:tcBorders>
              <w:top w:val="single" w:sz="4" w:space="0" w:color="000000"/>
              <w:left w:val="nil" w:sz="6" w:space="0" w:color="auto"/>
              <w:bottom w:val="single" w:sz="4" w:space="0" w:color="000000"/>
              <w:right w:val="nil" w:sz="6" w:space="0" w:color="auto"/>
            </w:tcBorders>
          </w:tcPr>
          <w:p>
            <w:pPr/>
          </w:p>
        </w:tc>
        <w:tc>
          <w:tcPr>
            <w:tcW w:w="1671" w:type="dxa"/>
            <w:tcBorders>
              <w:top w:val="single" w:sz="4" w:space="0" w:color="000000"/>
              <w:left w:val="nil" w:sz="6" w:space="0" w:color="auto"/>
              <w:bottom w:val="single" w:sz="4" w:space="0" w:color="000000"/>
              <w:right w:val="nil" w:sz="6" w:space="0" w:color="auto"/>
            </w:tcBorders>
          </w:tcPr>
          <w:p>
            <w:pP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41"/>
              <w:jc w:val="right"/>
              <w:rPr>
                <w:rFonts w:ascii="Arial" w:hAnsi="Arial" w:cs="Arial" w:eastAsia="Arial" w:hint="default"/>
                <w:sz w:val="22"/>
                <w:szCs w:val="22"/>
              </w:rPr>
            </w:pPr>
            <w:r>
              <w:rPr>
                <w:rFonts w:ascii="Arial"/>
                <w:spacing w:val="-1"/>
                <w:sz w:val="22"/>
              </w:rPr>
              <w:t>4,368,264</w:t>
            </w:r>
          </w:p>
        </w:tc>
      </w:tr>
      <w:tr>
        <w:trPr>
          <w:trHeight w:val="303"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single" w:sz="4" w:space="0" w:color="000000"/>
              <w:left w:val="single" w:sz="4" w:space="0" w:color="000000"/>
              <w:bottom w:val="nil" w:sz="6" w:space="0" w:color="auto"/>
              <w:right w:val="nil" w:sz="6" w:space="0" w:color="auto"/>
            </w:tcBorders>
          </w:tcPr>
          <w:p>
            <w:pPr>
              <w:pStyle w:val="TableParagraph"/>
              <w:spacing w:line="252" w:lineRule="exact"/>
              <w:ind w:left="299" w:right="0"/>
              <w:jc w:val="left"/>
              <w:rPr>
                <w:rFonts w:ascii="宋体" w:hAnsi="宋体" w:cs="宋体" w:eastAsia="宋体" w:hint="default"/>
                <w:sz w:val="22"/>
                <w:szCs w:val="22"/>
              </w:rPr>
            </w:pPr>
            <w:r>
              <w:rPr>
                <w:rFonts w:ascii="宋体" w:hAnsi="宋体" w:cs="宋体" w:eastAsia="宋体" w:hint="default"/>
                <w:sz w:val="22"/>
                <w:szCs w:val="22"/>
              </w:rPr>
              <w:t>土地使用权</w:t>
            </w:r>
          </w:p>
        </w:tc>
        <w:tc>
          <w:tcPr>
            <w:tcW w:w="180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615" w:right="0"/>
              <w:jc w:val="left"/>
              <w:rPr>
                <w:rFonts w:ascii="Arial" w:hAnsi="Arial" w:cs="Arial" w:eastAsia="Arial" w:hint="default"/>
                <w:sz w:val="22"/>
                <w:szCs w:val="22"/>
              </w:rPr>
            </w:pPr>
            <w:r>
              <w:rPr>
                <w:rFonts w:ascii="Arial"/>
                <w:sz w:val="22"/>
              </w:rPr>
              <w:t>975,150</w:t>
            </w:r>
          </w:p>
        </w:tc>
        <w:tc>
          <w:tcPr>
            <w:tcW w:w="1659" w:type="dxa"/>
            <w:tcBorders>
              <w:top w:val="single" w:sz="4" w:space="0" w:color="000000"/>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single" w:sz="4" w:space="0" w:color="000000"/>
            </w:tcBorders>
          </w:tcPr>
          <w:p>
            <w:pPr>
              <w:pStyle w:val="TableParagraph"/>
              <w:spacing w:line="240" w:lineRule="auto" w:before="31"/>
              <w:ind w:right="134"/>
              <w:jc w:val="right"/>
              <w:rPr>
                <w:rFonts w:ascii="Arial" w:hAnsi="Arial" w:cs="Arial" w:eastAsia="Arial" w:hint="default"/>
                <w:sz w:val="22"/>
                <w:szCs w:val="22"/>
              </w:rPr>
            </w:pPr>
            <w:r>
              <w:rPr>
                <w:rFonts w:ascii="Arial"/>
                <w:sz w:val="22"/>
              </w:rPr>
              <w:t>3,643,858</w:t>
            </w:r>
          </w:p>
        </w:tc>
      </w:tr>
      <w:tr>
        <w:trPr>
          <w:trHeight w:val="286"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39" w:lineRule="exact"/>
              <w:ind w:left="299" w:right="0"/>
              <w:jc w:val="left"/>
              <w:rPr>
                <w:rFonts w:ascii="宋体" w:hAnsi="宋体" w:cs="宋体" w:eastAsia="宋体" w:hint="default"/>
                <w:sz w:val="22"/>
                <w:szCs w:val="22"/>
              </w:rPr>
            </w:pPr>
            <w:r>
              <w:rPr>
                <w:rFonts w:ascii="宋体" w:hAnsi="宋体" w:cs="宋体" w:eastAsia="宋体" w:hint="default"/>
                <w:sz w:val="22"/>
                <w:szCs w:val="22"/>
              </w:rPr>
              <w:t>软件</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15" w:right="0"/>
              <w:jc w:val="left"/>
              <w:rPr>
                <w:rFonts w:ascii="Arial" w:hAnsi="Arial" w:cs="Arial" w:eastAsia="Arial" w:hint="default"/>
                <w:sz w:val="22"/>
                <w:szCs w:val="22"/>
              </w:rPr>
            </w:pPr>
            <w:r>
              <w:rPr>
                <w:rFonts w:ascii="Arial"/>
                <w:sz w:val="22"/>
              </w:rPr>
              <w:t>240,796</w:t>
            </w:r>
          </w:p>
        </w:tc>
        <w:tc>
          <w:tcPr>
            <w:tcW w:w="165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right="134"/>
              <w:jc w:val="right"/>
              <w:rPr>
                <w:rFonts w:ascii="Arial" w:hAnsi="Arial" w:cs="Arial" w:eastAsia="Arial" w:hint="default"/>
                <w:sz w:val="22"/>
                <w:szCs w:val="22"/>
              </w:rPr>
            </w:pPr>
            <w:r>
              <w:rPr>
                <w:rFonts w:ascii="Arial"/>
                <w:spacing w:val="-1"/>
                <w:sz w:val="22"/>
              </w:rPr>
              <w:t>282,761</w:t>
            </w:r>
          </w:p>
        </w:tc>
      </w:tr>
      <w:tr>
        <w:trPr>
          <w:trHeight w:val="286"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nil" w:sz="6" w:space="0" w:color="auto"/>
              <w:right w:val="nil" w:sz="6" w:space="0" w:color="auto"/>
            </w:tcBorders>
          </w:tcPr>
          <w:p>
            <w:pPr>
              <w:pStyle w:val="TableParagraph"/>
              <w:spacing w:line="255" w:lineRule="exact"/>
              <w:ind w:left="299" w:right="0"/>
              <w:jc w:val="left"/>
              <w:rPr>
                <w:rFonts w:ascii="Arial" w:hAnsi="Arial" w:cs="Arial" w:eastAsia="Arial" w:hint="default"/>
                <w:sz w:val="22"/>
                <w:szCs w:val="22"/>
              </w:rPr>
            </w:pPr>
            <w:r>
              <w:rPr>
                <w:rFonts w:ascii="宋体" w:hAnsi="宋体" w:cs="宋体" w:eastAsia="宋体" w:hint="default"/>
                <w:sz w:val="22"/>
                <w:szCs w:val="22"/>
              </w:rPr>
              <w:t>优惠承租权</w:t>
            </w:r>
            <w:r>
              <w:rPr>
                <w:rFonts w:ascii="Arial" w:hAnsi="Arial" w:cs="Arial" w:eastAsia="Arial" w:hint="default"/>
                <w:sz w:val="22"/>
                <w:szCs w:val="22"/>
              </w:rPr>
              <w:t>(a)</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5"/>
              <w:jc w:val="right"/>
              <w:rPr>
                <w:rFonts w:ascii="Arial" w:hAnsi="Arial" w:cs="Arial" w:eastAsia="Arial" w:hint="default"/>
                <w:sz w:val="22"/>
                <w:szCs w:val="22"/>
              </w:rPr>
            </w:pPr>
            <w:r>
              <w:rPr>
                <w:rFonts w:ascii="Arial"/>
                <w:spacing w:val="-1"/>
                <w:sz w:val="22"/>
              </w:rPr>
              <w:t>79,535</w:t>
            </w:r>
          </w:p>
        </w:tc>
        <w:tc>
          <w:tcPr>
            <w:tcW w:w="1659"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right="134"/>
              <w:jc w:val="right"/>
              <w:rPr>
                <w:rFonts w:ascii="Arial" w:hAnsi="Arial" w:cs="Arial" w:eastAsia="Arial" w:hint="default"/>
                <w:sz w:val="22"/>
                <w:szCs w:val="22"/>
              </w:rPr>
            </w:pPr>
            <w:r>
              <w:rPr>
                <w:rFonts w:ascii="Arial"/>
                <w:spacing w:val="-1"/>
                <w:sz w:val="22"/>
              </w:rPr>
              <w:t>35,865</w:t>
            </w:r>
          </w:p>
        </w:tc>
      </w:tr>
      <w:tr>
        <w:trPr>
          <w:trHeight w:val="280" w:hRule="exact"/>
        </w:trPr>
        <w:tc>
          <w:tcPr>
            <w:tcW w:w="815" w:type="dxa"/>
            <w:tcBorders>
              <w:top w:val="nil" w:sz="6" w:space="0" w:color="auto"/>
              <w:left w:val="nil" w:sz="6" w:space="0" w:color="auto"/>
              <w:bottom w:val="nil" w:sz="6" w:space="0" w:color="auto"/>
              <w:right w:val="single" w:sz="4" w:space="0" w:color="000000"/>
            </w:tcBorders>
          </w:tcPr>
          <w:p>
            <w:pPr/>
          </w:p>
        </w:tc>
        <w:tc>
          <w:tcPr>
            <w:tcW w:w="2521" w:type="dxa"/>
            <w:tcBorders>
              <w:top w:val="nil" w:sz="6" w:space="0" w:color="auto"/>
              <w:left w:val="single" w:sz="4" w:space="0" w:color="000000"/>
              <w:bottom w:val="single" w:sz="4" w:space="0" w:color="000000"/>
              <w:right w:val="nil" w:sz="6" w:space="0" w:color="auto"/>
            </w:tcBorders>
          </w:tcPr>
          <w:p>
            <w:pPr>
              <w:pStyle w:val="TableParagraph"/>
              <w:spacing w:line="239" w:lineRule="exact"/>
              <w:ind w:left="299" w:right="0"/>
              <w:jc w:val="left"/>
              <w:rPr>
                <w:rFonts w:ascii="宋体" w:hAnsi="宋体" w:cs="宋体" w:eastAsia="宋体" w:hint="default"/>
                <w:sz w:val="22"/>
                <w:szCs w:val="22"/>
              </w:rPr>
            </w:pPr>
            <w:r>
              <w:rPr>
                <w:rFonts w:ascii="宋体" w:hAnsi="宋体" w:cs="宋体" w:eastAsia="宋体" w:hint="default"/>
                <w:sz w:val="22"/>
                <w:szCs w:val="22"/>
              </w:rPr>
              <w:t>商标及客户关系</w:t>
            </w: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85"/>
              <w:jc w:val="right"/>
              <w:rPr>
                <w:rFonts w:ascii="Arial" w:hAnsi="Arial" w:cs="Arial" w:eastAsia="Arial" w:hint="default"/>
                <w:sz w:val="22"/>
                <w:szCs w:val="22"/>
              </w:rPr>
            </w:pPr>
            <w:r>
              <w:rPr>
                <w:rFonts w:ascii="Arial"/>
                <w:spacing w:val="-1"/>
                <w:sz w:val="22"/>
              </w:rPr>
              <w:t>13,856</w:t>
            </w:r>
          </w:p>
        </w:tc>
        <w:tc>
          <w:tcPr>
            <w:tcW w:w="1659" w:type="dxa"/>
            <w:tcBorders>
              <w:top w:val="nil" w:sz="6" w:space="0" w:color="auto"/>
              <w:left w:val="nil" w:sz="6" w:space="0" w:color="auto"/>
              <w:bottom w:val="single" w:sz="4" w:space="0" w:color="000000"/>
              <w:right w:val="nil" w:sz="6" w:space="0" w:color="auto"/>
            </w:tcBorders>
          </w:tcPr>
          <w:p>
            <w:pPr/>
          </w:p>
        </w:tc>
        <w:tc>
          <w:tcPr>
            <w:tcW w:w="1671" w:type="dxa"/>
            <w:tcBorders>
              <w:top w:val="nil" w:sz="6" w:space="0" w:color="auto"/>
              <w:left w:val="nil" w:sz="6" w:space="0" w:color="auto"/>
              <w:bottom w:val="single" w:sz="4" w:space="0" w:color="000000"/>
              <w:right w:val="nil" w:sz="6" w:space="0" w:color="auto"/>
            </w:tcBorders>
          </w:tcPr>
          <w:p>
            <w:pPr/>
          </w:p>
        </w:tc>
        <w:tc>
          <w:tcPr>
            <w:tcW w:w="1704" w:type="dxa"/>
            <w:tcBorders>
              <w:top w:val="nil" w:sz="6" w:space="0" w:color="auto"/>
              <w:left w:val="nil" w:sz="6" w:space="0" w:color="auto"/>
              <w:bottom w:val="single" w:sz="4" w:space="0" w:color="000000"/>
              <w:right w:val="single" w:sz="4" w:space="0" w:color="000000"/>
            </w:tcBorders>
          </w:tcPr>
          <w:p>
            <w:pPr>
              <w:pStyle w:val="TableParagraph"/>
              <w:spacing w:line="240" w:lineRule="auto" w:before="18"/>
              <w:ind w:right="134"/>
              <w:jc w:val="right"/>
              <w:rPr>
                <w:rFonts w:ascii="Arial" w:hAnsi="Arial" w:cs="Arial" w:eastAsia="Arial" w:hint="default"/>
                <w:sz w:val="22"/>
                <w:szCs w:val="22"/>
              </w:rPr>
            </w:pPr>
            <w:r>
              <w:rPr>
                <w:rFonts w:ascii="Arial"/>
                <w:spacing w:val="-1"/>
                <w:sz w:val="22"/>
              </w:rPr>
              <w:t>405,780</w:t>
            </w:r>
          </w:p>
        </w:tc>
      </w:tr>
    </w:tbl>
    <w:p>
      <w:pPr>
        <w:spacing w:after="0" w:line="240" w:lineRule="auto"/>
        <w:jc w:val="right"/>
        <w:rPr>
          <w:rFonts w:ascii="Arial" w:hAnsi="Arial" w:cs="Arial" w:eastAsia="Arial" w:hint="default"/>
          <w:sz w:val="22"/>
          <w:szCs w:val="22"/>
        </w:rPr>
        <w:sectPr>
          <w:pgSz w:w="11910" w:h="16850"/>
          <w:pgMar w:header="754" w:footer="956" w:top="2240" w:bottom="1140" w:left="8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913"/>
        <w:gridCol w:w="2638"/>
        <w:gridCol w:w="1424"/>
        <w:gridCol w:w="245"/>
        <w:gridCol w:w="1527"/>
        <w:gridCol w:w="283"/>
        <w:gridCol w:w="1409"/>
        <w:gridCol w:w="310"/>
        <w:gridCol w:w="1423"/>
      </w:tblGrid>
      <w:tr>
        <w:trPr>
          <w:trHeight w:val="698" w:hRule="exact"/>
        </w:trPr>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061"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2"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45" w:type="dxa"/>
            <w:tcBorders>
              <w:top w:val="single" w:sz="6" w:space="0" w:color="000000"/>
              <w:left w:val="nil" w:sz="6" w:space="0" w:color="auto"/>
              <w:bottom w:val="nil" w:sz="6" w:space="0" w:color="auto"/>
              <w:right w:val="nil" w:sz="6" w:space="0" w:color="auto"/>
            </w:tcBorders>
          </w:tcPr>
          <w:p>
            <w:pPr/>
          </w:p>
        </w:tc>
        <w:tc>
          <w:tcPr>
            <w:tcW w:w="1527"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409" w:type="dxa"/>
            <w:tcBorders>
              <w:top w:val="single" w:sz="6" w:space="0" w:color="000000"/>
              <w:left w:val="nil" w:sz="6" w:space="0" w:color="auto"/>
              <w:bottom w:val="nil" w:sz="6" w:space="0" w:color="auto"/>
              <w:right w:val="nil" w:sz="6" w:space="0" w:color="auto"/>
            </w:tcBorders>
          </w:tcPr>
          <w:p>
            <w:pPr/>
          </w:p>
        </w:tc>
        <w:tc>
          <w:tcPr>
            <w:tcW w:w="310" w:type="dxa"/>
            <w:tcBorders>
              <w:top w:val="single" w:sz="6" w:space="0" w:color="000000"/>
              <w:left w:val="nil" w:sz="6" w:space="0" w:color="auto"/>
              <w:bottom w:val="nil" w:sz="6" w:space="0" w:color="auto"/>
              <w:right w:val="nil" w:sz="6" w:space="0" w:color="auto"/>
            </w:tcBorders>
          </w:tcPr>
          <w:p>
            <w:pPr/>
          </w:p>
        </w:tc>
        <w:tc>
          <w:tcPr>
            <w:tcW w:w="1423" w:type="dxa"/>
            <w:tcBorders>
              <w:top w:val="single" w:sz="6" w:space="0" w:color="000000"/>
              <w:left w:val="nil" w:sz="6" w:space="0" w:color="auto"/>
              <w:bottom w:val="nil" w:sz="6" w:space="0" w:color="auto"/>
              <w:right w:val="nil" w:sz="6" w:space="0" w:color="auto"/>
            </w:tcBorders>
          </w:tcPr>
          <w:p>
            <w:pPr/>
          </w:p>
        </w:tc>
      </w:tr>
      <w:tr>
        <w:trPr>
          <w:trHeight w:val="591" w:hRule="exact"/>
        </w:trPr>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(13)</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 w:right="0"/>
              <w:jc w:val="left"/>
              <w:rPr>
                <w:rFonts w:ascii="Arial" w:hAnsi="Arial" w:cs="Arial" w:eastAsia="Arial" w:hint="default"/>
                <w:sz w:val="24"/>
                <w:szCs w:val="24"/>
              </w:rPr>
            </w:pPr>
            <w:r>
              <w:rPr>
                <w:rFonts w:ascii="宋体" w:hAnsi="宋体" w:cs="宋体" w:eastAsia="宋体" w:hint="default"/>
                <w:b/>
                <w:bCs/>
                <w:sz w:val="24"/>
                <w:szCs w:val="24"/>
              </w:rPr>
              <w:t>无形资产</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4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588" w:hRule="exact"/>
        </w:trPr>
        <w:tc>
          <w:tcPr>
            <w:tcW w:w="10172"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94"/>
              <w:ind w:left="92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年度无形资产的摊销金额约人民币</w:t>
            </w:r>
            <w:r>
              <w:rPr>
                <w:rFonts w:ascii="宋体" w:hAnsi="宋体" w:cs="宋体" w:eastAsia="宋体" w:hint="default"/>
                <w:spacing w:val="-62"/>
                <w:sz w:val="24"/>
                <w:szCs w:val="24"/>
              </w:rPr>
              <w:t> </w:t>
            </w:r>
            <w:r>
              <w:rPr>
                <w:rFonts w:ascii="Arial" w:hAnsi="Arial" w:cs="Arial" w:eastAsia="Arial" w:hint="default"/>
                <w:sz w:val="24"/>
                <w:szCs w:val="24"/>
              </w:rPr>
              <w:t>1.58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2"/>
                <w:sz w:val="24"/>
                <w:szCs w:val="24"/>
              </w:rPr>
              <w:t> </w:t>
            </w:r>
            <w:r>
              <w:rPr>
                <w:rFonts w:ascii="Arial" w:hAnsi="Arial" w:cs="Arial" w:eastAsia="Arial" w:hint="default"/>
                <w:sz w:val="24"/>
                <w:szCs w:val="24"/>
              </w:rPr>
              <w:t>1.08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893" w:hRule="exact"/>
        </w:trPr>
        <w:tc>
          <w:tcPr>
            <w:tcW w:w="10172"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124"/>
              <w:ind w:left="925" w:right="104"/>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5"/>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日，本集团无土地使用权作为短期借款的抵 押物。</w:t>
            </w:r>
          </w:p>
        </w:tc>
      </w:tr>
      <w:tr>
        <w:trPr>
          <w:trHeight w:val="592" w:hRule="exact"/>
        </w:trPr>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Arial" w:hAnsi="Arial" w:cs="Arial" w:eastAsia="Arial" w:hint="default"/>
                <w:sz w:val="24"/>
                <w:szCs w:val="24"/>
              </w:rPr>
            </w:pPr>
            <w:r>
              <w:rPr>
                <w:rFonts w:ascii="Arial"/>
                <w:sz w:val="24"/>
              </w:rPr>
              <w:t>(a)</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left"/>
              <w:rPr>
                <w:rFonts w:ascii="宋体" w:hAnsi="宋体" w:cs="宋体" w:eastAsia="宋体" w:hint="default"/>
                <w:sz w:val="24"/>
                <w:szCs w:val="24"/>
              </w:rPr>
            </w:pPr>
            <w:r>
              <w:rPr>
                <w:rFonts w:ascii="宋体" w:hAnsi="宋体" w:cs="宋体" w:eastAsia="宋体" w:hint="default"/>
                <w:sz w:val="24"/>
                <w:szCs w:val="24"/>
              </w:rPr>
              <w:t>优惠承租权</w:t>
            </w:r>
          </w:p>
        </w:tc>
        <w:tc>
          <w:tcPr>
            <w:tcW w:w="14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1521" w:hRule="exact"/>
        </w:trPr>
        <w:tc>
          <w:tcPr>
            <w:tcW w:w="10172"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130"/>
              <w:ind w:left="925" w:right="104"/>
              <w:jc w:val="both"/>
              <w:rPr>
                <w:rFonts w:ascii="宋体" w:hAnsi="宋体" w:cs="宋体" w:eastAsia="宋体" w:hint="default"/>
                <w:sz w:val="24"/>
                <w:szCs w:val="24"/>
              </w:rPr>
            </w:pPr>
            <w:r>
              <w:rPr>
                <w:rFonts w:ascii="宋体" w:hAnsi="宋体" w:cs="宋体" w:eastAsia="宋体" w:hint="default"/>
                <w:sz w:val="24"/>
                <w:szCs w:val="24"/>
              </w:rPr>
              <w:t>优惠承租权系 </w:t>
            </w:r>
            <w:r>
              <w:rPr>
                <w:rFonts w:ascii="Arial" w:hAnsi="Arial" w:cs="Arial" w:eastAsia="Arial" w:hint="default"/>
                <w:sz w:val="24"/>
                <w:szCs w:val="24"/>
              </w:rPr>
              <w:t>2007</w:t>
            </w:r>
            <w:r>
              <w:rPr>
                <w:rFonts w:ascii="Arial" w:hAnsi="Arial" w:cs="Arial" w:eastAsia="Arial" w:hint="default"/>
                <w:spacing w:val="15"/>
                <w:sz w:val="24"/>
                <w:szCs w:val="24"/>
              </w:rPr>
              <w:t> </w:t>
            </w:r>
            <w:r>
              <w:rPr>
                <w:rFonts w:ascii="宋体" w:hAnsi="宋体" w:cs="宋体" w:eastAsia="宋体" w:hint="default"/>
                <w:sz w:val="24"/>
                <w:szCs w:val="24"/>
              </w:rPr>
              <w:t>年度本集团对加盟店进行业务合并的过程中确认的无形资产。根据 </w:t>
            </w:r>
            <w:r>
              <w:rPr>
                <w:rFonts w:ascii="宋体" w:hAnsi="宋体" w:cs="宋体" w:eastAsia="宋体" w:hint="default"/>
                <w:spacing w:val="-6"/>
                <w:sz w:val="24"/>
                <w:szCs w:val="24"/>
              </w:rPr>
              <w:t>本集团与加盟公司签署《特许加盟终止协议》，加盟公司须协助本集团承接原加盟店的租</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约。由于部分租约的租金较市场租金优惠，本集团按照评估值确认该优惠承租权作为本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集团的无形资产，并在预计受益期内以直线法摊销。</w:t>
            </w:r>
          </w:p>
        </w:tc>
      </w:tr>
      <w:tr>
        <w:trPr>
          <w:trHeight w:val="592" w:hRule="exact"/>
        </w:trPr>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40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2" w:right="0"/>
              <w:jc w:val="left"/>
              <w:rPr>
                <w:rFonts w:ascii="宋体" w:hAnsi="宋体" w:cs="宋体" w:eastAsia="宋体" w:hint="default"/>
                <w:sz w:val="24"/>
                <w:szCs w:val="24"/>
              </w:rPr>
            </w:pPr>
            <w:r>
              <w:rPr>
                <w:rFonts w:ascii="宋体" w:hAnsi="宋体" w:cs="宋体" w:eastAsia="宋体" w:hint="default"/>
                <w:sz w:val="24"/>
                <w:szCs w:val="24"/>
              </w:rPr>
              <w:t>本集团开发支出列示如下：</w:t>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907" w:hRule="exact"/>
        </w:trPr>
        <w:tc>
          <w:tcPr>
            <w:tcW w:w="913" w:type="dxa"/>
            <w:tcBorders>
              <w:top w:val="nil" w:sz="6" w:space="0" w:color="auto"/>
              <w:left w:val="nil" w:sz="6" w:space="0" w:color="auto"/>
              <w:bottom w:val="nil" w:sz="6" w:space="0" w:color="auto"/>
              <w:right w:val="nil" w:sz="6" w:space="0" w:color="auto"/>
            </w:tcBorders>
          </w:tcPr>
          <w:p>
            <w:pPr/>
          </w:p>
        </w:tc>
        <w:tc>
          <w:tcPr>
            <w:tcW w:w="4061"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101"/>
              <w:ind w:left="2594"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223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80" w:right="267" w:firstLine="240"/>
              <w:jc w:val="left"/>
              <w:rPr>
                <w:rFonts w:ascii="宋体" w:hAnsi="宋体" w:cs="宋体" w:eastAsia="宋体" w:hint="default"/>
                <w:sz w:val="24"/>
                <w:szCs w:val="24"/>
              </w:rPr>
            </w:pPr>
            <w:r>
              <w:rPr>
                <w:rFonts w:ascii="宋体" w:hAnsi="宋体" w:cs="宋体" w:eastAsia="宋体" w:hint="default"/>
                <w:sz w:val="24"/>
                <w:szCs w:val="24"/>
              </w:rPr>
              <w:t>确认为 无形资产</w:t>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322" w:lineRule="exact" w:before="101"/>
              <w:ind w:left="49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12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01"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tabs>
                <w:tab w:pos="2032" w:val="left" w:leader="none"/>
                <w:tab w:pos="2693" w:val="left" w:leader="none"/>
              </w:tabs>
              <w:spacing w:line="240" w:lineRule="auto" w:before="93"/>
              <w:ind w:left="12" w:right="-56"/>
              <w:jc w:val="left"/>
              <w:rPr>
                <w:rFonts w:ascii="Arial" w:hAnsi="Arial" w:cs="Arial" w:eastAsia="Arial" w:hint="default"/>
                <w:sz w:val="24"/>
                <w:szCs w:val="24"/>
              </w:rPr>
            </w:pPr>
            <w:r>
              <w:rPr>
                <w:rFonts w:ascii="宋体" w:hAnsi="宋体" w:cs="宋体" w:eastAsia="宋体" w:hint="default"/>
                <w:position w:val="2"/>
                <w:sz w:val="24"/>
                <w:szCs w:val="24"/>
              </w:rPr>
              <w:t>系统软件开发</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424" w:type="dxa"/>
            <w:tcBorders>
              <w:top w:val="nil" w:sz="6" w:space="0" w:color="auto"/>
              <w:left w:val="nil" w:sz="6" w:space="0" w:color="auto"/>
              <w:bottom w:val="nil" w:sz="6" w:space="0" w:color="auto"/>
              <w:right w:val="nil" w:sz="6" w:space="0" w:color="auto"/>
            </w:tcBorders>
          </w:tcPr>
          <w:p>
            <w:pPr>
              <w:pStyle w:val="TableParagraph"/>
              <w:tabs>
                <w:tab w:pos="1133" w:val="left" w:leader="none"/>
                <w:tab w:pos="1893" w:val="left" w:leader="none"/>
              </w:tabs>
              <w:spacing w:line="240" w:lineRule="auto" w:before="168"/>
              <w:ind w:left="55" w:right="-471"/>
              <w:jc w:val="left"/>
              <w:rPr>
                <w:rFonts w:ascii="Arial" w:hAnsi="Arial" w:cs="Arial" w:eastAsia="Arial" w:hint="default"/>
                <w:sz w:val="24"/>
                <w:szCs w:val="24"/>
              </w:rPr>
            </w:pPr>
            <w:r>
              <w:rPr>
                <w:rFonts w:ascii="Arial"/>
                <w:w w:val="99"/>
                <w:sz w:val="24"/>
              </w:rPr>
            </w:r>
            <w:r>
              <w:rPr>
                <w:rFonts w:ascii="Arial"/>
                <w:sz w:val="24"/>
                <w:u w:val="thick" w:color="000000"/>
              </w:rPr>
              <w:t>22,125 </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tabs>
                <w:tab w:pos="1305" w:val="left" w:leader="none"/>
                <w:tab w:pos="2054" w:val="left" w:leader="none"/>
              </w:tabs>
              <w:spacing w:line="240" w:lineRule="auto" w:before="168"/>
              <w:ind w:left="225" w:right="-528"/>
              <w:jc w:val="left"/>
              <w:rPr>
                <w:rFonts w:ascii="Arial" w:hAnsi="Arial" w:cs="Arial" w:eastAsia="Arial" w:hint="default"/>
                <w:sz w:val="24"/>
                <w:szCs w:val="24"/>
              </w:rPr>
            </w:pPr>
            <w:r>
              <w:rPr>
                <w:rFonts w:ascii="Arial"/>
                <w:w w:val="99"/>
                <w:sz w:val="24"/>
              </w:rPr>
            </w:r>
            <w:r>
              <w:rPr>
                <w:rFonts w:ascii="Arial"/>
                <w:sz w:val="24"/>
                <w:u w:val="thick" w:color="000000"/>
              </w:rPr>
              <w:t>87,716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168"/>
              <w:ind w:right="158"/>
              <w:jc w:val="right"/>
              <w:rPr>
                <w:rFonts w:ascii="Arial" w:hAnsi="Arial" w:cs="Arial" w:eastAsia="Arial" w:hint="default"/>
                <w:sz w:val="24"/>
                <w:szCs w:val="24"/>
              </w:rPr>
            </w:pPr>
            <w:r>
              <w:rPr>
                <w:rFonts w:ascii="Arial"/>
                <w:w w:val="99"/>
                <w:sz w:val="24"/>
              </w:rPr>
            </w:r>
            <w:r>
              <w:rPr>
                <w:rFonts w:ascii="Arial"/>
                <w:spacing w:val="-1"/>
                <w:sz w:val="24"/>
                <w:u w:val="thick" w:color="000000"/>
              </w:rPr>
              <w:t>(15,943)</w:t>
              <w:tab/>
            </w:r>
            <w:r>
              <w:rPr>
                <w:rFonts w:ascii="Arial"/>
                <w:spacing w:val="-1"/>
                <w:sz w:val="24"/>
              </w:rPr>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tabs>
                <w:tab w:pos="580" w:val="left" w:leader="none"/>
                <w:tab w:pos="1423" w:val="left" w:leader="none"/>
              </w:tabs>
              <w:spacing w:line="240" w:lineRule="auto" w:before="168"/>
              <w:ind w:left="-233"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93,898</w:t>
              <w:tab/>
            </w:r>
            <w:r>
              <w:rPr>
                <w:rFonts w:ascii="Arial"/>
                <w:spacing w:val="-1"/>
                <w:sz w:val="24"/>
              </w:rPr>
            </w:r>
          </w:p>
        </w:tc>
      </w:tr>
      <w:tr>
        <w:trPr>
          <w:trHeight w:val="2134" w:hRule="exact"/>
        </w:trPr>
        <w:tc>
          <w:tcPr>
            <w:tcW w:w="10172"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118"/>
              <w:ind w:left="925" w:right="77"/>
              <w:jc w:val="both"/>
              <w:rPr>
                <w:rFonts w:ascii="宋体" w:hAnsi="宋体" w:cs="宋体" w:eastAsia="宋体" w:hint="default"/>
                <w:sz w:val="24"/>
                <w:szCs w:val="24"/>
              </w:rPr>
            </w:pPr>
            <w:r>
              <w:rPr>
                <w:rFonts w:ascii="Arial" w:hAnsi="Arial" w:cs="Arial" w:eastAsia="Arial" w:hint="default"/>
                <w:sz w:val="24"/>
                <w:szCs w:val="24"/>
              </w:rPr>
              <w:t>2011</w:t>
            </w:r>
            <w:r>
              <w:rPr>
                <w:rFonts w:ascii="宋体" w:hAnsi="宋体" w:cs="宋体" w:eastAsia="宋体" w:hint="default"/>
                <w:sz w:val="24"/>
                <w:szCs w:val="24"/>
              </w:rPr>
              <w:t>年度，本集团研究开发支出共计约人民币</w:t>
            </w:r>
            <w:r>
              <w:rPr>
                <w:rFonts w:ascii="Arial" w:hAnsi="Arial" w:cs="Arial" w:eastAsia="Arial" w:hint="default"/>
                <w:sz w:val="24"/>
                <w:szCs w:val="24"/>
              </w:rPr>
              <w:t>8,772</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(2010</w:t>
            </w:r>
            <w:r>
              <w:rPr>
                <w:rFonts w:ascii="宋体" w:hAnsi="宋体" w:cs="宋体" w:eastAsia="宋体" w:hint="default"/>
                <w:sz w:val="24"/>
                <w:szCs w:val="24"/>
              </w:rPr>
              <w:t>年度：约人民币</w:t>
            </w:r>
            <w:r>
              <w:rPr>
                <w:rFonts w:ascii="Arial" w:hAnsi="Arial" w:cs="Arial" w:eastAsia="Arial" w:hint="default"/>
                <w:sz w:val="24"/>
                <w:szCs w:val="24"/>
              </w:rPr>
              <w:t>8,749</w:t>
            </w:r>
            <w:r>
              <w:rPr>
                <w:rFonts w:ascii="宋体" w:hAnsi="宋体" w:cs="宋体" w:eastAsia="宋体" w:hint="default"/>
                <w:sz w:val="24"/>
                <w:szCs w:val="24"/>
              </w:rPr>
              <w:t>万 </w:t>
            </w:r>
            <w:r>
              <w:rPr>
                <w:rFonts w:ascii="宋体" w:hAnsi="宋体" w:cs="宋体" w:eastAsia="宋体" w:hint="default"/>
                <w:spacing w:val="-2"/>
                <w:sz w:val="24"/>
                <w:szCs w:val="24"/>
              </w:rPr>
              <w:t>元</w:t>
            </w:r>
            <w:r>
              <w:rPr>
                <w:rFonts w:ascii="Arial" w:hAnsi="Arial" w:cs="Arial" w:eastAsia="Arial" w:hint="default"/>
                <w:spacing w:val="-2"/>
                <w:sz w:val="24"/>
                <w:szCs w:val="24"/>
              </w:rPr>
              <w:t>)</w:t>
            </w:r>
            <w:r>
              <w:rPr>
                <w:rFonts w:ascii="宋体" w:hAnsi="宋体" w:cs="宋体" w:eastAsia="宋体" w:hint="default"/>
                <w:spacing w:val="-2"/>
                <w:sz w:val="24"/>
                <w:szCs w:val="24"/>
              </w:rPr>
              <w:t>；其中约人民币</w:t>
            </w:r>
            <w:r>
              <w:rPr>
                <w:rFonts w:ascii="Arial" w:hAnsi="Arial" w:cs="Arial" w:eastAsia="Arial" w:hint="default"/>
                <w:spacing w:val="-2"/>
                <w:sz w:val="24"/>
                <w:szCs w:val="24"/>
              </w:rPr>
              <w:t>380</w:t>
            </w:r>
            <w:r>
              <w:rPr>
                <w:rFonts w:ascii="宋体" w:hAnsi="宋体" w:cs="宋体" w:eastAsia="宋体" w:hint="default"/>
                <w:spacing w:val="-2"/>
                <w:sz w:val="24"/>
                <w:szCs w:val="24"/>
              </w:rPr>
              <w:t>万元</w:t>
            </w:r>
            <w:r>
              <w:rPr>
                <w:rFonts w:ascii="Arial" w:hAnsi="Arial" w:cs="Arial" w:eastAsia="Arial" w:hint="default"/>
                <w:spacing w:val="-2"/>
                <w:sz w:val="24"/>
                <w:szCs w:val="24"/>
              </w:rPr>
              <w:t>(2010</w:t>
            </w:r>
            <w:r>
              <w:rPr>
                <w:rFonts w:ascii="宋体" w:hAnsi="宋体" w:cs="宋体" w:eastAsia="宋体" w:hint="default"/>
                <w:spacing w:val="-2"/>
                <w:sz w:val="24"/>
                <w:szCs w:val="24"/>
              </w:rPr>
              <w:t>年度：约人民币</w:t>
            </w:r>
            <w:r>
              <w:rPr>
                <w:rFonts w:ascii="Arial" w:hAnsi="Arial" w:cs="Arial" w:eastAsia="Arial" w:hint="default"/>
                <w:spacing w:val="-2"/>
                <w:sz w:val="24"/>
                <w:szCs w:val="24"/>
              </w:rPr>
              <w:t>6,703</w:t>
            </w:r>
            <w:r>
              <w:rPr>
                <w:rFonts w:ascii="宋体" w:hAnsi="宋体" w:cs="宋体" w:eastAsia="宋体" w:hint="default"/>
                <w:spacing w:val="-2"/>
                <w:sz w:val="24"/>
                <w:szCs w:val="24"/>
              </w:rPr>
              <w:t>万元</w:t>
            </w:r>
            <w:r>
              <w:rPr>
                <w:rFonts w:ascii="Arial" w:hAnsi="Arial" w:cs="Arial" w:eastAsia="Arial" w:hint="default"/>
                <w:spacing w:val="-2"/>
                <w:sz w:val="24"/>
                <w:szCs w:val="24"/>
              </w:rPr>
              <w:t>)</w:t>
            </w:r>
            <w:r>
              <w:rPr>
                <w:rFonts w:ascii="宋体" w:hAnsi="宋体" w:cs="宋体" w:eastAsia="宋体" w:hint="default"/>
                <w:spacing w:val="-2"/>
                <w:sz w:val="24"/>
                <w:szCs w:val="24"/>
              </w:rPr>
              <w:t>于当期确认为无形资产，约</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人民币</w:t>
            </w:r>
            <w:r>
              <w:rPr>
                <w:rFonts w:ascii="Arial" w:hAnsi="Arial" w:cs="Arial" w:eastAsia="Arial" w:hint="default"/>
                <w:sz w:val="24"/>
                <w:szCs w:val="24"/>
              </w:rPr>
              <w:t>8,392</w:t>
            </w:r>
            <w:r>
              <w:rPr>
                <w:rFonts w:ascii="宋体" w:hAnsi="宋体" w:cs="宋体" w:eastAsia="宋体" w:hint="default"/>
                <w:sz w:val="24"/>
                <w:szCs w:val="24"/>
              </w:rPr>
              <w:t>万元</w:t>
            </w:r>
            <w:r>
              <w:rPr>
                <w:rFonts w:ascii="Arial" w:hAnsi="Arial" w:cs="Arial" w:eastAsia="Arial" w:hint="default"/>
                <w:sz w:val="24"/>
                <w:szCs w:val="24"/>
              </w:rPr>
              <w:t>(2010</w:t>
            </w:r>
            <w:r>
              <w:rPr>
                <w:rFonts w:ascii="宋体" w:hAnsi="宋体" w:cs="宋体" w:eastAsia="宋体" w:hint="default"/>
                <w:sz w:val="24"/>
                <w:szCs w:val="24"/>
              </w:rPr>
              <w:t>年度：约人民币</w:t>
            </w:r>
            <w:r>
              <w:rPr>
                <w:rFonts w:ascii="Arial" w:hAnsi="Arial" w:cs="Arial" w:eastAsia="Arial" w:hint="default"/>
                <w:sz w:val="24"/>
                <w:szCs w:val="24"/>
              </w:rPr>
              <w:t>2,046</w:t>
            </w:r>
            <w:r>
              <w:rPr>
                <w:rFonts w:ascii="宋体" w:hAnsi="宋体" w:cs="宋体" w:eastAsia="宋体" w:hint="default"/>
                <w:sz w:val="24"/>
                <w:szCs w:val="24"/>
              </w:rPr>
              <w:t>万元</w:t>
            </w:r>
            <w:r>
              <w:rPr>
                <w:rFonts w:ascii="Arial" w:hAnsi="Arial" w:cs="Arial" w:eastAsia="Arial" w:hint="default"/>
                <w:sz w:val="24"/>
                <w:szCs w:val="24"/>
              </w:rPr>
              <w:t>)</w:t>
            </w:r>
            <w:r>
              <w:rPr>
                <w:rFonts w:ascii="Arial" w:hAnsi="Arial" w:cs="Arial" w:eastAsia="Arial" w:hint="default"/>
                <w:spacing w:val="3"/>
                <w:sz w:val="24"/>
                <w:szCs w:val="24"/>
              </w:rPr>
              <w:t> </w:t>
            </w:r>
            <w:r>
              <w:rPr>
                <w:rFonts w:ascii="宋体" w:hAnsi="宋体" w:cs="宋体" w:eastAsia="宋体" w:hint="default"/>
                <w:spacing w:val="-4"/>
                <w:sz w:val="24"/>
                <w:szCs w:val="24"/>
              </w:rPr>
              <w:t>包含在开发成本的年末余额中。</w:t>
            </w:r>
            <w:r>
              <w:rPr>
                <w:rFonts w:ascii="Arial" w:hAnsi="Arial" w:cs="Arial" w:eastAsia="Arial" w:hint="default"/>
                <w:spacing w:val="-4"/>
                <w:sz w:val="24"/>
                <w:szCs w:val="24"/>
              </w:rPr>
              <w:t>2011</w:t>
            </w:r>
            <w:r>
              <w:rPr>
                <w:rFonts w:ascii="Arial" w:hAnsi="Arial" w:cs="Arial" w:eastAsia="Arial" w:hint="default"/>
                <w:w w:val="99"/>
                <w:sz w:val="24"/>
                <w:szCs w:val="24"/>
              </w:rPr>
              <w:t> </w:t>
            </w:r>
            <w:r>
              <w:rPr>
                <w:rFonts w:ascii="宋体" w:hAnsi="宋体" w:cs="宋体" w:eastAsia="宋体" w:hint="default"/>
                <w:spacing w:val="20"/>
                <w:sz w:val="24"/>
                <w:szCs w:val="24"/>
              </w:rPr>
              <w:t>年度系统软件开发支出占</w:t>
            </w:r>
            <w:r>
              <w:rPr>
                <w:rFonts w:ascii="宋体" w:hAnsi="宋体" w:cs="宋体" w:eastAsia="宋体" w:hint="default"/>
                <w:spacing w:val="-92"/>
                <w:sz w:val="24"/>
                <w:szCs w:val="24"/>
              </w:rPr>
              <w:t> </w:t>
            </w:r>
            <w:r>
              <w:rPr>
                <w:rFonts w:ascii="Arial" w:hAnsi="Arial" w:cs="Arial" w:eastAsia="Arial" w:hint="default"/>
                <w:spacing w:val="-6"/>
                <w:sz w:val="24"/>
                <w:szCs w:val="24"/>
              </w:rPr>
              <w:t>2011</w:t>
            </w:r>
            <w:r>
              <w:rPr>
                <w:rFonts w:ascii="Arial" w:hAnsi="Arial" w:cs="Arial" w:eastAsia="Arial" w:hint="default"/>
                <w:spacing w:val="-40"/>
                <w:sz w:val="24"/>
                <w:szCs w:val="24"/>
              </w:rPr>
              <w:t> </w:t>
            </w:r>
            <w:r>
              <w:rPr>
                <w:rFonts w:ascii="宋体" w:hAnsi="宋体" w:cs="宋体" w:eastAsia="宋体" w:hint="default"/>
                <w:spacing w:val="20"/>
                <w:sz w:val="24"/>
                <w:szCs w:val="24"/>
              </w:rPr>
              <w:t>年度研究开发支出总额的比例为</w:t>
            </w:r>
            <w:r>
              <w:rPr>
                <w:rFonts w:ascii="宋体" w:hAnsi="宋体" w:cs="宋体" w:eastAsia="宋体" w:hint="default"/>
                <w:spacing w:val="-93"/>
                <w:sz w:val="24"/>
                <w:szCs w:val="24"/>
              </w:rPr>
              <w:t> </w:t>
            </w:r>
            <w:r>
              <w:rPr>
                <w:rFonts w:ascii="Arial" w:hAnsi="Arial" w:cs="Arial" w:eastAsia="Arial" w:hint="default"/>
                <w:sz w:val="24"/>
                <w:szCs w:val="24"/>
              </w:rPr>
              <w:t>100%(2010</w:t>
            </w:r>
            <w:r>
              <w:rPr>
                <w:rFonts w:ascii="Arial" w:hAnsi="Arial" w:cs="Arial" w:eastAsia="Arial" w:hint="default"/>
                <w:spacing w:val="-39"/>
                <w:sz w:val="24"/>
                <w:szCs w:val="24"/>
              </w:rPr>
              <w:t> </w:t>
            </w:r>
            <w:r>
              <w:rPr>
                <w:rFonts w:ascii="宋体" w:hAnsi="宋体" w:cs="宋体" w:eastAsia="宋体" w:hint="default"/>
                <w:spacing w:val="16"/>
                <w:sz w:val="24"/>
                <w:szCs w:val="24"/>
              </w:rPr>
              <w:t>年度：</w:t>
            </w:r>
            <w:r>
              <w:rPr>
                <w:rFonts w:ascii="宋体" w:hAnsi="宋体" w:cs="宋体" w:eastAsia="宋体" w:hint="default"/>
                <w:spacing w:val="-116"/>
                <w:sz w:val="24"/>
                <w:szCs w:val="24"/>
              </w:rPr>
              <w:t> </w:t>
            </w:r>
            <w:r>
              <w:rPr>
                <w:rFonts w:ascii="Arial" w:hAnsi="Arial" w:cs="Arial" w:eastAsia="Arial" w:hint="default"/>
                <w:sz w:val="24"/>
                <w:szCs w:val="24"/>
              </w:rPr>
              <w:t>100%)</w:t>
            </w:r>
            <w:r>
              <w:rPr>
                <w:rFonts w:ascii="宋体" w:hAnsi="宋体" w:cs="宋体" w:eastAsia="宋体" w:hint="default"/>
                <w:sz w:val="24"/>
                <w:szCs w:val="24"/>
              </w:rPr>
              <w:t>。于</w:t>
            </w:r>
            <w:r>
              <w:rPr>
                <w:rFonts w:ascii="Arial" w:hAnsi="Arial" w:cs="Arial" w:eastAsia="Arial" w:hint="default"/>
                <w:sz w:val="24"/>
                <w:szCs w:val="24"/>
              </w:rPr>
              <w:t>2011</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日及</w:t>
            </w:r>
            <w:r>
              <w:rPr>
                <w:rFonts w:ascii="Arial" w:hAnsi="Arial" w:cs="Arial" w:eastAsia="Arial" w:hint="default"/>
                <w:sz w:val="24"/>
                <w:szCs w:val="24"/>
              </w:rPr>
              <w:t>2010</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日，无通过本集团内部研发形成的无形资</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产。</w:t>
            </w:r>
          </w:p>
        </w:tc>
      </w:tr>
      <w:tr>
        <w:trPr>
          <w:trHeight w:val="453" w:hRule="exact"/>
        </w:trPr>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(14)</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 w:right="0"/>
              <w:jc w:val="left"/>
              <w:rPr>
                <w:rFonts w:ascii="宋体" w:hAnsi="宋体" w:cs="宋体" w:eastAsia="宋体" w:hint="default"/>
                <w:sz w:val="24"/>
                <w:szCs w:val="24"/>
              </w:rPr>
            </w:pPr>
            <w:r>
              <w:rPr>
                <w:rFonts w:ascii="宋体" w:hAnsi="宋体" w:cs="宋体" w:eastAsia="宋体" w:hint="default"/>
                <w:b/>
                <w:bCs/>
                <w:sz w:val="24"/>
                <w:szCs w:val="24"/>
              </w:rPr>
              <w:t>商誉</w:t>
            </w:r>
            <w:r>
              <w:rPr>
                <w:rFonts w:ascii="宋体" w:hAnsi="宋体" w:cs="宋体" w:eastAsia="宋体" w:hint="default"/>
                <w:sz w:val="24"/>
                <w:szCs w:val="24"/>
              </w:rPr>
            </w:r>
          </w:p>
        </w:tc>
        <w:tc>
          <w:tcPr>
            <w:tcW w:w="14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630"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84" w:lineRule="exact"/>
              <w:ind w:left="50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14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76" w:lineRule="exact"/>
              <w:ind w:left="458"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76" w:lineRule="exact"/>
              <w:ind w:right="106"/>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84" w:lineRule="exact"/>
              <w:ind w:left="56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21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09"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87" w:lineRule="exact"/>
              <w:ind w:left="12" w:right="0"/>
              <w:jc w:val="left"/>
              <w:rPr>
                <w:rFonts w:ascii="Arial" w:hAnsi="Arial" w:cs="Arial" w:eastAsia="Arial" w:hint="default"/>
                <w:sz w:val="24"/>
                <w:szCs w:val="24"/>
              </w:rPr>
            </w:pPr>
            <w:r>
              <w:rPr>
                <w:rFonts w:ascii="宋体" w:hAnsi="宋体" w:cs="宋体" w:eastAsia="宋体" w:hint="default"/>
                <w:sz w:val="24"/>
                <w:szCs w:val="24"/>
              </w:rPr>
              <w:t>商誉</w:t>
            </w:r>
            <w:r>
              <w:rPr>
                <w:rFonts w:ascii="宋体" w:hAnsi="宋体" w:cs="宋体" w:eastAsia="宋体" w:hint="default"/>
                <w:spacing w:val="-1"/>
                <w:sz w:val="24"/>
                <w:szCs w:val="24"/>
              </w:rPr>
              <w:t> </w:t>
            </w:r>
            <w:r>
              <w:rPr>
                <w:rFonts w:ascii="Arial" w:hAnsi="Arial" w:cs="Arial" w:eastAsia="Arial" w:hint="default"/>
                <w:sz w:val="24"/>
                <w:szCs w:val="24"/>
              </w:rPr>
              <w:t>-</w:t>
            </w:r>
          </w:p>
        </w:tc>
        <w:tc>
          <w:tcPr>
            <w:tcW w:w="1424"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618"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80" w:lineRule="exact"/>
              <w:ind w:left="499" w:right="0"/>
              <w:jc w:val="left"/>
              <w:rPr>
                <w:rFonts w:ascii="宋体" w:hAnsi="宋体" w:cs="宋体" w:eastAsia="宋体" w:hint="default"/>
                <w:sz w:val="24"/>
                <w:szCs w:val="24"/>
              </w:rPr>
            </w:pPr>
            <w:r>
              <w:rPr>
                <w:rFonts w:ascii="宋体" w:hAnsi="宋体" w:cs="宋体" w:eastAsia="宋体" w:hint="default"/>
                <w:sz w:val="24"/>
                <w:szCs w:val="24"/>
              </w:rPr>
              <w:t>日本 </w:t>
            </w:r>
            <w:r>
              <w:rPr>
                <w:rFonts w:ascii="Arial" w:hAnsi="Arial" w:cs="Arial" w:eastAsia="Arial" w:hint="default"/>
                <w:sz w:val="24"/>
                <w:szCs w:val="24"/>
              </w:rPr>
              <w:t>LAOX</w:t>
            </w:r>
            <w:r>
              <w:rPr>
                <w:rFonts w:ascii="Arial" w:hAnsi="Arial" w:cs="Arial" w:eastAsia="Arial" w:hint="default"/>
                <w:spacing w:val="53"/>
                <w:sz w:val="24"/>
                <w:szCs w:val="24"/>
              </w:rPr>
              <w:t> </w:t>
            </w:r>
            <w:r>
              <w:rPr>
                <w:rFonts w:ascii="宋体" w:hAnsi="宋体" w:cs="宋体" w:eastAsia="宋体" w:hint="default"/>
                <w:sz w:val="24"/>
                <w:szCs w:val="24"/>
              </w:rPr>
              <w:t>株式会</w:t>
            </w:r>
          </w:p>
          <w:p>
            <w:pPr>
              <w:pStyle w:val="TableParagraph"/>
              <w:spacing w:line="304" w:lineRule="exact"/>
              <w:ind w:left="283" w:right="0"/>
              <w:jc w:val="left"/>
              <w:rPr>
                <w:rFonts w:ascii="宋体" w:hAnsi="宋体" w:cs="宋体" w:eastAsia="宋体" w:hint="default"/>
                <w:sz w:val="24"/>
                <w:szCs w:val="24"/>
              </w:rPr>
            </w:pPr>
            <w:r>
              <w:rPr>
                <w:rFonts w:ascii="宋体" w:hAnsi="宋体" w:cs="宋体" w:eastAsia="宋体" w:hint="default"/>
                <w:sz w:val="24"/>
                <w:szCs w:val="24"/>
              </w:rPr>
              <w:t>社</w:t>
            </w:r>
          </w:p>
        </w:tc>
        <w:tc>
          <w:tcPr>
            <w:tcW w:w="1424" w:type="dxa"/>
            <w:tcBorders>
              <w:top w:val="nil" w:sz="6" w:space="0" w:color="auto"/>
              <w:left w:val="nil" w:sz="6" w:space="0" w:color="auto"/>
              <w:bottom w:val="nil" w:sz="6" w:space="0" w:color="auto"/>
              <w:right w:val="nil" w:sz="6" w:space="0" w:color="auto"/>
            </w:tcBorders>
          </w:tcPr>
          <w:p>
            <w:pPr>
              <w:pStyle w:val="TableParagraph"/>
              <w:spacing w:line="273" w:lineRule="exact"/>
              <w:ind w:right="78"/>
              <w:jc w:val="right"/>
              <w:rPr>
                <w:rFonts w:ascii="Arial" w:hAnsi="Arial" w:cs="Arial" w:eastAsia="Arial" w:hint="default"/>
                <w:sz w:val="24"/>
                <w:szCs w:val="24"/>
              </w:rPr>
            </w:pPr>
            <w:r>
              <w:rPr>
                <w:rFonts w:ascii="Arial"/>
                <w:w w:val="99"/>
                <w:sz w:val="24"/>
              </w:rPr>
              <w:t>-</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73" w:lineRule="exact"/>
              <w:ind w:left="552" w:right="0"/>
              <w:jc w:val="left"/>
              <w:rPr>
                <w:rFonts w:ascii="Arial" w:hAnsi="Arial" w:cs="Arial" w:eastAsia="Arial" w:hint="default"/>
                <w:sz w:val="24"/>
                <w:szCs w:val="24"/>
              </w:rPr>
            </w:pPr>
            <w:r>
              <w:rPr>
                <w:rFonts w:ascii="Arial"/>
                <w:sz w:val="24"/>
              </w:rPr>
              <w:t>226,007</w:t>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226,007</w:t>
            </w:r>
          </w:p>
        </w:tc>
      </w:tr>
      <w:tr>
        <w:trPr>
          <w:trHeight w:val="1176"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23" w:lineRule="auto" w:before="18"/>
              <w:ind w:left="499" w:right="581"/>
              <w:jc w:val="left"/>
              <w:rPr>
                <w:rFonts w:ascii="宋体" w:hAnsi="宋体" w:cs="宋体" w:eastAsia="宋体" w:hint="default"/>
                <w:sz w:val="24"/>
                <w:szCs w:val="24"/>
              </w:rPr>
            </w:pPr>
            <w:r>
              <w:rPr>
                <w:rFonts w:ascii="Arial" w:hAnsi="Arial" w:cs="Arial" w:eastAsia="Arial" w:hint="default"/>
                <w:sz w:val="24"/>
                <w:szCs w:val="24"/>
              </w:rPr>
              <w:t>Citical</w:t>
            </w:r>
            <w:r>
              <w:rPr>
                <w:rFonts w:ascii="Arial" w:hAnsi="Arial" w:cs="Arial" w:eastAsia="Arial" w:hint="default"/>
                <w:spacing w:val="-1"/>
                <w:sz w:val="24"/>
                <w:szCs w:val="24"/>
              </w:rPr>
              <w:t> </w:t>
            </w:r>
            <w:r>
              <w:rPr>
                <w:rFonts w:ascii="Arial" w:hAnsi="Arial" w:cs="Arial" w:eastAsia="Arial" w:hint="default"/>
                <w:sz w:val="24"/>
                <w:szCs w:val="24"/>
              </w:rPr>
              <w:t>Retain</w:t>
            </w:r>
            <w:r>
              <w:rPr>
                <w:rFonts w:ascii="Arial" w:hAnsi="Arial" w:cs="Arial" w:eastAsia="Arial" w:hint="default"/>
                <w:w w:val="99"/>
                <w:sz w:val="24"/>
                <w:szCs w:val="24"/>
              </w:rPr>
              <w:t> </w:t>
            </w:r>
            <w:r>
              <w:rPr>
                <w:rFonts w:ascii="Arial" w:hAnsi="Arial" w:cs="Arial" w:eastAsia="Arial" w:hint="default"/>
                <w:sz w:val="24"/>
                <w:szCs w:val="24"/>
              </w:rPr>
              <w:t>Management</w:t>
            </w:r>
            <w:r>
              <w:rPr>
                <w:rFonts w:ascii="Arial" w:hAnsi="Arial" w:cs="Arial" w:eastAsia="Arial" w:hint="default"/>
                <w:w w:val="100"/>
                <w:sz w:val="24"/>
                <w:szCs w:val="24"/>
              </w:rPr>
              <w:t> </w:t>
            </w:r>
            <w:r>
              <w:rPr>
                <w:rFonts w:ascii="Arial" w:hAnsi="Arial" w:cs="Arial" w:eastAsia="Arial" w:hint="default"/>
                <w:sz w:val="24"/>
                <w:szCs w:val="24"/>
              </w:rPr>
              <w:t>Limited</w:t>
            </w:r>
            <w:r>
              <w:rPr>
                <w:rFonts w:ascii="Arial" w:hAnsi="Arial" w:cs="Arial" w:eastAsia="Arial" w:hint="default"/>
                <w:spacing w:val="-9"/>
                <w:sz w:val="24"/>
                <w:szCs w:val="24"/>
              </w:rPr>
              <w:t> </w:t>
            </w:r>
            <w:r>
              <w:rPr>
                <w:rFonts w:ascii="宋体" w:hAnsi="宋体" w:cs="宋体" w:eastAsia="宋体" w:hint="default"/>
                <w:sz w:val="24"/>
                <w:szCs w:val="24"/>
              </w:rPr>
              <w:t>之零售</w:t>
            </w:r>
          </w:p>
          <w:p>
            <w:pPr>
              <w:pStyle w:val="TableParagraph"/>
              <w:spacing w:line="298" w:lineRule="exact"/>
              <w:ind w:left="249" w:right="0"/>
              <w:jc w:val="left"/>
              <w:rPr>
                <w:rFonts w:ascii="宋体" w:hAnsi="宋体" w:cs="宋体" w:eastAsia="宋体" w:hint="default"/>
                <w:sz w:val="24"/>
                <w:szCs w:val="24"/>
              </w:rPr>
            </w:pPr>
            <w:r>
              <w:rPr>
                <w:rFonts w:ascii="宋体" w:hAnsi="宋体" w:cs="宋体" w:eastAsia="宋体" w:hint="default"/>
                <w:sz w:val="24"/>
                <w:szCs w:val="24"/>
              </w:rPr>
              <w:t>批发业务</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941" w:right="0"/>
              <w:jc w:val="left"/>
              <w:rPr>
                <w:rFonts w:ascii="Arial" w:hAnsi="Arial" w:cs="Arial" w:eastAsia="Arial" w:hint="default"/>
                <w:sz w:val="24"/>
                <w:szCs w:val="24"/>
              </w:rPr>
            </w:pPr>
            <w:r>
              <w:rPr>
                <w:rFonts w:ascii="Arial"/>
                <w:sz w:val="24"/>
              </w:rPr>
              <w:t>616</w:t>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4"/>
                <w:szCs w:val="24"/>
              </w:rPr>
            </w:pPr>
            <w:r>
              <w:rPr>
                <w:rFonts w:ascii="Arial"/>
                <w:w w:val="99"/>
                <w:sz w:val="24"/>
              </w:rPr>
              <w:t>-</w:t>
            </w:r>
            <w:r>
              <w:rPr>
                <w:rFonts w:ascii="Arial"/>
                <w:sz w:val="24"/>
              </w:rPr>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w:hAnsi="Arial" w:cs="Arial" w:eastAsia="Arial" w:hint="default"/>
                <w:sz w:val="24"/>
                <w:szCs w:val="24"/>
              </w:rPr>
            </w:pPr>
            <w:r>
              <w:rPr>
                <w:rFonts w:ascii="Arial"/>
                <w:w w:val="95"/>
                <w:sz w:val="24"/>
              </w:rPr>
              <w:t>616</w:t>
            </w:r>
            <w:r>
              <w:rPr>
                <w:rFonts w:ascii="Arial"/>
                <w:sz w:val="24"/>
              </w:rPr>
            </w:r>
          </w:p>
        </w:tc>
      </w:tr>
      <w:tr>
        <w:trPr>
          <w:trHeight w:val="322"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4" w:space="0" w:color="000000"/>
              <w:right w:val="nil" w:sz="6" w:space="0" w:color="auto"/>
            </w:tcBorders>
          </w:tcPr>
          <w:p>
            <w:pPr>
              <w:pStyle w:val="TableParagraph"/>
              <w:spacing w:line="278" w:lineRule="exact"/>
              <w:ind w:left="12" w:right="0"/>
              <w:jc w:val="left"/>
              <w:rPr>
                <w:rFonts w:ascii="宋体" w:hAnsi="宋体" w:cs="宋体" w:eastAsia="宋体" w:hint="default"/>
                <w:sz w:val="24"/>
                <w:szCs w:val="24"/>
              </w:rPr>
            </w:pPr>
            <w:r>
              <w:rPr>
                <w:rFonts w:ascii="宋体" w:hAnsi="宋体" w:cs="宋体" w:eastAsia="宋体" w:hint="default"/>
                <w:sz w:val="24"/>
                <w:szCs w:val="24"/>
              </w:rPr>
              <w:t>减：减值准备</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78"/>
              <w:jc w:val="right"/>
              <w:rPr>
                <w:rFonts w:ascii="Arial" w:hAnsi="Arial" w:cs="Arial" w:eastAsia="Arial" w:hint="default"/>
                <w:sz w:val="24"/>
                <w:szCs w:val="24"/>
              </w:rPr>
            </w:pPr>
            <w:r>
              <w:rPr>
                <w:rFonts w:ascii="Arial"/>
                <w:w w:val="99"/>
                <w:sz w:val="24"/>
              </w:rPr>
              <w:t>-</w:t>
            </w:r>
            <w:r>
              <w:rPr>
                <w:rFonts w:ascii="Arial"/>
                <w:sz w:val="24"/>
              </w:rPr>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296" w:hRule="exact"/>
        </w:trPr>
        <w:tc>
          <w:tcPr>
            <w:tcW w:w="913"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single" w:sz="12" w:space="0" w:color="000000"/>
              <w:right w:val="nil" w:sz="6" w:space="0" w:color="auto"/>
            </w:tcBorders>
          </w:tcPr>
          <w:p>
            <w:pPr/>
          </w:p>
        </w:tc>
        <w:tc>
          <w:tcPr>
            <w:tcW w:w="1424" w:type="dxa"/>
            <w:tcBorders>
              <w:top w:val="single" w:sz="4" w:space="0" w:color="000000"/>
              <w:left w:val="nil" w:sz="6" w:space="0" w:color="auto"/>
              <w:bottom w:val="single" w:sz="12" w:space="0" w:color="000000"/>
              <w:right w:val="nil" w:sz="6" w:space="0" w:color="auto"/>
            </w:tcBorders>
          </w:tcPr>
          <w:p>
            <w:pPr>
              <w:pStyle w:val="TableParagraph"/>
              <w:spacing w:line="275" w:lineRule="exact"/>
              <w:ind w:left="941" w:right="0"/>
              <w:jc w:val="left"/>
              <w:rPr>
                <w:rFonts w:ascii="Arial" w:hAnsi="Arial" w:cs="Arial" w:eastAsia="Arial" w:hint="default"/>
                <w:sz w:val="24"/>
                <w:szCs w:val="24"/>
              </w:rPr>
            </w:pPr>
            <w:r>
              <w:rPr>
                <w:rFonts w:ascii="Arial"/>
                <w:sz w:val="24"/>
              </w:rPr>
              <w:t>616</w:t>
            </w:r>
          </w:p>
        </w:tc>
        <w:tc>
          <w:tcPr>
            <w:tcW w:w="245" w:type="dxa"/>
            <w:tcBorders>
              <w:top w:val="nil" w:sz="6" w:space="0" w:color="auto"/>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single" w:sz="12" w:space="0" w:color="000000"/>
              <w:right w:val="nil" w:sz="6" w:space="0" w:color="auto"/>
            </w:tcBorders>
          </w:tcPr>
          <w:p>
            <w:pPr>
              <w:pStyle w:val="TableParagraph"/>
              <w:spacing w:line="275" w:lineRule="exact"/>
              <w:ind w:left="552" w:right="0"/>
              <w:jc w:val="left"/>
              <w:rPr>
                <w:rFonts w:ascii="Arial" w:hAnsi="Arial" w:cs="Arial" w:eastAsia="Arial" w:hint="default"/>
                <w:sz w:val="24"/>
                <w:szCs w:val="24"/>
              </w:rPr>
            </w:pPr>
            <w:r>
              <w:rPr>
                <w:rFonts w:ascii="Arial"/>
                <w:sz w:val="24"/>
              </w:rPr>
              <w:t>226,007</w:t>
            </w:r>
          </w:p>
        </w:tc>
        <w:tc>
          <w:tcPr>
            <w:tcW w:w="28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75"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310"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75" w:lineRule="exact"/>
              <w:ind w:right="105"/>
              <w:jc w:val="right"/>
              <w:rPr>
                <w:rFonts w:ascii="Arial" w:hAnsi="Arial" w:cs="Arial" w:eastAsia="Arial" w:hint="default"/>
                <w:sz w:val="24"/>
                <w:szCs w:val="24"/>
              </w:rPr>
            </w:pPr>
            <w:r>
              <w:rPr>
                <w:rFonts w:ascii="Arial"/>
                <w:spacing w:val="-1"/>
                <w:sz w:val="24"/>
              </w:rPr>
              <w:t>226,623</w:t>
            </w:r>
          </w:p>
        </w:tc>
      </w:tr>
    </w:tbl>
    <w:p>
      <w:pPr>
        <w:spacing w:after="0" w:line="275" w:lineRule="exact"/>
        <w:jc w:val="right"/>
        <w:rPr>
          <w:rFonts w:ascii="Arial" w:hAnsi="Arial" w:cs="Arial" w:eastAsia="Arial" w:hint="default"/>
          <w:sz w:val="24"/>
          <w:szCs w:val="24"/>
        </w:rPr>
        <w:sectPr>
          <w:pgSz w:w="11910" w:h="16850"/>
          <w:pgMar w:header="754" w:footer="956" w:top="2240" w:bottom="1140" w:left="6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786"/>
        <w:gridCol w:w="3574"/>
        <w:gridCol w:w="2366"/>
        <w:gridCol w:w="3532"/>
      </w:tblGrid>
      <w:tr>
        <w:trPr>
          <w:trHeight w:val="69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574"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66" w:type="dxa"/>
            <w:tcBorders>
              <w:top w:val="single" w:sz="6" w:space="0" w:color="000000"/>
              <w:left w:val="nil" w:sz="6" w:space="0" w:color="auto"/>
              <w:bottom w:val="nil" w:sz="6" w:space="0" w:color="auto"/>
              <w:right w:val="nil" w:sz="6" w:space="0" w:color="auto"/>
            </w:tcBorders>
          </w:tcPr>
          <w:p>
            <w:pPr/>
          </w:p>
        </w:tc>
        <w:tc>
          <w:tcPr>
            <w:tcW w:w="3532" w:type="dxa"/>
            <w:tcBorders>
              <w:top w:val="single" w:sz="6" w:space="0" w:color="000000"/>
              <w:left w:val="nil" w:sz="6" w:space="0" w:color="auto"/>
              <w:bottom w:val="nil" w:sz="6" w:space="0" w:color="auto"/>
              <w:right w:val="nil" w:sz="6" w:space="0" w:color="auto"/>
            </w:tcBorders>
          </w:tcPr>
          <w:p>
            <w:pPr/>
          </w:p>
        </w:tc>
      </w:tr>
      <w:tr>
        <w:trPr>
          <w:trHeight w:val="591"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(14)</w:t>
            </w: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9" w:right="0"/>
              <w:jc w:val="left"/>
              <w:rPr>
                <w:rFonts w:ascii="Arial" w:hAnsi="Arial" w:cs="Arial" w:eastAsia="Arial" w:hint="default"/>
                <w:sz w:val="24"/>
                <w:szCs w:val="24"/>
              </w:rPr>
            </w:pPr>
            <w:r>
              <w:rPr>
                <w:rFonts w:ascii="宋体" w:hAnsi="宋体" w:cs="宋体" w:eastAsia="宋体" w:hint="default"/>
                <w:b/>
                <w:bCs/>
                <w:sz w:val="24"/>
                <w:szCs w:val="24"/>
              </w:rPr>
              <w:t>商誉</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66"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r>
      <w:tr>
        <w:trPr>
          <w:trHeight w:val="897" w:hRule="exact"/>
        </w:trPr>
        <w:tc>
          <w:tcPr>
            <w:tcW w:w="10258"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915" w:right="198"/>
              <w:jc w:val="left"/>
              <w:rPr>
                <w:rFonts w:ascii="宋体" w:hAnsi="宋体" w:cs="宋体" w:eastAsia="宋体" w:hint="default"/>
                <w:sz w:val="24"/>
                <w:szCs w:val="24"/>
              </w:rPr>
            </w:pPr>
            <w:r>
              <w:rPr>
                <w:rFonts w:ascii="宋体" w:hAnsi="宋体" w:cs="宋体" w:eastAsia="宋体" w:hint="default"/>
                <w:spacing w:val="2"/>
                <w:sz w:val="24"/>
                <w:szCs w:val="24"/>
              </w:rPr>
              <w:t>本年度增加的商誉系对日本</w:t>
            </w:r>
            <w:r>
              <w:rPr>
                <w:rFonts w:ascii="Arial" w:hAnsi="Arial" w:cs="Arial" w:eastAsia="Arial" w:hint="default"/>
                <w:spacing w:val="2"/>
                <w:sz w:val="24"/>
                <w:szCs w:val="24"/>
              </w:rPr>
              <w:t>LAOX</w:t>
            </w:r>
            <w:r>
              <w:rPr>
                <w:rFonts w:ascii="宋体" w:hAnsi="宋体" w:cs="宋体" w:eastAsia="宋体" w:hint="default"/>
                <w:spacing w:val="2"/>
                <w:sz w:val="24"/>
                <w:szCs w:val="24"/>
              </w:rPr>
              <w:t>株式会社追加投资，通过分步交易实现非同一控制下</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企业合并所致</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w:t>
            </w:r>
            <w:r>
              <w:rPr>
                <w:rFonts w:ascii="宋体" w:hAnsi="宋体" w:cs="宋体" w:eastAsia="宋体" w:hint="default"/>
                <w:sz w:val="24"/>
                <w:szCs w:val="24"/>
              </w:rPr>
              <w:t>。</w:t>
            </w:r>
          </w:p>
        </w:tc>
      </w:tr>
      <w:tr>
        <w:trPr>
          <w:trHeight w:val="585"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9" w:right="0"/>
              <w:jc w:val="left"/>
              <w:rPr>
                <w:rFonts w:ascii="宋体" w:hAnsi="宋体" w:cs="宋体" w:eastAsia="宋体" w:hint="default"/>
                <w:sz w:val="24"/>
                <w:szCs w:val="24"/>
              </w:rPr>
            </w:pPr>
            <w:r>
              <w:rPr>
                <w:rFonts w:ascii="宋体" w:hAnsi="宋体" w:cs="宋体" w:eastAsia="宋体" w:hint="default"/>
                <w:sz w:val="24"/>
                <w:szCs w:val="24"/>
              </w:rPr>
              <w:t>减值</w:t>
            </w:r>
          </w:p>
        </w:tc>
        <w:tc>
          <w:tcPr>
            <w:tcW w:w="2366"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r>
      <w:tr>
        <w:trPr>
          <w:trHeight w:val="564" w:hRule="exact"/>
        </w:trPr>
        <w:tc>
          <w:tcPr>
            <w:tcW w:w="786" w:type="dxa"/>
            <w:tcBorders>
              <w:top w:val="nil" w:sz="6" w:space="0" w:color="auto"/>
              <w:left w:val="nil" w:sz="6" w:space="0" w:color="auto"/>
              <w:bottom w:val="nil" w:sz="6" w:space="0" w:color="auto"/>
              <w:right w:val="nil" w:sz="6" w:space="0" w:color="auto"/>
            </w:tcBorders>
          </w:tcPr>
          <w:p>
            <w:pPr/>
          </w:p>
        </w:tc>
        <w:tc>
          <w:tcPr>
            <w:tcW w:w="94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24"/>
                <w:szCs w:val="24"/>
              </w:rPr>
            </w:pPr>
            <w:r>
              <w:rPr>
                <w:rFonts w:ascii="宋体" w:hAnsi="宋体" w:cs="宋体" w:eastAsia="宋体" w:hint="default"/>
                <w:sz w:val="24"/>
                <w:szCs w:val="24"/>
              </w:rPr>
              <w:t>分摊至本集团资产组和资产组组合的商誉根据经营分部汇总如下：</w:t>
            </w:r>
          </w:p>
        </w:tc>
      </w:tr>
      <w:tr>
        <w:trPr>
          <w:trHeight w:val="536"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14"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03"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4"/>
              <w:jc w:val="right"/>
              <w:rPr>
                <w:rFonts w:ascii="Arial" w:hAnsi="Arial" w:cs="Arial" w:eastAsia="Arial" w:hint="default"/>
                <w:sz w:val="24"/>
                <w:szCs w:val="24"/>
              </w:rPr>
            </w:pPr>
            <w:r>
              <w:rPr>
                <w:rFonts w:ascii="Arial"/>
                <w:spacing w:val="-1"/>
                <w:sz w:val="24"/>
              </w:rPr>
              <w:t>226,007</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58" w:right="0"/>
              <w:jc w:val="center"/>
              <w:rPr>
                <w:rFonts w:ascii="Arial" w:hAnsi="Arial" w:cs="Arial" w:eastAsia="Arial" w:hint="default"/>
                <w:sz w:val="24"/>
                <w:szCs w:val="24"/>
              </w:rPr>
            </w:pPr>
            <w:r>
              <w:rPr>
                <w:rFonts w:ascii="Arial"/>
                <w:w w:val="99"/>
                <w:sz w:val="24"/>
              </w:rPr>
              <w:t>-</w:t>
            </w:r>
            <w:r>
              <w:rPr>
                <w:rFonts w:ascii="Arial"/>
                <w:sz w:val="24"/>
              </w:rPr>
            </w:r>
          </w:p>
        </w:tc>
      </w:tr>
      <w:tr>
        <w:trPr>
          <w:trHeight w:val="587"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3" w:lineRule="exact"/>
              <w:ind w:left="148" w:right="0"/>
              <w:jc w:val="left"/>
              <w:rPr>
                <w:rFonts w:ascii="Arial" w:hAnsi="Arial" w:cs="Arial" w:eastAsia="Arial" w:hint="default"/>
                <w:sz w:val="24"/>
                <w:szCs w:val="24"/>
              </w:rPr>
            </w:pPr>
            <w:r>
              <w:rPr>
                <w:rFonts w:ascii="Arial"/>
                <w:sz w:val="24"/>
              </w:rPr>
              <w:t>Citical Retain</w:t>
            </w:r>
            <w:r>
              <w:rPr>
                <w:rFonts w:ascii="Arial"/>
                <w:spacing w:val="-11"/>
                <w:sz w:val="24"/>
              </w:rPr>
              <w:t> </w:t>
            </w:r>
            <w:r>
              <w:rPr>
                <w:rFonts w:ascii="Arial"/>
                <w:sz w:val="24"/>
              </w:rPr>
              <w:t>Management</w:t>
            </w:r>
          </w:p>
          <w:p>
            <w:pPr>
              <w:pStyle w:val="TableParagraph"/>
              <w:tabs>
                <w:tab w:pos="3521" w:val="left" w:leader="none"/>
                <w:tab w:pos="5321" w:val="left" w:leader="none"/>
              </w:tabs>
              <w:spacing w:line="312" w:lineRule="exact"/>
              <w:ind w:left="148" w:right="-1748"/>
              <w:jc w:val="left"/>
              <w:rPr>
                <w:rFonts w:ascii="Arial" w:hAnsi="Arial" w:cs="Arial" w:eastAsia="Arial" w:hint="default"/>
                <w:sz w:val="24"/>
                <w:szCs w:val="24"/>
              </w:rPr>
            </w:pPr>
            <w:r>
              <w:rPr>
                <w:rFonts w:ascii="Arial" w:hAnsi="Arial" w:cs="Arial" w:eastAsia="Arial" w:hint="default"/>
                <w:sz w:val="24"/>
                <w:szCs w:val="24"/>
              </w:rPr>
              <w:t>Limited</w:t>
            </w:r>
            <w:r>
              <w:rPr>
                <w:rFonts w:ascii="Arial" w:hAnsi="Arial" w:cs="Arial" w:eastAsia="Arial" w:hint="default"/>
                <w:spacing w:val="-12"/>
                <w:sz w:val="24"/>
                <w:szCs w:val="24"/>
              </w:rPr>
              <w:t> </w:t>
            </w:r>
            <w:r>
              <w:rPr>
                <w:rFonts w:ascii="宋体" w:hAnsi="宋体" w:cs="宋体" w:eastAsia="宋体" w:hint="default"/>
                <w:sz w:val="24"/>
                <w:szCs w:val="24"/>
              </w:rPr>
              <w:t>之零售批发业务</w:t>
              <w:tab/>
            </w:r>
            <w:r>
              <w:rPr>
                <w:rFonts w:ascii="Arial" w:hAnsi="Arial" w:cs="Arial" w:eastAsia="Arial" w:hint="default"/>
                <w:w w:val="100"/>
                <w:position w:val="-1"/>
                <w:sz w:val="24"/>
                <w:szCs w:val="24"/>
              </w:rPr>
            </w:r>
            <w:r>
              <w:rPr>
                <w:rFonts w:ascii="Arial" w:hAnsi="Arial" w:cs="Arial" w:eastAsia="Arial" w:hint="default"/>
                <w:w w:val="100"/>
                <w:position w:val="-1"/>
                <w:sz w:val="24"/>
                <w:szCs w:val="24"/>
                <w:u w:val="single" w:color="000000"/>
              </w:rPr>
              <w:t> </w:t>
            </w:r>
            <w:r>
              <w:rPr>
                <w:rFonts w:ascii="Arial" w:hAnsi="Arial" w:cs="Arial" w:eastAsia="Arial" w:hint="default"/>
                <w:position w:val="-1"/>
                <w:sz w:val="24"/>
                <w:szCs w:val="24"/>
                <w:u w:val="single" w:color="000000"/>
              </w:rPr>
              <w:tab/>
            </w:r>
            <w:r>
              <w:rPr>
                <w:rFonts w:ascii="Arial" w:hAnsi="Arial" w:cs="Arial" w:eastAsia="Arial" w:hint="default"/>
                <w:sz w:val="24"/>
                <w:szCs w:val="24"/>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tabs>
                <w:tab w:pos="511" w:val="left" w:leader="none"/>
              </w:tabs>
              <w:spacing w:line="240" w:lineRule="auto"/>
              <w:ind w:right="104"/>
              <w:jc w:val="right"/>
              <w:rPr>
                <w:rFonts w:ascii="Arial" w:hAnsi="Arial" w:cs="Arial" w:eastAsia="Arial" w:hint="default"/>
                <w:sz w:val="24"/>
                <w:szCs w:val="24"/>
              </w:rPr>
            </w:pPr>
            <w:r>
              <w:rPr>
                <w:rFonts w:ascii="Arial"/>
                <w:w w:val="99"/>
                <w:sz w:val="24"/>
              </w:rPr>
            </w:r>
            <w:r>
              <w:rPr>
                <w:rFonts w:ascii="Arial"/>
                <w:w w:val="95"/>
                <w:sz w:val="24"/>
                <w:u w:val="single" w:color="000000"/>
              </w:rPr>
              <w:t>616</w:t>
            </w:r>
            <w:r>
              <w:rPr>
                <w:rFonts w:ascii="Arial"/>
                <w:sz w:val="24"/>
                <w:u w:val="single" w:color="000000"/>
              </w:rPr>
              <w:tab/>
            </w:r>
            <w:r>
              <w:rPr>
                <w:rFonts w:ascii="Arial"/>
                <w:sz w:val="24"/>
              </w:rPr>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tabs>
                <w:tab w:pos="1933" w:val="left" w:leader="none"/>
                <w:tab w:pos="2454" w:val="left" w:leader="none"/>
              </w:tabs>
              <w:spacing w:line="240" w:lineRule="auto"/>
              <w:ind w:left="13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616</w:t>
              <w:tab/>
            </w:r>
            <w:r>
              <w:rPr>
                <w:rFonts w:ascii="Arial"/>
                <w:sz w:val="24"/>
              </w:rPr>
            </w:r>
          </w:p>
        </w:tc>
      </w:tr>
      <w:tr>
        <w:trPr>
          <w:trHeight w:val="420" w:hRule="exact"/>
        </w:trPr>
        <w:tc>
          <w:tcPr>
            <w:tcW w:w="786" w:type="dxa"/>
            <w:tcBorders>
              <w:top w:val="nil" w:sz="6" w:space="0" w:color="auto"/>
              <w:left w:val="nil" w:sz="6" w:space="0" w:color="auto"/>
              <w:bottom w:val="nil" w:sz="6" w:space="0" w:color="auto"/>
              <w:right w:val="nil" w:sz="6" w:space="0" w:color="auto"/>
            </w:tcBorders>
          </w:tcPr>
          <w:p>
            <w:pPr/>
          </w:p>
        </w:tc>
        <w:tc>
          <w:tcPr>
            <w:tcW w:w="5940" w:type="dxa"/>
            <w:gridSpan w:val="2"/>
            <w:tcBorders>
              <w:top w:val="nil" w:sz="6" w:space="0" w:color="auto"/>
              <w:left w:val="nil" w:sz="6" w:space="0" w:color="auto"/>
              <w:bottom w:val="nil" w:sz="6" w:space="0" w:color="auto"/>
              <w:right w:val="nil" w:sz="6" w:space="0" w:color="auto"/>
            </w:tcBorders>
          </w:tcPr>
          <w:p>
            <w:pPr>
              <w:pStyle w:val="TableParagraph"/>
              <w:tabs>
                <w:tab w:pos="4856" w:val="left" w:leader="none"/>
                <w:tab w:pos="5832" w:val="left" w:leader="none"/>
              </w:tabs>
              <w:spacing w:line="261" w:lineRule="exact"/>
              <w:ind w:left="352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226,623</w:t>
              <w:tab/>
            </w:r>
            <w:r>
              <w:rPr>
                <w:rFonts w:ascii="Arial"/>
                <w:sz w:val="24"/>
              </w:rPr>
            </w:r>
          </w:p>
        </w:tc>
        <w:tc>
          <w:tcPr>
            <w:tcW w:w="3532" w:type="dxa"/>
            <w:tcBorders>
              <w:top w:val="nil" w:sz="6" w:space="0" w:color="auto"/>
              <w:left w:val="nil" w:sz="6" w:space="0" w:color="auto"/>
              <w:bottom w:val="nil" w:sz="6" w:space="0" w:color="auto"/>
              <w:right w:val="nil" w:sz="6" w:space="0" w:color="auto"/>
            </w:tcBorders>
          </w:tcPr>
          <w:p>
            <w:pPr>
              <w:pStyle w:val="TableParagraph"/>
              <w:tabs>
                <w:tab w:pos="1931" w:val="left" w:leader="none"/>
                <w:tab w:pos="2454" w:val="left" w:leader="none"/>
              </w:tabs>
              <w:spacing w:line="261" w:lineRule="exact"/>
              <w:ind w:left="13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616</w:t>
              <w:tab/>
            </w:r>
            <w:r>
              <w:rPr>
                <w:rFonts w:ascii="Arial"/>
                <w:sz w:val="24"/>
              </w:rPr>
            </w:r>
          </w:p>
        </w:tc>
      </w:tr>
      <w:tr>
        <w:trPr>
          <w:trHeight w:val="867" w:hRule="exact"/>
        </w:trPr>
        <w:tc>
          <w:tcPr>
            <w:tcW w:w="786" w:type="dxa"/>
            <w:tcBorders>
              <w:top w:val="nil" w:sz="6" w:space="0" w:color="auto"/>
              <w:left w:val="nil" w:sz="6" w:space="0" w:color="auto"/>
              <w:bottom w:val="nil" w:sz="6" w:space="0" w:color="auto"/>
              <w:right w:val="nil" w:sz="6" w:space="0" w:color="auto"/>
            </w:tcBorders>
          </w:tcPr>
          <w:p>
            <w:pPr/>
          </w:p>
        </w:tc>
        <w:tc>
          <w:tcPr>
            <w:tcW w:w="947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1"/>
              <w:ind w:left="129" w:right="198"/>
              <w:jc w:val="left"/>
              <w:rPr>
                <w:rFonts w:ascii="宋体" w:hAnsi="宋体" w:cs="宋体" w:eastAsia="宋体" w:hint="default"/>
                <w:sz w:val="24"/>
                <w:szCs w:val="24"/>
              </w:rPr>
            </w:pPr>
            <w:r>
              <w:rPr>
                <w:rFonts w:ascii="宋体" w:hAnsi="宋体" w:cs="宋体" w:eastAsia="宋体" w:hint="default"/>
                <w:sz w:val="24"/>
                <w:szCs w:val="24"/>
              </w:rPr>
              <w:t>资产组和资产组组合的可收回金额是依据管理层制定的八年期预算，采用现金流量预测</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方法计算。超过该八年期的现金流量采用以下所述的估计增长率作出推算。</w:t>
            </w:r>
          </w:p>
        </w:tc>
      </w:tr>
      <w:tr>
        <w:trPr>
          <w:trHeight w:val="531" w:hRule="exact"/>
        </w:trPr>
        <w:tc>
          <w:tcPr>
            <w:tcW w:w="786" w:type="dxa"/>
            <w:tcBorders>
              <w:top w:val="nil" w:sz="6" w:space="0" w:color="auto"/>
              <w:left w:val="nil" w:sz="6" w:space="0" w:color="auto"/>
              <w:bottom w:val="nil" w:sz="6" w:space="0" w:color="auto"/>
              <w:right w:val="nil" w:sz="6" w:space="0" w:color="auto"/>
            </w:tcBorders>
          </w:tcPr>
          <w:p>
            <w:pPr/>
          </w:p>
        </w:tc>
        <w:tc>
          <w:tcPr>
            <w:tcW w:w="59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96" w:right="0"/>
              <w:jc w:val="left"/>
              <w:rPr>
                <w:rFonts w:ascii="宋体" w:hAnsi="宋体" w:cs="宋体" w:eastAsia="宋体" w:hint="default"/>
                <w:sz w:val="24"/>
                <w:szCs w:val="24"/>
              </w:rPr>
            </w:pPr>
            <w:r>
              <w:rPr>
                <w:rFonts w:ascii="宋体" w:hAnsi="宋体" w:cs="宋体" w:eastAsia="宋体" w:hint="default"/>
                <w:sz w:val="24"/>
                <w:szCs w:val="24"/>
              </w:rPr>
              <w:t>采用未来现金流量折现方法的主要假设：</w:t>
            </w:r>
          </w:p>
        </w:tc>
        <w:tc>
          <w:tcPr>
            <w:tcW w:w="3532" w:type="dxa"/>
            <w:tcBorders>
              <w:top w:val="nil" w:sz="6" w:space="0" w:color="auto"/>
              <w:left w:val="nil" w:sz="6" w:space="0" w:color="auto"/>
              <w:bottom w:val="nil" w:sz="6" w:space="0" w:color="auto"/>
              <w:right w:val="nil" w:sz="6" w:space="0" w:color="auto"/>
            </w:tcBorders>
          </w:tcPr>
          <w:p>
            <w:pPr/>
          </w:p>
        </w:tc>
      </w:tr>
      <w:tr>
        <w:trPr>
          <w:trHeight w:val="541" w:hRule="exact"/>
        </w:trPr>
        <w:tc>
          <w:tcPr>
            <w:tcW w:w="786" w:type="dxa"/>
            <w:tcBorders>
              <w:top w:val="nil" w:sz="6" w:space="0" w:color="auto"/>
              <w:left w:val="nil" w:sz="6" w:space="0" w:color="auto"/>
              <w:bottom w:val="nil" w:sz="6" w:space="0" w:color="auto"/>
              <w:right w:val="nil" w:sz="6" w:space="0" w:color="auto"/>
            </w:tcBorders>
          </w:tcPr>
          <w:p>
            <w:pPr/>
          </w:p>
        </w:tc>
        <w:tc>
          <w:tcPr>
            <w:tcW w:w="59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2722"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Arial" w:hAnsi="Arial" w:cs="Arial" w:eastAsia="Arial" w:hint="default"/>
                <w:sz w:val="24"/>
                <w:szCs w:val="24"/>
              </w:rPr>
              <w:t>LAOX</w:t>
            </w:r>
            <w:r>
              <w:rPr>
                <w:rFonts w:ascii="宋体" w:hAnsi="宋体" w:cs="宋体" w:eastAsia="宋体" w:hint="default"/>
                <w:sz w:val="24"/>
                <w:szCs w:val="24"/>
              </w:rPr>
              <w:t>株式会社</w:t>
            </w:r>
          </w:p>
        </w:tc>
        <w:tc>
          <w:tcPr>
            <w:tcW w:w="3532" w:type="dxa"/>
            <w:tcBorders>
              <w:top w:val="nil" w:sz="6" w:space="0" w:color="auto"/>
              <w:left w:val="nil" w:sz="6" w:space="0" w:color="auto"/>
              <w:bottom w:val="nil" w:sz="6" w:space="0" w:color="auto"/>
              <w:right w:val="nil" w:sz="6" w:space="0" w:color="auto"/>
            </w:tcBorders>
          </w:tcPr>
          <w:p>
            <w:pPr/>
          </w:p>
        </w:tc>
      </w:tr>
      <w:tr>
        <w:trPr>
          <w:trHeight w:val="442"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96" w:right="0"/>
              <w:jc w:val="left"/>
              <w:rPr>
                <w:rFonts w:ascii="宋体" w:hAnsi="宋体" w:cs="宋体" w:eastAsia="宋体" w:hint="default"/>
                <w:sz w:val="24"/>
                <w:szCs w:val="24"/>
              </w:rPr>
            </w:pPr>
            <w:r>
              <w:rPr>
                <w:rFonts w:ascii="宋体" w:hAnsi="宋体" w:cs="宋体" w:eastAsia="宋体" w:hint="default"/>
                <w:sz w:val="24"/>
                <w:szCs w:val="24"/>
              </w:rPr>
              <w:t>增长率</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681" w:right="0"/>
              <w:jc w:val="left"/>
              <w:rPr>
                <w:rFonts w:ascii="Arial" w:hAnsi="Arial" w:cs="Arial" w:eastAsia="Arial" w:hint="default"/>
                <w:sz w:val="24"/>
                <w:szCs w:val="24"/>
              </w:rPr>
            </w:pPr>
            <w:r>
              <w:rPr>
                <w:rFonts w:ascii="Arial"/>
                <w:sz w:val="24"/>
              </w:rPr>
              <w:t>2.2%</w:t>
            </w:r>
          </w:p>
        </w:tc>
        <w:tc>
          <w:tcPr>
            <w:tcW w:w="3532" w:type="dxa"/>
            <w:tcBorders>
              <w:top w:val="nil" w:sz="6" w:space="0" w:color="auto"/>
              <w:left w:val="nil" w:sz="6" w:space="0" w:color="auto"/>
              <w:bottom w:val="nil" w:sz="6" w:space="0" w:color="auto"/>
              <w:right w:val="nil" w:sz="6" w:space="0" w:color="auto"/>
            </w:tcBorders>
          </w:tcPr>
          <w:p>
            <w:pPr/>
          </w:p>
        </w:tc>
      </w:tr>
      <w:tr>
        <w:trPr>
          <w:trHeight w:val="312"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59" w:lineRule="exact"/>
              <w:ind w:left="196"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7" w:right="0"/>
              <w:jc w:val="left"/>
              <w:rPr>
                <w:rFonts w:ascii="Arial" w:hAnsi="Arial" w:cs="Arial" w:eastAsia="Arial" w:hint="default"/>
                <w:sz w:val="24"/>
                <w:szCs w:val="24"/>
              </w:rPr>
            </w:pPr>
            <w:r>
              <w:rPr>
                <w:rFonts w:ascii="Arial"/>
                <w:sz w:val="24"/>
              </w:rPr>
              <w:t>25.3%</w:t>
            </w:r>
          </w:p>
        </w:tc>
        <w:tc>
          <w:tcPr>
            <w:tcW w:w="3532" w:type="dxa"/>
            <w:tcBorders>
              <w:top w:val="nil" w:sz="6" w:space="0" w:color="auto"/>
              <w:left w:val="nil" w:sz="6" w:space="0" w:color="auto"/>
              <w:bottom w:val="nil" w:sz="6" w:space="0" w:color="auto"/>
              <w:right w:val="nil" w:sz="6" w:space="0" w:color="auto"/>
            </w:tcBorders>
          </w:tcPr>
          <w:p>
            <w:pPr/>
          </w:p>
        </w:tc>
      </w:tr>
      <w:tr>
        <w:trPr>
          <w:trHeight w:val="443" w:hRule="exact"/>
        </w:trPr>
        <w:tc>
          <w:tcPr>
            <w:tcW w:w="786" w:type="dxa"/>
            <w:tcBorders>
              <w:top w:val="nil" w:sz="6" w:space="0" w:color="auto"/>
              <w:left w:val="nil" w:sz="6" w:space="0" w:color="auto"/>
              <w:bottom w:val="nil" w:sz="6" w:space="0" w:color="auto"/>
              <w:right w:val="nil" w:sz="6" w:space="0" w:color="auto"/>
            </w:tcBorders>
          </w:tcPr>
          <w:p>
            <w:pPr/>
          </w:p>
        </w:tc>
        <w:tc>
          <w:tcPr>
            <w:tcW w:w="3574" w:type="dxa"/>
            <w:tcBorders>
              <w:top w:val="nil" w:sz="6" w:space="0" w:color="auto"/>
              <w:left w:val="nil" w:sz="6" w:space="0" w:color="auto"/>
              <w:bottom w:val="nil" w:sz="6" w:space="0" w:color="auto"/>
              <w:right w:val="nil" w:sz="6" w:space="0" w:color="auto"/>
            </w:tcBorders>
          </w:tcPr>
          <w:p>
            <w:pPr>
              <w:pStyle w:val="TableParagraph"/>
              <w:spacing w:line="259" w:lineRule="exact"/>
              <w:ind w:left="196" w:right="0"/>
              <w:jc w:val="left"/>
              <w:rPr>
                <w:rFonts w:ascii="宋体" w:hAnsi="宋体" w:cs="宋体" w:eastAsia="宋体" w:hint="default"/>
                <w:sz w:val="24"/>
                <w:szCs w:val="24"/>
              </w:rPr>
            </w:pPr>
            <w:r>
              <w:rPr>
                <w:rFonts w:ascii="宋体" w:hAnsi="宋体" w:cs="宋体" w:eastAsia="宋体" w:hint="default"/>
                <w:sz w:val="24"/>
                <w:szCs w:val="24"/>
              </w:rPr>
              <w:t>折现率</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7" w:right="0"/>
              <w:jc w:val="left"/>
              <w:rPr>
                <w:rFonts w:ascii="Arial" w:hAnsi="Arial" w:cs="Arial" w:eastAsia="Arial" w:hint="default"/>
                <w:sz w:val="24"/>
                <w:szCs w:val="24"/>
              </w:rPr>
            </w:pPr>
            <w:r>
              <w:rPr>
                <w:rFonts w:ascii="Arial"/>
                <w:sz w:val="24"/>
              </w:rPr>
              <w:t>10.4%</w:t>
            </w:r>
          </w:p>
        </w:tc>
        <w:tc>
          <w:tcPr>
            <w:tcW w:w="3532" w:type="dxa"/>
            <w:tcBorders>
              <w:top w:val="nil" w:sz="6" w:space="0" w:color="auto"/>
              <w:left w:val="nil" w:sz="6" w:space="0" w:color="auto"/>
              <w:bottom w:val="nil" w:sz="6" w:space="0" w:color="auto"/>
              <w:right w:val="nil" w:sz="6" w:space="0" w:color="auto"/>
            </w:tcBorders>
          </w:tcPr>
          <w:p>
            <w:pPr/>
          </w:p>
        </w:tc>
      </w:tr>
      <w:tr>
        <w:trPr>
          <w:trHeight w:val="1327" w:hRule="exact"/>
        </w:trPr>
        <w:tc>
          <w:tcPr>
            <w:tcW w:w="786" w:type="dxa"/>
            <w:tcBorders>
              <w:top w:val="nil" w:sz="6" w:space="0" w:color="auto"/>
              <w:left w:val="nil" w:sz="6" w:space="0" w:color="auto"/>
              <w:bottom w:val="nil" w:sz="6" w:space="0" w:color="auto"/>
              <w:right w:val="nil" w:sz="6" w:space="0" w:color="auto"/>
            </w:tcBorders>
          </w:tcPr>
          <w:p>
            <w:pPr/>
          </w:p>
        </w:tc>
        <w:tc>
          <w:tcPr>
            <w:tcW w:w="9472"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79"/>
              <w:ind w:left="129" w:right="200"/>
              <w:jc w:val="both"/>
              <w:rPr>
                <w:rFonts w:ascii="宋体" w:hAnsi="宋体" w:cs="宋体" w:eastAsia="宋体" w:hint="default"/>
                <w:sz w:val="24"/>
                <w:szCs w:val="24"/>
              </w:rPr>
            </w:pPr>
            <w:r>
              <w:rPr>
                <w:rFonts w:ascii="宋体" w:hAnsi="宋体" w:cs="宋体" w:eastAsia="宋体" w:hint="default"/>
                <w:sz w:val="24"/>
                <w:szCs w:val="24"/>
              </w:rPr>
              <w:t>管理层所采用的加权平均增长率与行业报告所载的预测数据一致，不超过各产品的长期</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平均增长率。管理层根据历史经验及对市场发展的预测确定预算毛利率，并采用能够反</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映相关资产组和资产组组合的特定风险的税前利率为折现率。上述假设用以分析该业务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分部内各资产组和资产组组合的可收回金额。</w:t>
            </w:r>
          </w:p>
        </w:tc>
      </w:tr>
    </w:tbl>
    <w:p>
      <w:pPr>
        <w:spacing w:after="0" w:line="237" w:lineRule="auto"/>
        <w:jc w:val="both"/>
        <w:rPr>
          <w:rFonts w:ascii="宋体" w:hAnsi="宋体" w:cs="宋体" w:eastAsia="宋体" w:hint="default"/>
          <w:sz w:val="24"/>
          <w:szCs w:val="24"/>
        </w:rPr>
        <w:sectPr>
          <w:pgSz w:w="11910" w:h="16850"/>
          <w:pgMar w:header="754" w:footer="956" w:top="2240" w:bottom="1140" w:left="8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786"/>
        <w:gridCol w:w="2923"/>
        <w:gridCol w:w="1691"/>
        <w:gridCol w:w="1648"/>
        <w:gridCol w:w="1569"/>
        <w:gridCol w:w="1772"/>
      </w:tblGrid>
      <w:tr>
        <w:trPr>
          <w:trHeight w:val="69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2923"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19"/>
              <w:jc w:val="left"/>
              <w:rPr>
                <w:rFonts w:ascii="Arial" w:hAnsi="Arial" w:cs="Arial" w:eastAsia="Arial"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sz w:val="24"/>
                <w:szCs w:val="24"/>
              </w:rPr>
            </w:r>
          </w:p>
        </w:tc>
        <w:tc>
          <w:tcPr>
            <w:tcW w:w="1691" w:type="dxa"/>
            <w:tcBorders>
              <w:top w:val="single" w:sz="6" w:space="0" w:color="000000"/>
              <w:left w:val="nil" w:sz="6" w:space="0" w:color="auto"/>
              <w:bottom w:val="nil" w:sz="6" w:space="0" w:color="auto"/>
              <w:right w:val="nil" w:sz="6" w:space="0" w:color="auto"/>
            </w:tcBorders>
          </w:tcPr>
          <w:p>
            <w:pPr/>
          </w:p>
        </w:tc>
        <w:tc>
          <w:tcPr>
            <w:tcW w:w="1648" w:type="dxa"/>
            <w:tcBorders>
              <w:top w:val="single" w:sz="6" w:space="0" w:color="000000"/>
              <w:left w:val="nil" w:sz="6" w:space="0" w:color="auto"/>
              <w:bottom w:val="nil" w:sz="6" w:space="0" w:color="auto"/>
              <w:right w:val="nil" w:sz="6" w:space="0" w:color="auto"/>
            </w:tcBorders>
          </w:tcPr>
          <w:p>
            <w:pPr/>
          </w:p>
        </w:tc>
        <w:tc>
          <w:tcPr>
            <w:tcW w:w="1569" w:type="dxa"/>
            <w:tcBorders>
              <w:top w:val="single" w:sz="6" w:space="0" w:color="000000"/>
              <w:left w:val="nil" w:sz="6" w:space="0" w:color="auto"/>
              <w:bottom w:val="nil" w:sz="6" w:space="0" w:color="auto"/>
              <w:right w:val="nil" w:sz="6" w:space="0" w:color="auto"/>
            </w:tcBorders>
          </w:tcPr>
          <w:p>
            <w:pPr/>
          </w:p>
        </w:tc>
        <w:tc>
          <w:tcPr>
            <w:tcW w:w="1772"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(15)</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长期待摊费用</w:t>
            </w:r>
            <w:r>
              <w:rPr>
                <w:rFonts w:ascii="宋体" w:hAnsi="宋体" w:cs="宋体" w:eastAsia="宋体" w:hint="default"/>
                <w:sz w:val="24"/>
                <w:szCs w:val="24"/>
              </w:rPr>
            </w:r>
          </w:p>
        </w:tc>
        <w:tc>
          <w:tcPr>
            <w:tcW w:w="1691"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906" w:hRule="exact"/>
        </w:trPr>
        <w:tc>
          <w:tcPr>
            <w:tcW w:w="786"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322" w:lineRule="exact" w:before="100"/>
              <w:ind w:right="88"/>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right="242"/>
              <w:jc w:val="center"/>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369"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317" w:right="0"/>
              <w:jc w:val="left"/>
              <w:rPr>
                <w:rFonts w:ascii="宋体" w:hAnsi="宋体" w:cs="宋体" w:eastAsia="宋体" w:hint="default"/>
                <w:sz w:val="24"/>
                <w:szCs w:val="24"/>
              </w:rPr>
            </w:pPr>
            <w:r>
              <w:rPr>
                <w:rFonts w:ascii="宋体" w:hAnsi="宋体" w:cs="宋体" w:eastAsia="宋体" w:hint="default"/>
                <w:sz w:val="24"/>
                <w:szCs w:val="24"/>
              </w:rPr>
              <w:t>本年摊销</w:t>
            </w:r>
          </w:p>
        </w:tc>
        <w:tc>
          <w:tcPr>
            <w:tcW w:w="1772"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594"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21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86"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2" w:right="0"/>
              <w:jc w:val="left"/>
              <w:rPr>
                <w:rFonts w:ascii="宋体" w:hAnsi="宋体" w:cs="宋体" w:eastAsia="宋体" w:hint="default"/>
                <w:sz w:val="24"/>
                <w:szCs w:val="24"/>
              </w:rPr>
            </w:pPr>
            <w:r>
              <w:rPr>
                <w:rFonts w:ascii="宋体" w:hAnsi="宋体" w:cs="宋体" w:eastAsia="宋体" w:hint="default"/>
                <w:sz w:val="24"/>
                <w:szCs w:val="24"/>
              </w:rPr>
              <w:t>经营租入固定资产改良</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96" w:right="0"/>
              <w:jc w:val="left"/>
              <w:rPr>
                <w:rFonts w:ascii="Arial" w:hAnsi="Arial" w:cs="Arial" w:eastAsia="Arial" w:hint="default"/>
                <w:sz w:val="24"/>
                <w:szCs w:val="24"/>
              </w:rPr>
            </w:pPr>
            <w:r>
              <w:rPr>
                <w:rFonts w:ascii="Arial"/>
                <w:sz w:val="24"/>
              </w:rPr>
              <w:t>328,154</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429" w:right="0"/>
              <w:jc w:val="left"/>
              <w:rPr>
                <w:rFonts w:ascii="Arial" w:hAnsi="Arial" w:cs="Arial" w:eastAsia="Arial" w:hint="default"/>
                <w:sz w:val="24"/>
                <w:szCs w:val="24"/>
              </w:rPr>
            </w:pPr>
            <w:r>
              <w:rPr>
                <w:rFonts w:ascii="Arial"/>
                <w:sz w:val="24"/>
              </w:rPr>
              <w:t>650,200</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320" w:right="0"/>
              <w:jc w:val="left"/>
              <w:rPr>
                <w:rFonts w:ascii="Arial" w:hAnsi="Arial" w:cs="Arial" w:eastAsia="Arial" w:hint="default"/>
                <w:sz w:val="24"/>
                <w:szCs w:val="24"/>
              </w:rPr>
            </w:pPr>
            <w:r>
              <w:rPr>
                <w:rFonts w:ascii="Arial"/>
                <w:sz w:val="24"/>
              </w:rPr>
              <w:t>(383,356)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546" w:right="0"/>
              <w:jc w:val="left"/>
              <w:rPr>
                <w:rFonts w:ascii="Arial" w:hAnsi="Arial" w:cs="Arial" w:eastAsia="Arial" w:hint="default"/>
                <w:sz w:val="24"/>
                <w:szCs w:val="24"/>
              </w:rPr>
            </w:pPr>
            <w:r>
              <w:rPr>
                <w:rFonts w:ascii="Arial"/>
                <w:sz w:val="24"/>
              </w:rPr>
              <w:t>594,998</w:t>
            </w:r>
          </w:p>
        </w:tc>
      </w:tr>
      <w:tr>
        <w:trPr>
          <w:trHeight w:val="312" w:hRule="exact"/>
        </w:trPr>
        <w:tc>
          <w:tcPr>
            <w:tcW w:w="786"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78" w:lineRule="exact"/>
              <w:ind w:left="72" w:right="0"/>
              <w:jc w:val="left"/>
              <w:rPr>
                <w:rFonts w:ascii="Arial" w:hAnsi="Arial" w:cs="Arial" w:eastAsia="Arial" w:hint="default"/>
                <w:sz w:val="24"/>
                <w:szCs w:val="24"/>
              </w:rPr>
            </w:pPr>
            <w:r>
              <w:rPr>
                <w:rFonts w:ascii="宋体" w:hAnsi="宋体" w:cs="宋体" w:eastAsia="宋体" w:hint="default"/>
                <w:sz w:val="24"/>
                <w:szCs w:val="24"/>
              </w:rPr>
              <w:t>递延延保业务费用</w:t>
            </w:r>
            <w:r>
              <w:rPr>
                <w:rFonts w:ascii="Arial" w:hAnsi="Arial" w:cs="Arial" w:eastAsia="Arial" w:hint="default"/>
                <w:sz w:val="24"/>
                <w:szCs w:val="24"/>
              </w:rPr>
              <w:t>(a)</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6" w:right="0"/>
              <w:jc w:val="left"/>
              <w:rPr>
                <w:rFonts w:ascii="Arial" w:hAnsi="Arial" w:cs="Arial" w:eastAsia="Arial" w:hint="default"/>
                <w:sz w:val="24"/>
                <w:szCs w:val="24"/>
              </w:rPr>
            </w:pPr>
            <w:r>
              <w:rPr>
                <w:rFonts w:ascii="Arial"/>
                <w:sz w:val="24"/>
              </w:rPr>
              <w:t>153,828</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1" w:right="0"/>
              <w:jc w:val="left"/>
              <w:rPr>
                <w:rFonts w:ascii="Arial" w:hAnsi="Arial" w:cs="Arial" w:eastAsia="Arial" w:hint="default"/>
                <w:sz w:val="24"/>
                <w:szCs w:val="24"/>
              </w:rPr>
            </w:pPr>
            <w:r>
              <w:rPr>
                <w:rFonts w:ascii="Arial"/>
                <w:sz w:val="24"/>
              </w:rPr>
              <w:t>79,319</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4" w:right="0"/>
              <w:jc w:val="left"/>
              <w:rPr>
                <w:rFonts w:ascii="Arial" w:hAnsi="Arial" w:cs="Arial" w:eastAsia="Arial" w:hint="default"/>
                <w:sz w:val="24"/>
                <w:szCs w:val="24"/>
              </w:rPr>
            </w:pPr>
            <w:r>
              <w:rPr>
                <w:rFonts w:ascii="Arial"/>
                <w:sz w:val="24"/>
              </w:rPr>
              <w:t>(28,488)</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46" w:right="0"/>
              <w:jc w:val="left"/>
              <w:rPr>
                <w:rFonts w:ascii="Arial" w:hAnsi="Arial" w:cs="Arial" w:eastAsia="Arial" w:hint="default"/>
                <w:sz w:val="24"/>
                <w:szCs w:val="24"/>
              </w:rPr>
            </w:pPr>
            <w:r>
              <w:rPr>
                <w:rFonts w:ascii="Arial"/>
                <w:sz w:val="24"/>
              </w:rPr>
              <w:t>204,659</w:t>
            </w:r>
          </w:p>
        </w:tc>
      </w:tr>
      <w:tr>
        <w:trPr>
          <w:trHeight w:val="312" w:hRule="exact"/>
        </w:trPr>
        <w:tc>
          <w:tcPr>
            <w:tcW w:w="786"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78" w:lineRule="exact"/>
              <w:ind w:left="72" w:right="0"/>
              <w:jc w:val="left"/>
              <w:rPr>
                <w:rFonts w:ascii="Arial" w:hAnsi="Arial" w:cs="Arial" w:eastAsia="Arial" w:hint="default"/>
                <w:sz w:val="24"/>
                <w:szCs w:val="24"/>
              </w:rPr>
            </w:pPr>
            <w:r>
              <w:rPr>
                <w:rFonts w:ascii="宋体" w:hAnsi="宋体" w:cs="宋体" w:eastAsia="宋体" w:hint="default"/>
                <w:sz w:val="24"/>
                <w:szCs w:val="24"/>
              </w:rPr>
              <w:t>预付长期房屋租赁费</w:t>
            </w:r>
            <w:r>
              <w:rPr>
                <w:rFonts w:ascii="Arial" w:hAnsi="Arial" w:cs="Arial" w:eastAsia="Arial" w:hint="default"/>
                <w:sz w:val="24"/>
                <w:szCs w:val="24"/>
              </w:rPr>
              <w:t>(b)</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48" w:right="0"/>
              <w:jc w:val="left"/>
              <w:rPr>
                <w:rFonts w:ascii="Arial" w:hAnsi="Arial" w:cs="Arial" w:eastAsia="Arial" w:hint="default"/>
                <w:sz w:val="24"/>
                <w:szCs w:val="24"/>
              </w:rPr>
            </w:pPr>
            <w:r>
              <w:rPr>
                <w:rFonts w:ascii="Arial"/>
                <w:spacing w:val="-4"/>
                <w:sz w:val="24"/>
              </w:rPr>
              <w:t>41,011</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96" w:right="0"/>
              <w:jc w:val="left"/>
              <w:rPr>
                <w:rFonts w:ascii="Arial" w:hAnsi="Arial" w:cs="Arial" w:eastAsia="Arial" w:hint="default"/>
                <w:sz w:val="24"/>
                <w:szCs w:val="24"/>
              </w:rPr>
            </w:pPr>
            <w:r>
              <w:rPr>
                <w:rFonts w:ascii="Arial"/>
                <w:sz w:val="24"/>
              </w:rPr>
              <w:t>4,624</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7"/>
              <w:jc w:val="right"/>
              <w:rPr>
                <w:rFonts w:ascii="Arial" w:hAnsi="Arial" w:cs="Arial" w:eastAsia="Arial" w:hint="default"/>
                <w:sz w:val="24"/>
                <w:szCs w:val="24"/>
              </w:rPr>
            </w:pPr>
            <w:r>
              <w:rPr>
                <w:rFonts w:ascii="Arial"/>
                <w:sz w:val="24"/>
              </w:rPr>
              <w:t>(8,949)</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78" w:right="0"/>
              <w:jc w:val="left"/>
              <w:rPr>
                <w:rFonts w:ascii="Arial" w:hAnsi="Arial" w:cs="Arial" w:eastAsia="Arial" w:hint="default"/>
                <w:sz w:val="24"/>
                <w:szCs w:val="24"/>
              </w:rPr>
            </w:pPr>
            <w:r>
              <w:rPr>
                <w:rFonts w:ascii="Arial"/>
                <w:sz w:val="24"/>
              </w:rPr>
              <w:t>36,686</w:t>
            </w:r>
          </w:p>
        </w:tc>
      </w:tr>
      <w:tr>
        <w:trPr>
          <w:trHeight w:val="312" w:hRule="exact"/>
        </w:trPr>
        <w:tc>
          <w:tcPr>
            <w:tcW w:w="786"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tabs>
                <w:tab w:pos="2863" w:val="left" w:leader="none"/>
                <w:tab w:pos="3586" w:val="left" w:leader="none"/>
              </w:tabs>
              <w:spacing w:line="260" w:lineRule="exact"/>
              <w:ind w:left="72" w:right="-664"/>
              <w:jc w:val="left"/>
              <w:rPr>
                <w:rFonts w:ascii="Arial" w:hAnsi="Arial" w:cs="Arial" w:eastAsia="Arial" w:hint="default"/>
                <w:sz w:val="24"/>
                <w:szCs w:val="24"/>
              </w:rPr>
            </w:pPr>
            <w:r>
              <w:rPr>
                <w:rFonts w:ascii="宋体" w:hAnsi="宋体" w:cs="宋体" w:eastAsia="宋体" w:hint="default"/>
                <w:position w:val="2"/>
                <w:sz w:val="24"/>
                <w:szCs w:val="24"/>
              </w:rPr>
              <w:t>水电设施使用费</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91" w:type="dxa"/>
            <w:tcBorders>
              <w:top w:val="nil" w:sz="6" w:space="0" w:color="auto"/>
              <w:left w:val="nil" w:sz="6" w:space="0" w:color="auto"/>
              <w:bottom w:val="nil" w:sz="6" w:space="0" w:color="auto"/>
              <w:right w:val="nil" w:sz="6" w:space="0" w:color="auto"/>
            </w:tcBorders>
          </w:tcPr>
          <w:p>
            <w:pPr>
              <w:pStyle w:val="TableParagraph"/>
              <w:tabs>
                <w:tab w:pos="2907" w:val="left" w:leader="none"/>
              </w:tabs>
              <w:spacing w:line="240" w:lineRule="auto" w:before="21"/>
              <w:ind w:left="663" w:right="-1217"/>
              <w:jc w:val="left"/>
              <w:rPr>
                <w:rFonts w:ascii="Arial" w:hAnsi="Arial" w:cs="Arial" w:eastAsia="Arial" w:hint="default"/>
                <w:sz w:val="24"/>
                <w:szCs w:val="24"/>
              </w:rPr>
            </w:pPr>
            <w:r>
              <w:rPr>
                <w:rFonts w:ascii="Arial"/>
                <w:w w:val="99"/>
                <w:sz w:val="24"/>
              </w:rPr>
            </w:r>
            <w:r>
              <w:rPr>
                <w:rFonts w:ascii="Arial"/>
                <w:sz w:val="24"/>
                <w:u w:val="single" w:color="000000"/>
              </w:rPr>
              <w:t>6,538</w:t>
            </w:r>
            <w:r>
              <w:rPr>
                <w:rFonts w:ascii="Arial"/>
                <w:spacing w:val="28"/>
                <w:sz w:val="24"/>
                <w:u w:val="single" w:color="000000"/>
              </w:rPr>
              <w:t> </w:t>
            </w:r>
            <w:r>
              <w:rPr>
                <w:rFonts w:ascii="Arial"/>
                <w:spacing w:val="28"/>
                <w:sz w:val="24"/>
              </w:rPr>
            </w:r>
            <w:r>
              <w:rPr>
                <w:rFonts w:ascii="Arial"/>
                <w:sz w:val="24"/>
              </w:rPr>
              <w:t> </w:t>
            </w:r>
            <w:r>
              <w:rPr>
                <w:rFonts w:ascii="Arial"/>
                <w:spacing w:val="8"/>
                <w:sz w:val="24"/>
              </w:rPr>
              <w:t> </w:t>
            </w:r>
            <w:r>
              <w:rPr>
                <w:rFonts w:ascii="Arial"/>
                <w:spacing w:val="8"/>
                <w:w w:val="100"/>
                <w:sz w:val="24"/>
              </w:rPr>
            </w:r>
            <w:r>
              <w:rPr>
                <w:rFonts w:ascii="Arial"/>
                <w:w w:val="100"/>
                <w:sz w:val="24"/>
                <w:u w:val="single" w:color="000000"/>
              </w:rPr>
              <w:t> </w:t>
            </w:r>
            <w:r>
              <w:rPr>
                <w:rFonts w:ascii="Arial"/>
                <w:sz w:val="24"/>
                <w:u w:val="single" w:color="000000"/>
              </w:rPr>
              <w:tab/>
            </w:r>
            <w:r>
              <w:rPr>
                <w:rFonts w:ascii="Arial"/>
                <w:sz w:val="24"/>
              </w:rPr>
            </w:r>
          </w:p>
        </w:tc>
        <w:tc>
          <w:tcPr>
            <w:tcW w:w="1648" w:type="dxa"/>
            <w:tcBorders>
              <w:top w:val="nil" w:sz="6" w:space="0" w:color="auto"/>
              <w:left w:val="nil" w:sz="6" w:space="0" w:color="auto"/>
              <w:bottom w:val="nil" w:sz="6" w:space="0" w:color="auto"/>
              <w:right w:val="nil" w:sz="6" w:space="0" w:color="auto"/>
            </w:tcBorders>
          </w:tcPr>
          <w:p>
            <w:pPr>
              <w:pStyle w:val="TableParagraph"/>
              <w:tabs>
                <w:tab w:pos="1017" w:val="left" w:leader="none"/>
              </w:tabs>
              <w:spacing w:line="240" w:lineRule="auto" w:before="21"/>
              <w:ind w:right="-587"/>
              <w:jc w:val="right"/>
              <w:rPr>
                <w:rFonts w:ascii="Arial" w:hAnsi="Arial" w:cs="Arial" w:eastAsia="Arial" w:hint="default"/>
                <w:sz w:val="24"/>
                <w:szCs w:val="24"/>
              </w:rPr>
            </w:pPr>
            <w:r>
              <w:rPr>
                <w:rFonts w:ascii="Arial"/>
                <w:w w:val="99"/>
                <w:sz w:val="24"/>
              </w:rPr>
            </w:r>
            <w:r>
              <w:rPr>
                <w:rFonts w:ascii="Arial"/>
                <w:sz w:val="24"/>
                <w:u w:val="single" w:color="000000"/>
              </w:rPr>
              <w:t>-</w:t>
            </w:r>
            <w:r>
              <w:rPr>
                <w:rFonts w:ascii="Arial"/>
                <w:spacing w:val="7"/>
                <w:sz w:val="24"/>
                <w:u w:val="single" w:color="000000"/>
              </w:rPr>
              <w:t> </w:t>
            </w:r>
            <w:r>
              <w:rPr>
                <w:rFonts w:ascii="Arial"/>
                <w:spacing w:val="7"/>
                <w:sz w:val="24"/>
              </w:rPr>
            </w:r>
            <w:r>
              <w:rPr>
                <w:rFonts w:ascii="Arial"/>
                <w:sz w:val="24"/>
              </w:rPr>
              <w:t> </w:t>
            </w:r>
            <w:r>
              <w:rPr>
                <w:rFonts w:ascii="Arial"/>
                <w:spacing w:val="8"/>
                <w:sz w:val="24"/>
              </w:rPr>
              <w:t> </w:t>
            </w:r>
            <w:r>
              <w:rPr>
                <w:rFonts w:ascii="Arial"/>
                <w:spacing w:val="8"/>
                <w:w w:val="100"/>
                <w:sz w:val="24"/>
              </w:rPr>
            </w:r>
            <w:r>
              <w:rPr>
                <w:rFonts w:ascii="Arial"/>
                <w:w w:val="100"/>
                <w:sz w:val="24"/>
                <w:u w:val="single" w:color="000000"/>
              </w:rPr>
              <w:t> </w:t>
            </w:r>
            <w:r>
              <w:rPr>
                <w:rFonts w:ascii="Arial"/>
                <w:sz w:val="24"/>
                <w:u w:val="single" w:color="000000"/>
              </w:rPr>
              <w:tab/>
            </w:r>
            <w:r>
              <w:rPr>
                <w:rFonts w:ascii="Arial"/>
                <w:sz w:val="24"/>
              </w:rPr>
            </w:r>
          </w:p>
        </w:tc>
        <w:tc>
          <w:tcPr>
            <w:tcW w:w="1569" w:type="dxa"/>
            <w:tcBorders>
              <w:top w:val="nil" w:sz="6" w:space="0" w:color="auto"/>
              <w:left w:val="nil" w:sz="6" w:space="0" w:color="auto"/>
              <w:bottom w:val="nil" w:sz="6" w:space="0" w:color="auto"/>
              <w:right w:val="nil" w:sz="6" w:space="0" w:color="auto"/>
            </w:tcBorders>
          </w:tcPr>
          <w:p>
            <w:pPr>
              <w:pStyle w:val="TableParagraph"/>
              <w:tabs>
                <w:tab w:pos="837" w:val="left" w:leader="none"/>
              </w:tabs>
              <w:spacing w:line="240" w:lineRule="auto" w:before="21"/>
              <w:ind w:right="142"/>
              <w:jc w:val="right"/>
              <w:rPr>
                <w:rFonts w:ascii="Arial" w:hAnsi="Arial" w:cs="Arial" w:eastAsia="Arial" w:hint="default"/>
                <w:sz w:val="24"/>
                <w:szCs w:val="24"/>
              </w:rPr>
            </w:pPr>
            <w:r>
              <w:rPr>
                <w:rFonts w:ascii="Arial"/>
                <w:w w:val="99"/>
                <w:sz w:val="24"/>
              </w:rPr>
            </w:r>
            <w:r>
              <w:rPr>
                <w:rFonts w:ascii="Arial"/>
                <w:sz w:val="24"/>
                <w:u w:val="single" w:color="000000"/>
              </w:rPr>
              <w:t>(1,189)</w:t>
              <w:tab/>
            </w:r>
            <w:r>
              <w:rPr>
                <w:rFonts w:ascii="Arial"/>
                <w:sz w:val="24"/>
              </w:rPr>
            </w:r>
          </w:p>
        </w:tc>
        <w:tc>
          <w:tcPr>
            <w:tcW w:w="1772" w:type="dxa"/>
            <w:tcBorders>
              <w:top w:val="nil" w:sz="6" w:space="0" w:color="auto"/>
              <w:left w:val="nil" w:sz="6" w:space="0" w:color="auto"/>
              <w:bottom w:val="nil" w:sz="6" w:space="0" w:color="auto"/>
              <w:right w:val="nil" w:sz="6" w:space="0" w:color="auto"/>
            </w:tcBorders>
          </w:tcPr>
          <w:p>
            <w:pPr>
              <w:pStyle w:val="TableParagraph"/>
              <w:tabs>
                <w:tab w:pos="813" w:val="left" w:leader="none"/>
                <w:tab w:pos="1554" w:val="left" w:leader="none"/>
              </w:tabs>
              <w:spacing w:line="240" w:lineRule="auto" w:before="21"/>
              <w:ind w:left="-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5,349</w:t>
              <w:tab/>
            </w:r>
            <w:r>
              <w:rPr>
                <w:rFonts w:ascii="Arial"/>
                <w:sz w:val="24"/>
              </w:rPr>
            </w:r>
          </w:p>
        </w:tc>
      </w:tr>
      <w:tr>
        <w:trPr>
          <w:trHeight w:val="432" w:hRule="exact"/>
        </w:trPr>
        <w:tc>
          <w:tcPr>
            <w:tcW w:w="786" w:type="dxa"/>
            <w:tcBorders>
              <w:top w:val="nil" w:sz="6" w:space="0" w:color="auto"/>
              <w:left w:val="nil" w:sz="6" w:space="0" w:color="auto"/>
              <w:bottom w:val="nil" w:sz="6" w:space="0" w:color="auto"/>
              <w:right w:val="nil" w:sz="6" w:space="0" w:color="auto"/>
            </w:tcBorders>
          </w:tcPr>
          <w:p>
            <w:pPr/>
          </w:p>
        </w:tc>
        <w:tc>
          <w:tcPr>
            <w:tcW w:w="4614" w:type="dxa"/>
            <w:gridSpan w:val="2"/>
            <w:tcBorders>
              <w:top w:val="nil" w:sz="6" w:space="0" w:color="auto"/>
              <w:left w:val="nil" w:sz="6" w:space="0" w:color="auto"/>
              <w:bottom w:val="nil" w:sz="6" w:space="0" w:color="auto"/>
              <w:right w:val="nil" w:sz="6" w:space="0" w:color="auto"/>
            </w:tcBorders>
          </w:tcPr>
          <w:p>
            <w:pPr>
              <w:pStyle w:val="TableParagraph"/>
              <w:tabs>
                <w:tab w:pos="3319" w:val="left" w:leader="none"/>
                <w:tab w:pos="5043" w:val="left" w:leader="none"/>
              </w:tabs>
              <w:spacing w:line="266" w:lineRule="exact"/>
              <w:ind w:left="2863" w:right="-43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529,531</w:t>
            </w:r>
            <w:r>
              <w:rPr>
                <w:rFonts w:ascii="Arial"/>
                <w:spacing w:val="28"/>
                <w:sz w:val="24"/>
                <w:u w:val="thick" w:color="000000"/>
              </w:rPr>
              <w:t> </w:t>
            </w:r>
            <w:r>
              <w:rPr>
                <w:rFonts w:ascii="Arial"/>
                <w:spacing w:val="28"/>
                <w:sz w:val="24"/>
              </w:rPr>
            </w:r>
            <w:r>
              <w:rPr>
                <w:rFonts w:ascii="Arial"/>
                <w:sz w:val="24"/>
              </w:rPr>
              <w:t> </w:t>
            </w:r>
            <w:r>
              <w:rPr>
                <w:rFonts w:ascii="Arial"/>
                <w:spacing w:val="8"/>
                <w:sz w:val="24"/>
              </w:rPr>
              <w:t> </w:t>
            </w:r>
            <w:r>
              <w:rPr>
                <w:rFonts w:ascii="Arial"/>
                <w:spacing w:val="8"/>
                <w:w w:val="100"/>
                <w:sz w:val="24"/>
              </w:rPr>
            </w:r>
            <w:r>
              <w:rPr>
                <w:rFonts w:ascii="Arial"/>
                <w:w w:val="100"/>
                <w:sz w:val="24"/>
                <w:u w:val="thick" w:color="000000"/>
              </w:rPr>
              <w:t> </w:t>
            </w:r>
            <w:r>
              <w:rPr>
                <w:rFonts w:ascii="Arial"/>
                <w:sz w:val="24"/>
                <w:u w:val="thick" w:color="000000"/>
              </w:rPr>
              <w:tab/>
            </w:r>
            <w:r>
              <w:rPr>
                <w:rFonts w:ascii="Arial"/>
                <w:sz w:val="24"/>
              </w:rPr>
            </w:r>
          </w:p>
        </w:tc>
        <w:tc>
          <w:tcPr>
            <w:tcW w:w="1648" w:type="dxa"/>
            <w:tcBorders>
              <w:top w:val="nil" w:sz="6" w:space="0" w:color="auto"/>
              <w:left w:val="nil" w:sz="6" w:space="0" w:color="auto"/>
              <w:bottom w:val="nil" w:sz="6" w:space="0" w:color="auto"/>
              <w:right w:val="nil" w:sz="6" w:space="0" w:color="auto"/>
            </w:tcBorders>
          </w:tcPr>
          <w:p>
            <w:pPr>
              <w:pStyle w:val="TableParagraph"/>
              <w:tabs>
                <w:tab w:pos="1968" w:val="left" w:leader="none"/>
              </w:tabs>
              <w:spacing w:line="266" w:lineRule="exact"/>
              <w:ind w:left="429" w:right="-321"/>
              <w:jc w:val="left"/>
              <w:rPr>
                <w:rFonts w:ascii="Arial" w:hAnsi="Arial" w:cs="Arial" w:eastAsia="Arial" w:hint="default"/>
                <w:sz w:val="24"/>
                <w:szCs w:val="24"/>
              </w:rPr>
            </w:pPr>
            <w:r>
              <w:rPr>
                <w:rFonts w:ascii="Arial"/>
                <w:w w:val="99"/>
                <w:sz w:val="24"/>
              </w:rPr>
            </w:r>
            <w:r>
              <w:rPr>
                <w:rFonts w:ascii="Arial"/>
                <w:sz w:val="24"/>
                <w:u w:val="thick" w:color="000000"/>
              </w:rPr>
              <w:t>734,143</w:t>
            </w:r>
            <w:r>
              <w:rPr>
                <w:rFonts w:ascii="Arial"/>
                <w:spacing w:val="6"/>
                <w:sz w:val="24"/>
                <w:u w:val="thick" w:color="000000"/>
              </w:rPr>
              <w:t> </w:t>
            </w:r>
            <w:r>
              <w:rPr>
                <w:rFonts w:ascii="Arial"/>
                <w:spacing w:val="6"/>
                <w:sz w:val="24"/>
              </w:rPr>
            </w:r>
            <w:r>
              <w:rPr>
                <w:rFonts w:ascii="Arial"/>
                <w:sz w:val="24"/>
              </w:rPr>
              <w:t> </w:t>
            </w:r>
            <w:r>
              <w:rPr>
                <w:rFonts w:ascii="Arial"/>
                <w:spacing w:val="8"/>
                <w:sz w:val="24"/>
              </w:rPr>
              <w:t> </w:t>
            </w:r>
            <w:r>
              <w:rPr>
                <w:rFonts w:ascii="Arial"/>
                <w:spacing w:val="8"/>
                <w:w w:val="100"/>
                <w:sz w:val="24"/>
              </w:rPr>
            </w:r>
            <w:r>
              <w:rPr>
                <w:rFonts w:ascii="Arial"/>
                <w:w w:val="100"/>
                <w:sz w:val="24"/>
                <w:u w:val="thick" w:color="000000"/>
              </w:rPr>
              <w:t> </w:t>
            </w:r>
            <w:r>
              <w:rPr>
                <w:rFonts w:ascii="Arial"/>
                <w:sz w:val="24"/>
                <w:u w:val="thick" w:color="000000"/>
              </w:rPr>
              <w:tab/>
            </w:r>
            <w:r>
              <w:rPr>
                <w:rFonts w:ascii="Arial"/>
                <w:sz w:val="24"/>
              </w:rPr>
            </w:r>
          </w:p>
        </w:tc>
        <w:tc>
          <w:tcPr>
            <w:tcW w:w="1569" w:type="dxa"/>
            <w:tcBorders>
              <w:top w:val="nil" w:sz="6" w:space="0" w:color="auto"/>
              <w:left w:val="nil" w:sz="6" w:space="0" w:color="auto"/>
              <w:bottom w:val="nil" w:sz="6" w:space="0" w:color="auto"/>
              <w:right w:val="nil" w:sz="6" w:space="0" w:color="auto"/>
            </w:tcBorders>
          </w:tcPr>
          <w:p>
            <w:pPr>
              <w:pStyle w:val="TableParagraph"/>
              <w:tabs>
                <w:tab w:pos="1104" w:val="left" w:leader="none"/>
              </w:tabs>
              <w:spacing w:line="266" w:lineRule="exact"/>
              <w:ind w:right="142"/>
              <w:jc w:val="right"/>
              <w:rPr>
                <w:rFonts w:ascii="Arial" w:hAnsi="Arial" w:cs="Arial" w:eastAsia="Arial" w:hint="default"/>
                <w:sz w:val="24"/>
                <w:szCs w:val="24"/>
              </w:rPr>
            </w:pPr>
            <w:r>
              <w:rPr>
                <w:rFonts w:ascii="Arial"/>
                <w:w w:val="99"/>
                <w:sz w:val="24"/>
              </w:rPr>
            </w:r>
            <w:r>
              <w:rPr>
                <w:rFonts w:ascii="Arial"/>
                <w:spacing w:val="-1"/>
                <w:sz w:val="24"/>
                <w:u w:val="thick" w:color="000000"/>
              </w:rPr>
              <w:t>(421,982)</w:t>
              <w:tab/>
            </w:r>
            <w:r>
              <w:rPr>
                <w:rFonts w:ascii="Arial"/>
                <w:spacing w:val="-1"/>
                <w:sz w:val="24"/>
              </w:rPr>
            </w:r>
          </w:p>
        </w:tc>
        <w:tc>
          <w:tcPr>
            <w:tcW w:w="1772" w:type="dxa"/>
            <w:tcBorders>
              <w:top w:val="nil" w:sz="6" w:space="0" w:color="auto"/>
              <w:left w:val="nil" w:sz="6" w:space="0" w:color="auto"/>
              <w:bottom w:val="nil" w:sz="6" w:space="0" w:color="auto"/>
              <w:right w:val="nil" w:sz="6" w:space="0" w:color="auto"/>
            </w:tcBorders>
          </w:tcPr>
          <w:p>
            <w:pPr>
              <w:pStyle w:val="TableParagraph"/>
              <w:tabs>
                <w:tab w:pos="546" w:val="left" w:leader="none"/>
                <w:tab w:pos="1554" w:val="left" w:leader="none"/>
              </w:tabs>
              <w:spacing w:line="266" w:lineRule="exact"/>
              <w:ind w:left="-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841,692</w:t>
              <w:tab/>
            </w:r>
            <w:r>
              <w:rPr>
                <w:rFonts w:ascii="Arial"/>
                <w:sz w:val="24"/>
              </w:rPr>
            </w:r>
          </w:p>
        </w:tc>
      </w:tr>
      <w:tr>
        <w:trPr>
          <w:trHeight w:val="1836"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7" w:right="0"/>
              <w:jc w:val="left"/>
              <w:rPr>
                <w:rFonts w:ascii="Arial" w:hAnsi="Arial" w:cs="Arial" w:eastAsia="Arial" w:hint="default"/>
                <w:sz w:val="24"/>
                <w:szCs w:val="24"/>
              </w:rPr>
            </w:pPr>
            <w:r>
              <w:rPr>
                <w:rFonts w:ascii="Arial"/>
                <w:sz w:val="24"/>
              </w:rPr>
              <w:t>(a)</w:t>
            </w:r>
          </w:p>
        </w:tc>
        <w:tc>
          <w:tcPr>
            <w:tcW w:w="9602"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33"/>
              <w:ind w:left="136" w:right="322"/>
              <w:jc w:val="both"/>
              <w:rPr>
                <w:rFonts w:ascii="宋体" w:hAnsi="宋体" w:cs="宋体" w:eastAsia="宋体" w:hint="default"/>
                <w:sz w:val="24"/>
                <w:szCs w:val="24"/>
              </w:rPr>
            </w:pPr>
            <w:r>
              <w:rPr>
                <w:rFonts w:ascii="宋体" w:hAnsi="宋体" w:cs="宋体" w:eastAsia="宋体" w:hint="default"/>
                <w:sz w:val="24"/>
                <w:szCs w:val="24"/>
              </w:rPr>
              <w:t>本集团向顾客提供电器延长保修业务，并就提供的延长保修业务与第三方保险公司签订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保险服务协议书，支付相应保险费用以确保在日后提供延长保修期服务时可按合同规定</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向保险公司收取相关赔偿。于</w:t>
            </w:r>
            <w:r>
              <w:rPr>
                <w:rFonts w:ascii="宋体" w:hAnsi="宋体" w:cs="宋体" w:eastAsia="宋体" w:hint="default"/>
                <w:spacing w:val="-51"/>
                <w:sz w:val="24"/>
                <w:szCs w:val="24"/>
              </w:rPr>
              <w:t> </w:t>
            </w:r>
            <w:r>
              <w:rPr>
                <w:rFonts w:ascii="Arial" w:hAnsi="Arial" w:cs="Arial" w:eastAsia="Arial" w:hint="default"/>
                <w:spacing w:val="-6"/>
                <w:sz w:val="24"/>
                <w:szCs w:val="24"/>
              </w:rPr>
              <w:t>2011</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日，本集团收到的递延延保业务收入和</w:t>
            </w:r>
          </w:p>
          <w:p>
            <w:pPr>
              <w:pStyle w:val="TableParagraph"/>
              <w:spacing w:line="312" w:lineRule="exact"/>
              <w:ind w:left="136" w:right="320"/>
              <w:jc w:val="both"/>
              <w:rPr>
                <w:rFonts w:ascii="宋体" w:hAnsi="宋体" w:cs="宋体" w:eastAsia="宋体" w:hint="default"/>
                <w:sz w:val="24"/>
                <w:szCs w:val="24"/>
              </w:rPr>
            </w:pPr>
            <w:r>
              <w:rPr>
                <w:rFonts w:ascii="宋体" w:hAnsi="宋体" w:cs="宋体" w:eastAsia="宋体" w:hint="default"/>
                <w:sz w:val="24"/>
                <w:szCs w:val="24"/>
              </w:rPr>
              <w:t>支付的递延保险费用累计余额分别约人民币 </w:t>
            </w:r>
            <w:r>
              <w:rPr>
                <w:rFonts w:ascii="Arial" w:hAnsi="Arial" w:cs="Arial" w:eastAsia="Arial" w:hint="default"/>
                <w:sz w:val="24"/>
                <w:szCs w:val="24"/>
              </w:rPr>
              <w:t>6.35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(30))</w:t>
            </w:r>
            <w:r>
              <w:rPr>
                <w:rFonts w:ascii="宋体" w:hAnsi="宋体" w:cs="宋体" w:eastAsia="宋体" w:hint="default"/>
                <w:sz w:val="24"/>
                <w:szCs w:val="24"/>
              </w:rPr>
              <w:t>和约人民币 </w:t>
            </w:r>
            <w:r>
              <w:rPr>
                <w:rFonts w:ascii="Arial" w:hAnsi="Arial" w:cs="Arial" w:eastAsia="Arial" w:hint="default"/>
                <w:sz w:val="24"/>
                <w:szCs w:val="24"/>
              </w:rPr>
              <w:t>2.05</w:t>
            </w:r>
            <w:r>
              <w:rPr>
                <w:rFonts w:ascii="Arial" w:hAnsi="Arial" w:cs="Arial" w:eastAsia="Arial" w:hint="default"/>
                <w:spacing w:val="-26"/>
                <w:sz w:val="24"/>
                <w:szCs w:val="24"/>
              </w:rPr>
              <w:t> </w:t>
            </w:r>
            <w:r>
              <w:rPr>
                <w:rFonts w:ascii="宋体" w:hAnsi="宋体" w:cs="宋体" w:eastAsia="宋体" w:hint="default"/>
                <w:sz w:val="24"/>
                <w:szCs w:val="24"/>
              </w:rPr>
              <w:t>亿 元。</w:t>
            </w:r>
          </w:p>
        </w:tc>
      </w:tr>
      <w:tr>
        <w:trPr>
          <w:trHeight w:val="1676"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7" w:right="0"/>
              <w:jc w:val="left"/>
              <w:rPr>
                <w:rFonts w:ascii="Arial" w:hAnsi="Arial" w:cs="Arial" w:eastAsia="Arial" w:hint="default"/>
                <w:sz w:val="24"/>
                <w:szCs w:val="24"/>
              </w:rPr>
            </w:pPr>
            <w:r>
              <w:rPr>
                <w:rFonts w:ascii="Arial"/>
                <w:sz w:val="24"/>
              </w:rPr>
              <w:t>(b)</w:t>
            </w:r>
          </w:p>
        </w:tc>
        <w:tc>
          <w:tcPr>
            <w:tcW w:w="9602"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102"/>
              <w:ind w:left="136" w:right="0"/>
              <w:jc w:val="left"/>
              <w:rPr>
                <w:rFonts w:ascii="宋体" w:hAnsi="宋体" w:cs="宋体" w:eastAsia="宋体" w:hint="default"/>
                <w:sz w:val="24"/>
                <w:szCs w:val="24"/>
              </w:rPr>
            </w:pPr>
            <w:r>
              <w:rPr>
                <w:rFonts w:ascii="宋体" w:hAnsi="宋体" w:cs="宋体" w:eastAsia="宋体" w:hint="default"/>
                <w:sz w:val="24"/>
                <w:szCs w:val="24"/>
              </w:rPr>
              <w:t>本集团于</w:t>
            </w:r>
            <w:r>
              <w:rPr>
                <w:rFonts w:ascii="宋体" w:hAnsi="宋体" w:cs="宋体" w:eastAsia="宋体" w:hint="default"/>
                <w:spacing w:val="-66"/>
                <w:sz w:val="24"/>
                <w:szCs w:val="24"/>
              </w:rPr>
              <w:t> </w:t>
            </w: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13"/>
                <w:sz w:val="24"/>
                <w:szCs w:val="24"/>
              </w:rPr>
              <w:t> </w:t>
            </w:r>
            <w:r>
              <w:rPr>
                <w:rFonts w:ascii="宋体" w:hAnsi="宋体" w:cs="宋体" w:eastAsia="宋体" w:hint="default"/>
                <w:sz w:val="24"/>
                <w:szCs w:val="24"/>
              </w:rPr>
              <w:t>月签订租赁合同，本集团预付约人民币</w:t>
            </w:r>
            <w:r>
              <w:rPr>
                <w:rFonts w:ascii="宋体" w:hAnsi="宋体" w:cs="宋体" w:eastAsia="宋体" w:hint="default"/>
                <w:spacing w:val="-65"/>
                <w:sz w:val="24"/>
                <w:szCs w:val="24"/>
              </w:rPr>
              <w:t> </w:t>
            </w:r>
            <w:r>
              <w:rPr>
                <w:rFonts w:ascii="Arial" w:hAnsi="Arial" w:cs="Arial" w:eastAsia="Arial" w:hint="default"/>
                <w:sz w:val="24"/>
                <w:szCs w:val="24"/>
              </w:rPr>
              <w:t>5,000</w:t>
            </w:r>
            <w:r>
              <w:rPr>
                <w:rFonts w:ascii="Arial" w:hAnsi="Arial" w:cs="Arial" w:eastAsia="Arial" w:hint="default"/>
                <w:spacing w:val="-13"/>
                <w:sz w:val="24"/>
                <w:szCs w:val="24"/>
              </w:rPr>
              <w:t> </w:t>
            </w:r>
            <w:r>
              <w:rPr>
                <w:rFonts w:ascii="宋体" w:hAnsi="宋体" w:cs="宋体" w:eastAsia="宋体" w:hint="default"/>
                <w:spacing w:val="-4"/>
                <w:sz w:val="24"/>
                <w:szCs w:val="24"/>
              </w:rPr>
              <w:t>万元的租赁费，取得</w:t>
            </w:r>
          </w:p>
          <w:p>
            <w:pPr>
              <w:pStyle w:val="TableParagraph"/>
              <w:spacing w:line="312" w:lineRule="exact"/>
              <w:ind w:left="136" w:right="0"/>
              <w:jc w:val="left"/>
              <w:rPr>
                <w:rFonts w:ascii="宋体" w:hAnsi="宋体" w:cs="宋体" w:eastAsia="宋体" w:hint="default"/>
                <w:sz w:val="24"/>
                <w:szCs w:val="24"/>
              </w:rPr>
            </w:pPr>
            <w:r>
              <w:rPr>
                <w:rFonts w:ascii="宋体" w:hAnsi="宋体" w:cs="宋体" w:eastAsia="宋体" w:hint="default"/>
                <w:sz w:val="24"/>
                <w:szCs w:val="24"/>
              </w:rPr>
              <w:t>一处商铺为期</w:t>
            </w:r>
            <w:r>
              <w:rPr>
                <w:rFonts w:ascii="宋体" w:hAnsi="宋体" w:cs="宋体" w:eastAsia="宋体" w:hint="default"/>
                <w:spacing w:val="-61"/>
                <w:sz w:val="24"/>
                <w:szCs w:val="24"/>
              </w:rPr>
              <w:t> </w:t>
            </w:r>
            <w:r>
              <w:rPr>
                <w:rFonts w:ascii="Arial" w:hAnsi="Arial" w:cs="Arial" w:eastAsia="Arial" w:hint="default"/>
                <w:sz w:val="24"/>
                <w:szCs w:val="24"/>
              </w:rPr>
              <w:t>8</w:t>
            </w:r>
            <w:r>
              <w:rPr>
                <w:rFonts w:ascii="Arial" w:hAnsi="Arial" w:cs="Arial" w:eastAsia="Arial" w:hint="default"/>
                <w:spacing w:val="-6"/>
                <w:sz w:val="24"/>
                <w:szCs w:val="24"/>
              </w:rPr>
              <w:t> </w:t>
            </w:r>
            <w:r>
              <w:rPr>
                <w:rFonts w:ascii="宋体" w:hAnsi="宋体" w:cs="宋体" w:eastAsia="宋体" w:hint="default"/>
                <w:spacing w:val="-5"/>
                <w:sz w:val="24"/>
                <w:szCs w:val="24"/>
              </w:rPr>
              <w:t>年的租赁权。另于</w:t>
            </w:r>
            <w:r>
              <w:rPr>
                <w:rFonts w:ascii="宋体" w:hAnsi="宋体" w:cs="宋体" w:eastAsia="宋体" w:hint="default"/>
                <w:spacing w:val="-60"/>
                <w:sz w:val="24"/>
                <w:szCs w:val="24"/>
              </w:rPr>
              <w:t> </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pacing w:val="-3"/>
                <w:sz w:val="24"/>
                <w:szCs w:val="24"/>
              </w:rPr>
              <w:t>月签订租赁合同，预付人民币</w:t>
            </w:r>
            <w:r>
              <w:rPr>
                <w:rFonts w:ascii="宋体" w:hAnsi="宋体" w:cs="宋体" w:eastAsia="宋体" w:hint="default"/>
                <w:spacing w:val="-60"/>
                <w:sz w:val="24"/>
                <w:szCs w:val="24"/>
              </w:rPr>
              <w:t> </w:t>
            </w:r>
            <w:r>
              <w:rPr>
                <w:rFonts w:ascii="Arial" w:hAnsi="Arial" w:cs="Arial" w:eastAsia="Arial" w:hint="default"/>
                <w:sz w:val="24"/>
                <w:szCs w:val="24"/>
              </w:rPr>
              <w:t>1,500</w:t>
            </w:r>
            <w:r>
              <w:rPr>
                <w:rFonts w:ascii="Arial" w:hAnsi="Arial" w:cs="Arial" w:eastAsia="Arial" w:hint="default"/>
                <w:spacing w:val="-6"/>
                <w:sz w:val="24"/>
                <w:szCs w:val="24"/>
              </w:rPr>
              <w:t> </w:t>
            </w:r>
            <w:r>
              <w:rPr>
                <w:rFonts w:ascii="宋体" w:hAnsi="宋体" w:cs="宋体" w:eastAsia="宋体" w:hint="default"/>
                <w:sz w:val="24"/>
                <w:szCs w:val="24"/>
              </w:rPr>
              <w:t>万元</w:t>
            </w:r>
          </w:p>
          <w:p>
            <w:pPr>
              <w:pStyle w:val="TableParagraph"/>
              <w:spacing w:line="312" w:lineRule="exact"/>
              <w:ind w:left="136" w:right="0"/>
              <w:jc w:val="left"/>
              <w:rPr>
                <w:rFonts w:ascii="宋体" w:hAnsi="宋体" w:cs="宋体" w:eastAsia="宋体" w:hint="default"/>
                <w:sz w:val="24"/>
                <w:szCs w:val="24"/>
              </w:rPr>
            </w:pPr>
            <w:r>
              <w:rPr>
                <w:rFonts w:ascii="宋体" w:hAnsi="宋体" w:cs="宋体" w:eastAsia="宋体" w:hint="default"/>
                <w:sz w:val="24"/>
                <w:szCs w:val="24"/>
              </w:rPr>
              <w:t>的租赁费，取得一处商铺为期</w:t>
            </w:r>
            <w:r>
              <w:rPr>
                <w:rFonts w:ascii="宋体" w:hAnsi="宋体" w:cs="宋体" w:eastAsia="宋体" w:hint="default"/>
                <w:spacing w:val="-49"/>
                <w:sz w:val="24"/>
                <w:szCs w:val="24"/>
              </w:rPr>
              <w:t> </w:t>
            </w:r>
            <w:r>
              <w:rPr>
                <w:rFonts w:ascii="Arial" w:hAnsi="Arial" w:cs="Arial" w:eastAsia="Arial" w:hint="default"/>
                <w:sz w:val="24"/>
                <w:szCs w:val="24"/>
              </w:rPr>
              <w:t>5</w:t>
            </w:r>
            <w:r>
              <w:rPr>
                <w:rFonts w:ascii="Arial" w:hAnsi="Arial" w:cs="Arial" w:eastAsia="Arial" w:hint="default"/>
                <w:spacing w:val="5"/>
                <w:sz w:val="24"/>
                <w:szCs w:val="24"/>
              </w:rPr>
              <w:t> </w:t>
            </w:r>
            <w:r>
              <w:rPr>
                <w:rFonts w:ascii="宋体" w:hAnsi="宋体" w:cs="宋体" w:eastAsia="宋体" w:hint="default"/>
                <w:sz w:val="24"/>
                <w:szCs w:val="24"/>
              </w:rPr>
              <w:t>年的租赁权。于</w:t>
            </w:r>
            <w:r>
              <w:rPr>
                <w:rFonts w:ascii="宋体" w:hAnsi="宋体" w:cs="宋体" w:eastAsia="宋体" w:hint="default"/>
                <w:spacing w:val="-49"/>
                <w:sz w:val="24"/>
                <w:szCs w:val="24"/>
              </w:rPr>
              <w:t> </w:t>
            </w:r>
            <w:r>
              <w:rPr>
                <w:rFonts w:ascii="Arial" w:hAnsi="Arial" w:cs="Arial" w:eastAsia="Arial" w:hint="default"/>
                <w:spacing w:val="-4"/>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6</w:t>
            </w:r>
            <w:r>
              <w:rPr>
                <w:rFonts w:ascii="Arial" w:hAnsi="Arial" w:cs="Arial" w:eastAsia="Arial" w:hint="default"/>
                <w:spacing w:val="5"/>
                <w:sz w:val="24"/>
                <w:szCs w:val="24"/>
              </w:rPr>
              <w:t> </w:t>
            </w:r>
            <w:r>
              <w:rPr>
                <w:rFonts w:ascii="宋体" w:hAnsi="宋体" w:cs="宋体" w:eastAsia="宋体" w:hint="default"/>
                <w:sz w:val="24"/>
                <w:szCs w:val="24"/>
              </w:rPr>
              <w:t>月签订租赁合同，预付约人</w:t>
            </w:r>
          </w:p>
          <w:p>
            <w:pPr>
              <w:pStyle w:val="TableParagraph"/>
              <w:spacing w:line="312" w:lineRule="exact"/>
              <w:ind w:left="136" w:right="0"/>
              <w:jc w:val="left"/>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3"/>
                <w:sz w:val="24"/>
                <w:szCs w:val="24"/>
              </w:rPr>
              <w:t> </w:t>
            </w:r>
            <w:r>
              <w:rPr>
                <w:rFonts w:ascii="Arial" w:hAnsi="Arial" w:cs="Arial" w:eastAsia="Arial" w:hint="default"/>
                <w:sz w:val="24"/>
                <w:szCs w:val="24"/>
              </w:rPr>
              <w:t>462</w:t>
            </w:r>
            <w:r>
              <w:rPr>
                <w:rFonts w:ascii="Arial" w:hAnsi="Arial" w:cs="Arial" w:eastAsia="Arial" w:hint="default"/>
                <w:spacing w:val="-8"/>
                <w:sz w:val="24"/>
                <w:szCs w:val="24"/>
              </w:rPr>
              <w:t> </w:t>
            </w:r>
            <w:r>
              <w:rPr>
                <w:rFonts w:ascii="宋体" w:hAnsi="宋体" w:cs="宋体" w:eastAsia="宋体" w:hint="default"/>
                <w:sz w:val="24"/>
                <w:szCs w:val="24"/>
              </w:rPr>
              <w:t>万的租赁费，取得一处商铺为期</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10"/>
                <w:sz w:val="24"/>
                <w:szCs w:val="24"/>
              </w:rPr>
              <w:t> </w:t>
            </w:r>
            <w:r>
              <w:rPr>
                <w:rFonts w:ascii="宋体" w:hAnsi="宋体" w:cs="宋体" w:eastAsia="宋体" w:hint="default"/>
                <w:sz w:val="24"/>
                <w:szCs w:val="24"/>
              </w:rPr>
              <w:t>年的租赁权。截至</w:t>
            </w:r>
            <w:r>
              <w:rPr>
                <w:rFonts w:ascii="宋体" w:hAnsi="宋体" w:cs="宋体" w:eastAsia="宋体" w:hint="default"/>
                <w:spacing w:val="-62"/>
                <w:sz w:val="24"/>
                <w:szCs w:val="24"/>
              </w:rPr>
              <w:t> </w:t>
            </w:r>
            <w:r>
              <w:rPr>
                <w:rFonts w:ascii="Arial" w:hAnsi="Arial" w:cs="Arial" w:eastAsia="Arial" w:hint="default"/>
                <w:spacing w:val="-6"/>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w:t>
            </w:r>
          </w:p>
          <w:p>
            <w:pPr>
              <w:pStyle w:val="TableParagraph"/>
              <w:spacing w:line="322" w:lineRule="exact"/>
              <w:ind w:left="136" w:right="0"/>
              <w:jc w:val="left"/>
              <w:rPr>
                <w:rFonts w:ascii="宋体" w:hAnsi="宋体" w:cs="宋体" w:eastAsia="宋体" w:hint="default"/>
                <w:sz w:val="24"/>
                <w:szCs w:val="24"/>
              </w:rPr>
            </w:pPr>
            <w:r>
              <w:rPr>
                <w:rFonts w:ascii="宋体" w:hAnsi="宋体" w:cs="宋体" w:eastAsia="宋体" w:hint="default"/>
                <w:sz w:val="24"/>
                <w:szCs w:val="24"/>
              </w:rPr>
              <w:t>其中预付的</w:t>
            </w:r>
            <w:r>
              <w:rPr>
                <w:rFonts w:ascii="宋体" w:hAnsi="宋体" w:cs="宋体" w:eastAsia="宋体" w:hint="default"/>
                <w:spacing w:val="-62"/>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年以上租赁费合计约人民币</w:t>
            </w:r>
            <w:r>
              <w:rPr>
                <w:rFonts w:ascii="宋体" w:hAnsi="宋体" w:cs="宋体" w:eastAsia="宋体" w:hint="default"/>
                <w:spacing w:val="-61"/>
                <w:sz w:val="24"/>
                <w:szCs w:val="24"/>
              </w:rPr>
              <w:t> </w:t>
            </w:r>
            <w:r>
              <w:rPr>
                <w:rFonts w:ascii="Arial" w:hAnsi="Arial" w:cs="Arial" w:eastAsia="Arial" w:hint="default"/>
                <w:sz w:val="24"/>
                <w:szCs w:val="24"/>
              </w:rPr>
              <w:t>3,669</w:t>
            </w:r>
            <w:r>
              <w:rPr>
                <w:rFonts w:ascii="Arial" w:hAnsi="Arial" w:cs="Arial" w:eastAsia="Arial" w:hint="default"/>
                <w:spacing w:val="-7"/>
                <w:sz w:val="24"/>
                <w:szCs w:val="24"/>
              </w:rPr>
              <w:t> </w:t>
            </w:r>
            <w:r>
              <w:rPr>
                <w:rFonts w:ascii="宋体" w:hAnsi="宋体" w:cs="宋体" w:eastAsia="宋体" w:hint="default"/>
                <w:sz w:val="24"/>
                <w:szCs w:val="24"/>
              </w:rPr>
              <w:t>万元。</w:t>
            </w:r>
          </w:p>
        </w:tc>
      </w:tr>
    </w:tbl>
    <w:p>
      <w:pPr>
        <w:spacing w:line="240" w:lineRule="auto" w:before="8"/>
        <w:rPr>
          <w:rFonts w:ascii="Times New Roman" w:hAnsi="Times New Roman" w:cs="Times New Roman" w:eastAsia="Times New Roman"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772"/>
        <w:gridCol w:w="2163"/>
        <w:gridCol w:w="1560"/>
        <w:gridCol w:w="233"/>
        <w:gridCol w:w="1663"/>
        <w:gridCol w:w="231"/>
        <w:gridCol w:w="1496"/>
        <w:gridCol w:w="223"/>
        <w:gridCol w:w="1824"/>
      </w:tblGrid>
      <w:tr>
        <w:trPr>
          <w:trHeight w:val="41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(16)</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43" w:right="-26"/>
              <w:jc w:val="left"/>
              <w:rPr>
                <w:rFonts w:ascii="宋体" w:hAnsi="宋体" w:cs="宋体" w:eastAsia="宋体" w:hint="default"/>
                <w:sz w:val="24"/>
                <w:szCs w:val="24"/>
              </w:rPr>
            </w:pPr>
            <w:r>
              <w:rPr>
                <w:rFonts w:ascii="宋体" w:hAnsi="宋体" w:cs="宋体" w:eastAsia="宋体" w:hint="default"/>
                <w:b/>
                <w:bCs/>
                <w:w w:val="95"/>
                <w:sz w:val="24"/>
                <w:szCs w:val="24"/>
              </w:rPr>
              <w:t>递延所得税资产和递延所得税负债</w:t>
            </w:r>
            <w:r>
              <w:rPr>
                <w:rFonts w:ascii="宋体" w:hAnsi="宋体" w:cs="宋体" w:eastAsia="宋体" w:hint="default"/>
                <w:sz w:val="24"/>
                <w:szCs w:val="24"/>
              </w:rPr>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43" w:right="0"/>
              <w:jc w:val="left"/>
              <w:rPr>
                <w:rFonts w:ascii="宋体" w:hAnsi="宋体" w:cs="宋体" w:eastAsia="宋体" w:hint="default"/>
                <w:sz w:val="24"/>
                <w:szCs w:val="24"/>
              </w:rPr>
            </w:pPr>
            <w:r>
              <w:rPr>
                <w:rFonts w:ascii="宋体" w:hAnsi="宋体" w:cs="宋体" w:eastAsia="宋体" w:hint="default"/>
                <w:sz w:val="24"/>
                <w:szCs w:val="24"/>
              </w:rPr>
              <w:t>未经抵销的递延所得税资产</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430"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
        </w:tc>
        <w:tc>
          <w:tcPr>
            <w:tcW w:w="368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8"/>
              <w:ind w:left="82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543"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08"/>
              <w:ind w:left="85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682" w:hRule="exact"/>
        </w:trPr>
        <w:tc>
          <w:tcPr>
            <w:tcW w:w="772" w:type="dxa"/>
            <w:tcBorders>
              <w:top w:val="nil" w:sz="6" w:space="0" w:color="auto"/>
              <w:left w:val="nil" w:sz="6" w:space="0" w:color="auto"/>
              <w:bottom w:val="nil" w:sz="6" w:space="0" w:color="auto"/>
              <w:right w:val="nil" w:sz="6" w:space="0" w:color="auto"/>
            </w:tcBorders>
          </w:tcPr>
          <w:p>
            <w:pPr/>
          </w:p>
        </w:tc>
        <w:tc>
          <w:tcPr>
            <w:tcW w:w="3723"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2246" w:right="0"/>
              <w:jc w:val="left"/>
              <w:rPr>
                <w:rFonts w:ascii="宋体" w:hAnsi="宋体" w:cs="宋体" w:eastAsia="宋体" w:hint="default"/>
                <w:sz w:val="21"/>
                <w:szCs w:val="21"/>
              </w:rPr>
            </w:pPr>
            <w:r>
              <w:rPr>
                <w:rFonts w:ascii="宋体" w:hAnsi="宋体" w:cs="宋体" w:eastAsia="宋体" w:hint="default"/>
                <w:spacing w:val="-1"/>
                <w:sz w:val="21"/>
                <w:szCs w:val="21"/>
              </w:rPr>
              <w:t>递延所得税资产</w:t>
            </w:r>
          </w:p>
        </w:tc>
        <w:tc>
          <w:tcPr>
            <w:tcW w:w="233" w:type="dxa"/>
            <w:tcBorders>
              <w:top w:val="single" w:sz="12" w:space="0" w:color="000000"/>
              <w:left w:val="nil" w:sz="6" w:space="0" w:color="auto"/>
              <w:bottom w:val="nil" w:sz="6" w:space="0" w:color="auto"/>
              <w:right w:val="nil" w:sz="6" w:space="0" w:color="auto"/>
            </w:tcBorders>
          </w:tcPr>
          <w:p>
            <w:pPr/>
          </w:p>
        </w:tc>
        <w:tc>
          <w:tcPr>
            <w:tcW w:w="1663" w:type="dxa"/>
            <w:tcBorders>
              <w:top w:val="single" w:sz="12" w:space="0" w:color="000000"/>
              <w:left w:val="nil" w:sz="6" w:space="0" w:color="auto"/>
              <w:bottom w:val="nil" w:sz="6" w:space="0" w:color="auto"/>
              <w:right w:val="nil" w:sz="6" w:space="0" w:color="auto"/>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pacing w:val="-1"/>
                <w:sz w:val="21"/>
                <w:szCs w:val="21"/>
              </w:rPr>
              <w:t>可抵扣暂时性差</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pacing w:val="-1"/>
                <w:sz w:val="21"/>
                <w:szCs w:val="21"/>
              </w:rPr>
              <w:t>异及可抵扣亏损</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single" w:sz="12" w:space="0" w:color="000000"/>
              <w:left w:val="nil" w:sz="6" w:space="0" w:color="auto"/>
              <w:bottom w:val="nil" w:sz="6" w:space="0" w:color="auto"/>
              <w:right w:val="nil" w:sz="6" w:space="0" w:color="auto"/>
            </w:tcBorders>
          </w:tcPr>
          <w:p>
            <w:pPr>
              <w:pStyle w:val="TableParagraph"/>
              <w:spacing w:line="241" w:lineRule="exact"/>
              <w:ind w:right="55"/>
              <w:jc w:val="right"/>
              <w:rPr>
                <w:rFonts w:ascii="宋体" w:hAnsi="宋体" w:cs="宋体" w:eastAsia="宋体" w:hint="default"/>
                <w:sz w:val="21"/>
                <w:szCs w:val="21"/>
              </w:rPr>
            </w:pPr>
            <w:r>
              <w:rPr>
                <w:rFonts w:ascii="宋体" w:hAnsi="宋体" w:cs="宋体" w:eastAsia="宋体" w:hint="default"/>
                <w:spacing w:val="-1"/>
                <w:sz w:val="21"/>
                <w:szCs w:val="21"/>
              </w:rPr>
              <w:t>递延所得税资</w:t>
            </w:r>
          </w:p>
          <w:p>
            <w:pPr>
              <w:pStyle w:val="TableParagraph"/>
              <w:spacing w:line="274" w:lineRule="exact"/>
              <w:ind w:right="58"/>
              <w:jc w:val="right"/>
              <w:rPr>
                <w:rFonts w:ascii="宋体" w:hAnsi="宋体" w:cs="宋体" w:eastAsia="宋体" w:hint="default"/>
                <w:sz w:val="21"/>
                <w:szCs w:val="21"/>
              </w:rPr>
            </w:pPr>
            <w:r>
              <w:rPr>
                <w:rFonts w:ascii="宋体" w:hAnsi="宋体" w:cs="宋体" w:eastAsia="宋体" w:hint="default"/>
                <w:w w:val="100"/>
                <w:sz w:val="21"/>
                <w:szCs w:val="21"/>
              </w:rPr>
              <w:t>产</w:t>
            </w:r>
          </w:p>
        </w:tc>
        <w:tc>
          <w:tcPr>
            <w:tcW w:w="223" w:type="dxa"/>
            <w:tcBorders>
              <w:top w:val="single" w:sz="12" w:space="0" w:color="000000"/>
              <w:left w:val="nil" w:sz="6" w:space="0" w:color="auto"/>
              <w:bottom w:val="nil" w:sz="6" w:space="0" w:color="auto"/>
              <w:right w:val="nil" w:sz="6" w:space="0" w:color="auto"/>
            </w:tcBorders>
          </w:tcPr>
          <w:p>
            <w:pPr/>
          </w:p>
        </w:tc>
        <w:tc>
          <w:tcPr>
            <w:tcW w:w="1824" w:type="dxa"/>
            <w:tcBorders>
              <w:top w:val="single" w:sz="12" w:space="0" w:color="000000"/>
              <w:left w:val="nil" w:sz="6" w:space="0" w:color="auto"/>
              <w:bottom w:val="nil" w:sz="6" w:space="0" w:color="auto"/>
              <w:right w:val="nil" w:sz="6" w:space="0" w:color="auto"/>
            </w:tcBorders>
          </w:tcPr>
          <w:p>
            <w:pPr>
              <w:pStyle w:val="TableParagraph"/>
              <w:spacing w:line="241" w:lineRule="exact"/>
              <w:ind w:left="458" w:right="0" w:hanging="420"/>
              <w:jc w:val="left"/>
              <w:rPr>
                <w:rFonts w:ascii="宋体" w:hAnsi="宋体" w:cs="宋体" w:eastAsia="宋体" w:hint="default"/>
                <w:sz w:val="21"/>
                <w:szCs w:val="21"/>
              </w:rPr>
            </w:pPr>
            <w:r>
              <w:rPr>
                <w:rFonts w:ascii="宋体" w:hAnsi="宋体" w:cs="宋体" w:eastAsia="宋体" w:hint="default"/>
                <w:sz w:val="21"/>
                <w:szCs w:val="21"/>
              </w:rPr>
              <w:t>可抵扣暂时性差异</w:t>
            </w:r>
          </w:p>
          <w:p>
            <w:pPr>
              <w:pStyle w:val="TableParagraph"/>
              <w:spacing w:line="274" w:lineRule="exact"/>
              <w:ind w:left="458" w:right="0"/>
              <w:jc w:val="left"/>
              <w:rPr>
                <w:rFonts w:ascii="宋体" w:hAnsi="宋体" w:cs="宋体" w:eastAsia="宋体" w:hint="default"/>
                <w:sz w:val="21"/>
                <w:szCs w:val="21"/>
              </w:rPr>
            </w:pPr>
            <w:r>
              <w:rPr>
                <w:rFonts w:ascii="宋体" w:hAnsi="宋体" w:cs="宋体" w:eastAsia="宋体" w:hint="default"/>
                <w:sz w:val="21"/>
                <w:szCs w:val="21"/>
              </w:rPr>
              <w:t>及可抵扣亏损</w:t>
            </w:r>
          </w:p>
        </w:tc>
      </w:tr>
      <w:tr>
        <w:trPr>
          <w:trHeight w:val="405"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
              <w:jc w:val="right"/>
              <w:rPr>
                <w:rFonts w:ascii="Arial" w:hAnsi="Arial" w:cs="Arial" w:eastAsia="Arial" w:hint="default"/>
                <w:sz w:val="21"/>
                <w:szCs w:val="21"/>
              </w:rPr>
            </w:pPr>
            <w:r>
              <w:rPr>
                <w:rFonts w:ascii="Arial"/>
                <w:spacing w:val="-1"/>
                <w:sz w:val="21"/>
              </w:rPr>
              <w:t>56,122</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1"/>
              <w:jc w:val="right"/>
              <w:rPr>
                <w:rFonts w:ascii="Arial" w:hAnsi="Arial" w:cs="Arial" w:eastAsia="Arial" w:hint="default"/>
                <w:sz w:val="21"/>
                <w:szCs w:val="21"/>
              </w:rPr>
            </w:pPr>
            <w:r>
              <w:rPr>
                <w:rFonts w:ascii="Arial"/>
                <w:sz w:val="21"/>
              </w:rPr>
              <w:t>233,105</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83"/>
              <w:jc w:val="right"/>
              <w:rPr>
                <w:rFonts w:ascii="Arial" w:hAnsi="Arial" w:cs="Arial" w:eastAsia="Arial" w:hint="default"/>
                <w:sz w:val="21"/>
                <w:szCs w:val="21"/>
              </w:rPr>
            </w:pPr>
            <w:r>
              <w:rPr>
                <w:rFonts w:ascii="Arial"/>
                <w:spacing w:val="-1"/>
                <w:sz w:val="21"/>
              </w:rPr>
              <w:t>41,289</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957" w:right="0"/>
              <w:jc w:val="left"/>
              <w:rPr>
                <w:rFonts w:ascii="Arial" w:hAnsi="Arial" w:cs="Arial" w:eastAsia="Arial" w:hint="default"/>
                <w:sz w:val="21"/>
                <w:szCs w:val="21"/>
              </w:rPr>
            </w:pPr>
            <w:r>
              <w:rPr>
                <w:rFonts w:ascii="Arial"/>
                <w:sz w:val="21"/>
              </w:rPr>
              <w:t>169,919</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宋体" w:hAnsi="宋体" w:cs="宋体" w:eastAsia="宋体" w:hint="default"/>
                <w:sz w:val="21"/>
                <w:szCs w:val="21"/>
              </w:rPr>
            </w:pPr>
            <w:r>
              <w:rPr>
                <w:rFonts w:ascii="宋体" w:hAnsi="宋体" w:cs="宋体" w:eastAsia="宋体" w:hint="default"/>
                <w:sz w:val="21"/>
                <w:szCs w:val="21"/>
              </w:rPr>
              <w:t>尚未支付的广告费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Arial" w:hAnsi="Arial" w:cs="Arial" w:eastAsia="Arial" w:hint="default"/>
                <w:sz w:val="21"/>
                <w:szCs w:val="21"/>
              </w:rPr>
            </w:pPr>
            <w:r>
              <w:rPr>
                <w:rFonts w:ascii="Arial"/>
                <w:spacing w:val="-1"/>
                <w:sz w:val="21"/>
              </w:rPr>
              <w:t>102,779</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21"/>
                <w:szCs w:val="21"/>
              </w:rPr>
            </w:pPr>
            <w:r>
              <w:rPr>
                <w:rFonts w:ascii="Arial"/>
                <w:spacing w:val="-1"/>
                <w:sz w:val="21"/>
              </w:rPr>
              <w:t>415,598</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21"/>
                <w:szCs w:val="21"/>
              </w:rPr>
            </w:pPr>
            <w:r>
              <w:rPr>
                <w:rFonts w:ascii="Arial"/>
                <w:spacing w:val="-1"/>
                <w:sz w:val="21"/>
              </w:rPr>
              <w:t>51,650</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57" w:right="0"/>
              <w:jc w:val="left"/>
              <w:rPr>
                <w:rFonts w:ascii="Arial" w:hAnsi="Arial" w:cs="Arial" w:eastAsia="Arial" w:hint="default"/>
                <w:sz w:val="21"/>
                <w:szCs w:val="21"/>
              </w:rPr>
            </w:pPr>
            <w:r>
              <w:rPr>
                <w:rFonts w:ascii="Arial"/>
                <w:sz w:val="21"/>
              </w:rPr>
              <w:t>210,095</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预提租赁费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44,387</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1"/>
                <w:sz w:val="21"/>
              </w:rPr>
              <w:t>177,547</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21"/>
                <w:szCs w:val="21"/>
              </w:rPr>
            </w:pPr>
            <w:r>
              <w:rPr>
                <w:rFonts w:ascii="Arial"/>
                <w:spacing w:val="-1"/>
                <w:sz w:val="21"/>
              </w:rPr>
              <w:t>39,323</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57" w:right="0"/>
              <w:jc w:val="left"/>
              <w:rPr>
                <w:rFonts w:ascii="Arial" w:hAnsi="Arial" w:cs="Arial" w:eastAsia="Arial" w:hint="default"/>
                <w:sz w:val="21"/>
                <w:szCs w:val="21"/>
              </w:rPr>
            </w:pPr>
            <w:r>
              <w:rPr>
                <w:rFonts w:ascii="Arial"/>
                <w:sz w:val="21"/>
              </w:rPr>
              <w:t>157,291</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递延广告位使用费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27,990</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1"/>
                <w:sz w:val="21"/>
              </w:rPr>
              <w:t>120,029</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21"/>
                <w:szCs w:val="21"/>
              </w:rPr>
            </w:pPr>
            <w:r>
              <w:rPr>
                <w:rFonts w:ascii="Arial"/>
                <w:spacing w:val="-1"/>
                <w:sz w:val="21"/>
              </w:rPr>
              <w:t>24,900</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72" w:right="0"/>
              <w:jc w:val="left"/>
              <w:rPr>
                <w:rFonts w:ascii="Arial" w:hAnsi="Arial" w:cs="Arial" w:eastAsia="Arial" w:hint="default"/>
                <w:sz w:val="21"/>
                <w:szCs w:val="21"/>
              </w:rPr>
            </w:pPr>
            <w:r>
              <w:rPr>
                <w:rFonts w:ascii="Arial"/>
                <w:spacing w:val="-3"/>
                <w:sz w:val="21"/>
              </w:rPr>
              <w:t>112,178</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积分计划</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43,229</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1"/>
                <w:sz w:val="21"/>
              </w:rPr>
              <w:t>172,916</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21"/>
                <w:szCs w:val="21"/>
              </w:rPr>
            </w:pPr>
            <w:r>
              <w:rPr>
                <w:rFonts w:ascii="Arial"/>
                <w:spacing w:val="-1"/>
                <w:sz w:val="21"/>
              </w:rPr>
              <w:t>23,784</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2" w:right="0"/>
              <w:jc w:val="left"/>
              <w:rPr>
                <w:rFonts w:ascii="Arial" w:hAnsi="Arial" w:cs="Arial" w:eastAsia="Arial" w:hint="default"/>
                <w:sz w:val="21"/>
                <w:szCs w:val="21"/>
              </w:rPr>
            </w:pPr>
            <w:r>
              <w:rPr>
                <w:rFonts w:ascii="Arial"/>
                <w:sz w:val="21"/>
              </w:rPr>
              <w:t>95,135</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Arial" w:hAnsi="Arial" w:cs="Arial" w:eastAsia="Arial" w:hint="default"/>
                <w:sz w:val="21"/>
                <w:szCs w:val="21"/>
              </w:rPr>
            </w:pPr>
            <w:r>
              <w:rPr>
                <w:rFonts w:ascii="Arial"/>
                <w:spacing w:val="-1"/>
                <w:sz w:val="21"/>
              </w:rPr>
              <w:t>90,931</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21"/>
                <w:szCs w:val="21"/>
              </w:rPr>
            </w:pPr>
            <w:r>
              <w:rPr>
                <w:rFonts w:ascii="Arial"/>
                <w:spacing w:val="-1"/>
                <w:sz w:val="21"/>
              </w:rPr>
              <w:t>380,177</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21"/>
                <w:szCs w:val="21"/>
              </w:rPr>
            </w:pPr>
            <w:r>
              <w:rPr>
                <w:rFonts w:ascii="Arial"/>
                <w:spacing w:val="-1"/>
                <w:sz w:val="21"/>
              </w:rPr>
              <w:t>51,879</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57" w:right="0"/>
              <w:jc w:val="left"/>
              <w:rPr>
                <w:rFonts w:ascii="Arial" w:hAnsi="Arial" w:cs="Arial" w:eastAsia="Arial" w:hint="default"/>
                <w:sz w:val="21"/>
                <w:szCs w:val="21"/>
              </w:rPr>
            </w:pPr>
            <w:r>
              <w:rPr>
                <w:rFonts w:ascii="Arial"/>
                <w:sz w:val="21"/>
              </w:rPr>
              <w:t>208,224</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26,391</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3"/>
                <w:sz w:val="21"/>
              </w:rPr>
              <w:t>119,167</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21"/>
                <w:szCs w:val="21"/>
              </w:rPr>
            </w:pPr>
            <w:r>
              <w:rPr>
                <w:rFonts w:ascii="Arial"/>
                <w:spacing w:val="-1"/>
                <w:sz w:val="21"/>
              </w:rPr>
              <w:t>26,392</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57" w:right="0"/>
              <w:jc w:val="left"/>
              <w:rPr>
                <w:rFonts w:ascii="Arial" w:hAnsi="Arial" w:cs="Arial" w:eastAsia="Arial" w:hint="default"/>
                <w:sz w:val="21"/>
                <w:szCs w:val="21"/>
              </w:rPr>
            </w:pPr>
            <w:r>
              <w:rPr>
                <w:rFonts w:ascii="Arial"/>
                <w:sz w:val="21"/>
              </w:rPr>
              <w:t>105,598</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抵销内部未实现利润</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77,838</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3"/>
                <w:sz w:val="21"/>
              </w:rPr>
              <w:t>311,352</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0"/>
              <w:jc w:val="right"/>
              <w:rPr>
                <w:rFonts w:ascii="Arial" w:hAnsi="Arial" w:cs="Arial" w:eastAsia="Arial" w:hint="default"/>
                <w:sz w:val="21"/>
                <w:szCs w:val="21"/>
              </w:rPr>
            </w:pPr>
            <w:r>
              <w:rPr>
                <w:rFonts w:ascii="Arial"/>
                <w:spacing w:val="-1"/>
                <w:sz w:val="21"/>
              </w:rPr>
              <w:t>8,122</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5" w:right="0"/>
              <w:jc w:val="left"/>
              <w:rPr>
                <w:rFonts w:ascii="Arial" w:hAnsi="Arial" w:cs="Arial" w:eastAsia="Arial" w:hint="default"/>
                <w:sz w:val="21"/>
                <w:szCs w:val="21"/>
              </w:rPr>
            </w:pPr>
            <w:r>
              <w:rPr>
                <w:rFonts w:ascii="Arial"/>
                <w:sz w:val="21"/>
              </w:rPr>
              <w:t>32,487</w:t>
            </w:r>
          </w:p>
        </w:tc>
      </w:tr>
      <w:tr>
        <w:trPr>
          <w:trHeight w:val="272"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1" w:lineRule="exact"/>
              <w:ind w:left="143" w:right="0"/>
              <w:jc w:val="left"/>
              <w:rPr>
                <w:rFonts w:ascii="宋体" w:hAnsi="宋体" w:cs="宋体" w:eastAsia="宋体" w:hint="default"/>
                <w:sz w:val="21"/>
                <w:szCs w:val="21"/>
              </w:rPr>
            </w:pPr>
            <w:r>
              <w:rPr>
                <w:rFonts w:ascii="宋体" w:hAnsi="宋体" w:cs="宋体" w:eastAsia="宋体" w:hint="default"/>
                <w:sz w:val="21"/>
                <w:szCs w:val="21"/>
              </w:rPr>
              <w:t>资产性政府补助</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1"/>
                <w:szCs w:val="21"/>
              </w:rPr>
            </w:pPr>
            <w:r>
              <w:rPr>
                <w:rFonts w:ascii="Arial"/>
                <w:spacing w:val="-1"/>
                <w:sz w:val="21"/>
              </w:rPr>
              <w:t>41,951</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
              <w:jc w:val="right"/>
              <w:rPr>
                <w:rFonts w:ascii="Arial" w:hAnsi="Arial" w:cs="Arial" w:eastAsia="Arial" w:hint="default"/>
                <w:sz w:val="21"/>
                <w:szCs w:val="21"/>
              </w:rPr>
            </w:pPr>
            <w:r>
              <w:rPr>
                <w:rFonts w:ascii="Arial"/>
                <w:spacing w:val="-1"/>
                <w:sz w:val="21"/>
              </w:rPr>
              <w:t>167,803</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Arial" w:hAnsi="Arial" w:cs="Arial" w:eastAsia="Arial" w:hint="default"/>
                <w:sz w:val="21"/>
                <w:szCs w:val="21"/>
              </w:rPr>
            </w:pPr>
            <w:r>
              <w:rPr>
                <w:rFonts w:ascii="Arial"/>
                <w:spacing w:val="-1"/>
                <w:sz w:val="21"/>
              </w:rPr>
              <w:t>15,632</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2" w:right="0"/>
              <w:jc w:val="left"/>
              <w:rPr>
                <w:rFonts w:ascii="Arial" w:hAnsi="Arial" w:cs="Arial" w:eastAsia="Arial" w:hint="default"/>
                <w:sz w:val="21"/>
                <w:szCs w:val="21"/>
              </w:rPr>
            </w:pPr>
            <w:r>
              <w:rPr>
                <w:rFonts w:ascii="Arial"/>
                <w:sz w:val="21"/>
              </w:rPr>
              <w:t>62,531</w:t>
            </w:r>
          </w:p>
        </w:tc>
      </w:tr>
      <w:tr>
        <w:trPr>
          <w:trHeight w:val="291"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30" w:lineRule="exact"/>
              <w:ind w:left="143" w:right="0"/>
              <w:jc w:val="left"/>
              <w:rPr>
                <w:rFonts w:ascii="宋体" w:hAnsi="宋体" w:cs="宋体" w:eastAsia="宋体" w:hint="default"/>
                <w:sz w:val="21"/>
                <w:szCs w:val="21"/>
              </w:rPr>
            </w:pPr>
            <w:r>
              <w:rPr>
                <w:rFonts w:ascii="宋体" w:hAnsi="宋体" w:cs="宋体" w:eastAsia="宋体" w:hint="default"/>
                <w:sz w:val="21"/>
                <w:szCs w:val="21"/>
              </w:rPr>
              <w:t>预收房租</w:t>
            </w:r>
          </w:p>
        </w:tc>
        <w:tc>
          <w:tcPr>
            <w:tcW w:w="1560" w:type="dxa"/>
            <w:tcBorders>
              <w:top w:val="nil" w:sz="6" w:space="0" w:color="auto"/>
              <w:left w:val="nil" w:sz="6" w:space="0" w:color="auto"/>
              <w:bottom w:val="nil" w:sz="6" w:space="0" w:color="auto"/>
              <w:right w:val="nil" w:sz="6" w:space="0" w:color="auto"/>
            </w:tcBorders>
          </w:tcPr>
          <w:p>
            <w:pPr>
              <w:pStyle w:val="TableParagraph"/>
              <w:tabs>
                <w:tab w:pos="1178" w:val="left" w:leader="none"/>
              </w:tabs>
              <w:spacing w:line="240" w:lineRule="auto" w:before="15"/>
              <w:ind w:right="26"/>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532</w:t>
            </w:r>
            <w:r>
              <w:rPr>
                <w:rFonts w:ascii="Arial"/>
                <w:sz w:val="21"/>
              </w:rPr>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tabs>
                <w:tab w:pos="1087" w:val="left" w:leader="none"/>
              </w:tabs>
              <w:spacing w:line="240" w:lineRule="auto" w:before="15"/>
              <w:ind w:right="3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2,128</w:t>
            </w:r>
            <w:r>
              <w:rPr>
                <w:rFonts w:ascii="Arial"/>
                <w:spacing w:val="-1"/>
                <w:sz w:val="21"/>
              </w:rPr>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tabs>
                <w:tab w:pos="1058" w:val="left" w:leader="none"/>
                <w:tab w:pos="1495" w:val="left" w:leader="none"/>
              </w:tabs>
              <w:spacing w:line="240" w:lineRule="auto" w:before="1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349</w:t>
              <w:tab/>
            </w:r>
            <w:r>
              <w:rPr>
                <w:rFonts w:ascii="Arial"/>
                <w:sz w:val="21"/>
              </w:rPr>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tabs>
                <w:tab w:pos="1190" w:val="left" w:leader="none"/>
                <w:tab w:pos="1823" w:val="left" w:leader="none"/>
              </w:tabs>
              <w:spacing w:line="240" w:lineRule="auto" w:before="15"/>
              <w:ind w:left="14"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2,329</w:t>
              <w:tab/>
            </w:r>
            <w:r>
              <w:rPr>
                <w:rFonts w:ascii="Arial"/>
                <w:sz w:val="21"/>
              </w:rPr>
            </w:r>
          </w:p>
        </w:tc>
      </w:tr>
      <w:tr>
        <w:trPr>
          <w:trHeight w:val="275" w:hRule="exact"/>
        </w:trPr>
        <w:tc>
          <w:tcPr>
            <w:tcW w:w="772"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29"/>
              <w:jc w:val="right"/>
              <w:rPr>
                <w:rFonts w:ascii="Arial" w:hAnsi="Arial" w:cs="Arial" w:eastAsia="Arial" w:hint="default"/>
                <w:sz w:val="21"/>
                <w:szCs w:val="21"/>
              </w:rPr>
            </w:pPr>
            <w:r>
              <w:rPr>
                <w:rFonts w:ascii="Arial"/>
                <w:spacing w:val="-1"/>
                <w:sz w:val="21"/>
              </w:rPr>
              <w:t>512,150</w:t>
            </w:r>
          </w:p>
        </w:tc>
        <w:tc>
          <w:tcPr>
            <w:tcW w:w="233"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45"/>
              <w:jc w:val="right"/>
              <w:rPr>
                <w:rFonts w:ascii="Arial" w:hAnsi="Arial" w:cs="Arial" w:eastAsia="Arial" w:hint="default"/>
                <w:sz w:val="21"/>
                <w:szCs w:val="21"/>
              </w:rPr>
            </w:pPr>
            <w:r>
              <w:rPr>
                <w:rFonts w:ascii="Arial"/>
                <w:spacing w:val="-1"/>
                <w:sz w:val="21"/>
              </w:rPr>
              <w:t>2,099,822</w:t>
            </w:r>
          </w:p>
        </w:tc>
        <w:tc>
          <w:tcPr>
            <w:tcW w:w="231"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82"/>
              <w:jc w:val="right"/>
              <w:rPr>
                <w:rFonts w:ascii="Arial" w:hAnsi="Arial" w:cs="Arial" w:eastAsia="Arial" w:hint="default"/>
                <w:sz w:val="21"/>
                <w:szCs w:val="21"/>
              </w:rPr>
            </w:pPr>
            <w:r>
              <w:rPr>
                <w:rFonts w:ascii="Arial"/>
                <w:spacing w:val="-1"/>
                <w:sz w:val="21"/>
              </w:rPr>
              <w:t>283,320</w:t>
            </w:r>
          </w:p>
        </w:tc>
        <w:tc>
          <w:tcPr>
            <w:tcW w:w="223"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782" w:right="0"/>
              <w:jc w:val="left"/>
              <w:rPr>
                <w:rFonts w:ascii="Arial" w:hAnsi="Arial" w:cs="Arial" w:eastAsia="Arial" w:hint="default"/>
                <w:sz w:val="21"/>
                <w:szCs w:val="21"/>
              </w:rPr>
            </w:pPr>
            <w:r>
              <w:rPr>
                <w:rFonts w:ascii="Arial"/>
                <w:sz w:val="21"/>
              </w:rPr>
              <w:t>1,155,787</w:t>
            </w:r>
          </w:p>
        </w:tc>
      </w:tr>
    </w:tbl>
    <w:p>
      <w:pPr>
        <w:spacing w:after="0" w:line="240" w:lineRule="auto"/>
        <w:jc w:val="left"/>
        <w:rPr>
          <w:rFonts w:ascii="Arial" w:hAnsi="Arial" w:cs="Arial" w:eastAsia="Arial" w:hint="default"/>
          <w:sz w:val="21"/>
          <w:szCs w:val="21"/>
        </w:rPr>
        <w:sectPr>
          <w:pgSz w:w="11910" w:h="16850"/>
          <w:pgMar w:header="754" w:footer="956" w:top="2240" w:bottom="1140" w:left="80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776"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779"/>
        <w:gridCol w:w="4344"/>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(16)</w:t>
            </w:r>
          </w:p>
        </w:tc>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递延所得税资产和递延所得税负债</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1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未经抵销的递延所得税负债</w:t>
            </w:r>
          </w:p>
        </w:tc>
      </w:tr>
    </w:tbl>
    <w:p>
      <w:pPr>
        <w:spacing w:line="240" w:lineRule="auto" w:before="11"/>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5"/>
        <w:gridCol w:w="2341"/>
        <w:gridCol w:w="197"/>
        <w:gridCol w:w="1611"/>
        <w:gridCol w:w="1675"/>
        <w:gridCol w:w="202"/>
        <w:gridCol w:w="1382"/>
        <w:gridCol w:w="181"/>
        <w:gridCol w:w="197"/>
        <w:gridCol w:w="1582"/>
      </w:tblGrid>
      <w:tr>
        <w:trPr>
          <w:trHeight w:val="256" w:hRule="exact"/>
        </w:trPr>
        <w:tc>
          <w:tcPr>
            <w:tcW w:w="6629" w:type="dxa"/>
            <w:gridSpan w:val="5"/>
            <w:tcBorders>
              <w:top w:val="nil" w:sz="6" w:space="0" w:color="auto"/>
              <w:left w:val="nil" w:sz="6" w:space="0" w:color="auto"/>
              <w:bottom w:val="nil" w:sz="6" w:space="0" w:color="auto"/>
              <w:right w:val="nil" w:sz="6" w:space="0" w:color="auto"/>
            </w:tcBorders>
          </w:tcPr>
          <w:p>
            <w:pPr>
              <w:pStyle w:val="TableParagraph"/>
              <w:spacing w:line="226" w:lineRule="exact"/>
              <w:ind w:left="386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3543" w:type="dxa"/>
            <w:gridSpan w:val="5"/>
            <w:tcBorders>
              <w:top w:val="nil" w:sz="6" w:space="0" w:color="auto"/>
              <w:left w:val="nil" w:sz="6" w:space="0" w:color="auto"/>
              <w:bottom w:val="single" w:sz="12" w:space="0" w:color="000000"/>
              <w:right w:val="nil" w:sz="6" w:space="0" w:color="auto"/>
            </w:tcBorders>
          </w:tcPr>
          <w:p>
            <w:pPr>
              <w:pStyle w:val="TableParagraph"/>
              <w:spacing w:line="226" w:lineRule="exact"/>
              <w:ind w:left="85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388" w:hRule="exact"/>
        </w:trPr>
        <w:tc>
          <w:tcPr>
            <w:tcW w:w="805" w:type="dxa"/>
            <w:tcBorders>
              <w:top w:val="nil" w:sz="6" w:space="0" w:color="auto"/>
              <w:left w:val="nil" w:sz="6" w:space="0" w:color="auto"/>
              <w:bottom w:val="nil" w:sz="6" w:space="0" w:color="auto"/>
              <w:right w:val="nil" w:sz="6" w:space="0" w:color="auto"/>
            </w:tcBorders>
          </w:tcPr>
          <w:p>
            <w:pPr/>
          </w:p>
        </w:tc>
        <w:tc>
          <w:tcPr>
            <w:tcW w:w="4148" w:type="dxa"/>
            <w:gridSpan w:val="3"/>
            <w:tcBorders>
              <w:top w:val="nil" w:sz="6" w:space="0" w:color="auto"/>
              <w:left w:val="nil" w:sz="6" w:space="0" w:color="auto"/>
              <w:bottom w:val="nil" w:sz="6" w:space="0" w:color="auto"/>
              <w:right w:val="nil" w:sz="6" w:space="0" w:color="auto"/>
            </w:tcBorders>
          </w:tcPr>
          <w:p>
            <w:pPr>
              <w:pStyle w:val="TableParagraph"/>
              <w:spacing w:line="222" w:lineRule="exact"/>
              <w:ind w:left="242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75" w:type="dxa"/>
            <w:tcBorders>
              <w:top w:val="single" w:sz="12" w:space="0" w:color="000000"/>
              <w:left w:val="nil" w:sz="6" w:space="0" w:color="auto"/>
              <w:bottom w:val="nil" w:sz="6" w:space="0" w:color="auto"/>
              <w:right w:val="nil" w:sz="6" w:space="0" w:color="auto"/>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202" w:type="dxa"/>
            <w:tcBorders>
              <w:top w:val="single" w:sz="12" w:space="0" w:color="000000"/>
              <w:left w:val="nil" w:sz="6" w:space="0" w:color="auto"/>
              <w:bottom w:val="nil" w:sz="6" w:space="0" w:color="auto"/>
              <w:right w:val="nil" w:sz="6" w:space="0" w:color="auto"/>
            </w:tcBorders>
          </w:tcPr>
          <w:p>
            <w:pPr/>
          </w:p>
        </w:tc>
        <w:tc>
          <w:tcPr>
            <w:tcW w:w="1382" w:type="dxa"/>
            <w:tcBorders>
              <w:top w:val="single" w:sz="12" w:space="0" w:color="000000"/>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 w:type="dxa"/>
            <w:tcBorders>
              <w:top w:val="single" w:sz="12" w:space="0" w:color="000000"/>
              <w:left w:val="nil" w:sz="6" w:space="0" w:color="auto"/>
              <w:bottom w:val="nil" w:sz="6" w:space="0" w:color="auto"/>
              <w:right w:val="nil" w:sz="6" w:space="0" w:color="auto"/>
            </w:tcBorders>
          </w:tcPr>
          <w:p>
            <w:pPr/>
          </w:p>
        </w:tc>
        <w:tc>
          <w:tcPr>
            <w:tcW w:w="197" w:type="dxa"/>
            <w:tcBorders>
              <w:top w:val="single" w:sz="12" w:space="0" w:color="000000"/>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r>
      <w:tr>
        <w:trPr>
          <w:trHeight w:val="384"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z w:val="18"/>
                <w:szCs w:val="18"/>
              </w:rPr>
              <w:t>未实现投资收益</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5" w:right="0"/>
              <w:jc w:val="lef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78"/>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767" w:right="0"/>
              <w:jc w:val="left"/>
              <w:rPr>
                <w:rFonts w:ascii="Arial" w:hAnsi="Arial" w:cs="Arial" w:eastAsia="Arial" w:hint="default"/>
                <w:sz w:val="18"/>
                <w:szCs w:val="18"/>
              </w:rPr>
            </w:pPr>
            <w:r>
              <w:rPr>
                <w:rFonts w:ascii="Arial"/>
                <w:sz w:val="18"/>
              </w:rPr>
              <w:t>1,245</w:t>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96" w:right="0"/>
              <w:jc w:val="left"/>
              <w:rPr>
                <w:rFonts w:ascii="Arial" w:hAnsi="Arial" w:cs="Arial" w:eastAsia="Arial" w:hint="default"/>
                <w:sz w:val="18"/>
                <w:szCs w:val="18"/>
              </w:rPr>
            </w:pPr>
            <w:r>
              <w:rPr>
                <w:rFonts w:ascii="Arial"/>
                <w:sz w:val="18"/>
              </w:rPr>
              <w:t>4,978</w:t>
            </w:r>
          </w:p>
        </w:tc>
      </w:tr>
      <w:tr>
        <w:trPr>
          <w:trHeight w:val="235"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195" w:lineRule="exact"/>
              <w:ind w:left="107"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65" w:right="0"/>
              <w:jc w:val="left"/>
              <w:rPr>
                <w:rFonts w:ascii="Arial" w:hAnsi="Arial" w:cs="Arial" w:eastAsia="Arial" w:hint="default"/>
                <w:sz w:val="18"/>
                <w:szCs w:val="18"/>
              </w:rPr>
            </w:pPr>
            <w:r>
              <w:rPr>
                <w:rFonts w:ascii="Arial"/>
                <w:sz w:val="18"/>
              </w:rPr>
              <w:t>146,452</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41" w:right="0"/>
              <w:jc w:val="left"/>
              <w:rPr>
                <w:rFonts w:ascii="Arial" w:hAnsi="Arial" w:cs="Arial" w:eastAsia="Arial" w:hint="default"/>
                <w:sz w:val="18"/>
                <w:szCs w:val="18"/>
              </w:rPr>
            </w:pPr>
            <w:r>
              <w:rPr>
                <w:rFonts w:ascii="Arial"/>
                <w:sz w:val="18"/>
              </w:rPr>
              <w:t>352,550</w:t>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69" w:right="0"/>
              <w:jc w:val="left"/>
              <w:rPr>
                <w:rFonts w:ascii="Arial" w:hAnsi="Arial" w:cs="Arial" w:eastAsia="Arial" w:hint="default"/>
                <w:sz w:val="18"/>
                <w:szCs w:val="18"/>
              </w:rPr>
            </w:pPr>
            <w:r>
              <w:rPr>
                <w:rFonts w:ascii="Arial"/>
                <w:sz w:val="18"/>
              </w:rPr>
              <w:t>30,638</w:t>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96" w:right="0"/>
              <w:jc w:val="left"/>
              <w:rPr>
                <w:rFonts w:ascii="Arial" w:hAnsi="Arial" w:cs="Arial" w:eastAsia="Arial" w:hint="default"/>
                <w:sz w:val="18"/>
                <w:szCs w:val="18"/>
              </w:rPr>
            </w:pPr>
            <w:r>
              <w:rPr>
                <w:rFonts w:ascii="Arial"/>
                <w:sz w:val="18"/>
              </w:rPr>
              <w:t>122,554</w:t>
            </w:r>
          </w:p>
        </w:tc>
      </w:tr>
      <w:tr>
        <w:trPr>
          <w:trHeight w:val="468"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193"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业务合并交易中产生的资</w:t>
            </w:r>
            <w:r>
              <w:rPr>
                <w:rFonts w:ascii="宋体" w:hAnsi="宋体" w:cs="宋体" w:eastAsia="宋体" w:hint="default"/>
                <w:sz w:val="18"/>
                <w:szCs w:val="18"/>
              </w:rPr>
            </w:r>
          </w:p>
          <w:p>
            <w:pPr>
              <w:pStyle w:val="TableParagraph"/>
              <w:spacing w:line="234" w:lineRule="exact"/>
              <w:ind w:left="287" w:right="0"/>
              <w:jc w:val="left"/>
              <w:rPr>
                <w:rFonts w:ascii="宋体" w:hAnsi="宋体" w:cs="宋体" w:eastAsia="宋体" w:hint="default"/>
                <w:sz w:val="18"/>
                <w:szCs w:val="18"/>
              </w:rPr>
            </w:pPr>
            <w:r>
              <w:rPr>
                <w:rFonts w:ascii="宋体" w:hAnsi="宋体" w:cs="宋体" w:eastAsia="宋体" w:hint="default"/>
                <w:sz w:val="18"/>
                <w:szCs w:val="18"/>
              </w:rPr>
              <w:t>产的暂时性差异</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66" w:right="0"/>
              <w:jc w:val="left"/>
              <w:rPr>
                <w:rFonts w:ascii="Arial" w:hAnsi="Arial" w:cs="Arial" w:eastAsia="Arial" w:hint="default"/>
                <w:sz w:val="18"/>
                <w:szCs w:val="18"/>
              </w:rPr>
            </w:pPr>
            <w:r>
              <w:rPr>
                <w:rFonts w:ascii="Arial"/>
                <w:sz w:val="18"/>
              </w:rPr>
              <w:t>30,638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43" w:right="0"/>
              <w:jc w:val="left"/>
              <w:rPr>
                <w:rFonts w:ascii="Arial" w:hAnsi="Arial" w:cs="Arial" w:eastAsia="Arial" w:hint="default"/>
                <w:sz w:val="18"/>
                <w:szCs w:val="18"/>
              </w:rPr>
            </w:pPr>
            <w:r>
              <w:rPr>
                <w:rFonts w:ascii="Arial"/>
                <w:sz w:val="18"/>
              </w:rPr>
              <w:t>122,554</w:t>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1169"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193" w:lineRule="exact"/>
              <w:ind w:left="287" w:right="0" w:hanging="180"/>
              <w:jc w:val="left"/>
              <w:rPr>
                <w:rFonts w:ascii="宋体" w:hAnsi="宋体" w:cs="宋体" w:eastAsia="宋体" w:hint="default"/>
                <w:sz w:val="18"/>
                <w:szCs w:val="18"/>
              </w:rPr>
            </w:pPr>
            <w:r>
              <w:rPr>
                <w:rFonts w:ascii="宋体" w:hAnsi="宋体" w:cs="宋体" w:eastAsia="宋体" w:hint="default"/>
                <w:spacing w:val="14"/>
                <w:sz w:val="18"/>
                <w:szCs w:val="18"/>
              </w:rPr>
              <w:t>权益法核算的长期股权投</w:t>
            </w:r>
            <w:r>
              <w:rPr>
                <w:rFonts w:ascii="宋体" w:hAnsi="宋体" w:cs="宋体" w:eastAsia="宋体" w:hint="default"/>
                <w:sz w:val="18"/>
                <w:szCs w:val="18"/>
              </w:rPr>
            </w:r>
          </w:p>
          <w:p>
            <w:pPr>
              <w:pStyle w:val="TableParagraph"/>
              <w:spacing w:line="240" w:lineRule="auto"/>
              <w:ind w:left="287" w:right="106"/>
              <w:jc w:val="both"/>
              <w:rPr>
                <w:rFonts w:ascii="宋体" w:hAnsi="宋体" w:cs="宋体" w:eastAsia="宋体" w:hint="default"/>
                <w:sz w:val="18"/>
                <w:szCs w:val="18"/>
              </w:rPr>
            </w:pPr>
            <w:r>
              <w:rPr>
                <w:rFonts w:ascii="宋体" w:hAnsi="宋体" w:cs="宋体" w:eastAsia="宋体" w:hint="default"/>
                <w:spacing w:val="14"/>
                <w:sz w:val="18"/>
                <w:szCs w:val="18"/>
              </w:rPr>
              <w:t>资取得时所享有的被投</w:t>
            </w:r>
            <w:r>
              <w:rPr>
                <w:rFonts w:ascii="宋体" w:hAnsi="宋体" w:cs="宋体" w:eastAsia="宋体" w:hint="default"/>
                <w:sz w:val="18"/>
                <w:szCs w:val="18"/>
              </w:rPr>
              <w:t> </w:t>
            </w:r>
            <w:r>
              <w:rPr>
                <w:rFonts w:ascii="宋体" w:hAnsi="宋体" w:cs="宋体" w:eastAsia="宋体" w:hint="default"/>
                <w:spacing w:val="14"/>
                <w:sz w:val="18"/>
                <w:szCs w:val="18"/>
              </w:rPr>
              <w:t>资单位可辨认净资产公</w:t>
            </w:r>
            <w:r>
              <w:rPr>
                <w:rFonts w:ascii="宋体" w:hAnsi="宋体" w:cs="宋体" w:eastAsia="宋体" w:hint="default"/>
                <w:sz w:val="18"/>
                <w:szCs w:val="18"/>
              </w:rPr>
              <w:t> </w:t>
            </w:r>
            <w:r>
              <w:rPr>
                <w:rFonts w:ascii="宋体" w:hAnsi="宋体" w:cs="宋体" w:eastAsia="宋体" w:hint="default"/>
                <w:spacing w:val="14"/>
                <w:sz w:val="18"/>
                <w:szCs w:val="18"/>
              </w:rPr>
              <w:t>允价值份额超过初始投</w:t>
            </w:r>
            <w:r>
              <w:rPr>
                <w:rFonts w:ascii="宋体" w:hAnsi="宋体" w:cs="宋体" w:eastAsia="宋体" w:hint="default"/>
                <w:sz w:val="18"/>
                <w:szCs w:val="18"/>
              </w:rPr>
              <w:t> 资成本的部分</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55" w:right="0"/>
              <w:jc w:val="lef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78"/>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767" w:right="0"/>
              <w:jc w:val="left"/>
              <w:rPr>
                <w:rFonts w:ascii="Arial" w:hAnsi="Arial" w:cs="Arial" w:eastAsia="Arial" w:hint="default"/>
                <w:sz w:val="18"/>
                <w:szCs w:val="18"/>
              </w:rPr>
            </w:pPr>
            <w:r>
              <w:rPr>
                <w:rFonts w:ascii="Arial"/>
                <w:sz w:val="18"/>
              </w:rPr>
              <w:t>2,512</w:t>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897" w:right="0"/>
              <w:jc w:val="left"/>
              <w:rPr>
                <w:rFonts w:ascii="Arial" w:hAnsi="Arial" w:cs="Arial" w:eastAsia="Arial" w:hint="default"/>
                <w:sz w:val="18"/>
                <w:szCs w:val="18"/>
              </w:rPr>
            </w:pPr>
            <w:r>
              <w:rPr>
                <w:rFonts w:ascii="Arial"/>
                <w:sz w:val="18"/>
              </w:rPr>
              <w:t>10,049</w:t>
            </w:r>
          </w:p>
        </w:tc>
      </w:tr>
      <w:tr>
        <w:trPr>
          <w:trHeight w:val="238"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19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tabs>
                <w:tab w:pos="664" w:val="left" w:leader="none"/>
                <w:tab w:pos="1423" w:val="left" w:leader="none"/>
                <w:tab w:pos="2453" w:val="left" w:leader="none"/>
              </w:tabs>
              <w:spacing w:line="240" w:lineRule="auto" w:before="17"/>
              <w:ind w:left="-197" w:right="-84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6,149</w:t>
            </w:r>
            <w:r>
              <w:rPr>
                <w:rFonts w:ascii="Arial"/>
                <w:spacing w:val="6"/>
                <w:sz w:val="18"/>
                <w:u w:val="single" w:color="000000"/>
              </w:rPr>
              <w:t> </w:t>
            </w:r>
            <w:r>
              <w:rPr>
                <w:rFonts w:ascii="Arial"/>
                <w:spacing w:val="6"/>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42" w:right="0"/>
              <w:jc w:val="left"/>
              <w:rPr>
                <w:rFonts w:ascii="Arial" w:hAnsi="Arial" w:cs="Arial" w:eastAsia="Arial" w:hint="default"/>
                <w:sz w:val="18"/>
                <w:szCs w:val="18"/>
              </w:rPr>
            </w:pPr>
            <w:r>
              <w:rPr>
                <w:rFonts w:ascii="Arial"/>
                <w:w w:val="99"/>
                <w:sz w:val="18"/>
              </w:rPr>
            </w:r>
            <w:r>
              <w:rPr>
                <w:rFonts w:ascii="Arial"/>
                <w:sz w:val="18"/>
                <w:u w:val="single" w:color="000000"/>
              </w:rPr>
              <w:t>18,491</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1159" w:val="left" w:leader="none"/>
                <w:tab w:pos="1325" w:val="left" w:leader="none"/>
              </w:tabs>
              <w:spacing w:line="240" w:lineRule="auto" w:before="17"/>
              <w:ind w:left="-20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tabs>
                <w:tab w:pos="1387" w:val="left" w:leader="none"/>
                <w:tab w:pos="1581" w:val="left" w:leader="none"/>
              </w:tabs>
              <w:spacing w:line="240" w:lineRule="auto" w:before="17"/>
              <w:ind w:left="-197"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17" w:hRule="exact"/>
        </w:trPr>
        <w:tc>
          <w:tcPr>
            <w:tcW w:w="805" w:type="dxa"/>
            <w:tcBorders>
              <w:top w:val="nil" w:sz="6" w:space="0" w:color="auto"/>
              <w:left w:val="nil" w:sz="6" w:space="0" w:color="auto"/>
              <w:bottom w:val="nil" w:sz="6" w:space="0" w:color="auto"/>
              <w:right w:val="nil" w:sz="6" w:space="0" w:color="auto"/>
            </w:tcBorders>
          </w:tcPr>
          <w:p>
            <w:pPr/>
          </w:p>
        </w:tc>
        <w:tc>
          <w:tcPr>
            <w:tcW w:w="4148" w:type="dxa"/>
            <w:gridSpan w:val="3"/>
            <w:tcBorders>
              <w:top w:val="nil" w:sz="6" w:space="0" w:color="auto"/>
              <w:left w:val="nil" w:sz="6" w:space="0" w:color="auto"/>
              <w:bottom w:val="nil" w:sz="6" w:space="0" w:color="auto"/>
              <w:right w:val="nil" w:sz="6" w:space="0" w:color="auto"/>
            </w:tcBorders>
          </w:tcPr>
          <w:p>
            <w:pPr>
              <w:pStyle w:val="TableParagraph"/>
              <w:spacing w:line="202" w:lineRule="exact"/>
              <w:ind w:right="491"/>
              <w:jc w:val="right"/>
              <w:rPr>
                <w:rFonts w:ascii="Arial" w:hAnsi="Arial" w:cs="Arial" w:eastAsia="Arial" w:hint="default"/>
                <w:sz w:val="18"/>
                <w:szCs w:val="18"/>
              </w:rPr>
            </w:pPr>
            <w:r>
              <w:rPr>
                <w:rFonts w:ascii="Arial"/>
                <w:spacing w:val="-1"/>
                <w:sz w:val="18"/>
              </w:rPr>
              <w:t>183,239</w:t>
            </w:r>
          </w:p>
        </w:tc>
        <w:tc>
          <w:tcPr>
            <w:tcW w:w="1675" w:type="dxa"/>
            <w:tcBorders>
              <w:top w:val="nil" w:sz="6" w:space="0" w:color="auto"/>
              <w:left w:val="nil" w:sz="6" w:space="0" w:color="auto"/>
              <w:bottom w:val="single" w:sz="12" w:space="0" w:color="000000"/>
              <w:right w:val="nil" w:sz="6" w:space="0" w:color="auto"/>
            </w:tcBorders>
          </w:tcPr>
          <w:p>
            <w:pPr>
              <w:pStyle w:val="TableParagraph"/>
              <w:spacing w:line="202" w:lineRule="exact"/>
              <w:ind w:left="743" w:right="0"/>
              <w:jc w:val="left"/>
              <w:rPr>
                <w:rFonts w:ascii="Arial" w:hAnsi="Arial" w:cs="Arial" w:eastAsia="Arial" w:hint="default"/>
                <w:sz w:val="18"/>
                <w:szCs w:val="18"/>
              </w:rPr>
            </w:pPr>
            <w:r>
              <w:rPr>
                <w:rFonts w:ascii="Arial"/>
                <w:sz w:val="18"/>
              </w:rPr>
              <w:t>493,595</w:t>
            </w:r>
          </w:p>
        </w:tc>
        <w:tc>
          <w:tcPr>
            <w:tcW w:w="202" w:type="dxa"/>
            <w:tcBorders>
              <w:top w:val="nil" w:sz="6" w:space="0" w:color="auto"/>
              <w:left w:val="nil" w:sz="6" w:space="0" w:color="auto"/>
              <w:bottom w:val="single" w:sz="12" w:space="0" w:color="000000"/>
              <w:right w:val="nil" w:sz="6" w:space="0" w:color="auto"/>
            </w:tcBorders>
          </w:tcPr>
          <w:p>
            <w:pPr/>
          </w:p>
        </w:tc>
        <w:tc>
          <w:tcPr>
            <w:tcW w:w="1382" w:type="dxa"/>
            <w:tcBorders>
              <w:top w:val="nil" w:sz="6" w:space="0" w:color="auto"/>
              <w:left w:val="nil" w:sz="6" w:space="0" w:color="auto"/>
              <w:bottom w:val="single" w:sz="12" w:space="0" w:color="000000"/>
              <w:right w:val="nil" w:sz="6" w:space="0" w:color="auto"/>
            </w:tcBorders>
          </w:tcPr>
          <w:p>
            <w:pPr>
              <w:pStyle w:val="TableParagraph"/>
              <w:spacing w:line="202" w:lineRule="exact"/>
              <w:ind w:left="669" w:right="0"/>
              <w:jc w:val="left"/>
              <w:rPr>
                <w:rFonts w:ascii="Arial" w:hAnsi="Arial" w:cs="Arial" w:eastAsia="Arial" w:hint="default"/>
                <w:sz w:val="18"/>
                <w:szCs w:val="18"/>
              </w:rPr>
            </w:pPr>
            <w:r>
              <w:rPr>
                <w:rFonts w:ascii="Arial"/>
                <w:sz w:val="18"/>
              </w:rPr>
              <w:t>34,395</w:t>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single" w:sz="12" w:space="0" w:color="000000"/>
              <w:right w:val="nil" w:sz="6" w:space="0" w:color="auto"/>
            </w:tcBorders>
          </w:tcPr>
          <w:p>
            <w:pPr/>
          </w:p>
        </w:tc>
        <w:tc>
          <w:tcPr>
            <w:tcW w:w="1582" w:type="dxa"/>
            <w:tcBorders>
              <w:top w:val="nil" w:sz="6" w:space="0" w:color="auto"/>
              <w:left w:val="nil" w:sz="6" w:space="0" w:color="auto"/>
              <w:bottom w:val="single" w:sz="12" w:space="0" w:color="000000"/>
              <w:right w:val="nil" w:sz="6" w:space="0" w:color="auto"/>
            </w:tcBorders>
          </w:tcPr>
          <w:p>
            <w:pPr>
              <w:pStyle w:val="TableParagraph"/>
              <w:spacing w:line="202" w:lineRule="exact"/>
              <w:ind w:left="796" w:right="0"/>
              <w:jc w:val="left"/>
              <w:rPr>
                <w:rFonts w:ascii="Arial" w:hAnsi="Arial" w:cs="Arial" w:eastAsia="Arial" w:hint="default"/>
                <w:sz w:val="18"/>
                <w:szCs w:val="18"/>
              </w:rPr>
            </w:pPr>
            <w:r>
              <w:rPr>
                <w:rFonts w:ascii="Arial"/>
                <w:sz w:val="18"/>
              </w:rPr>
              <w:t>137,581</w:t>
            </w:r>
          </w:p>
        </w:tc>
      </w:tr>
      <w:tr>
        <w:trPr>
          <w:trHeight w:val="1086"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9366" w:type="dxa"/>
            <w:gridSpan w:val="9"/>
            <w:tcBorders>
              <w:top w:val="nil" w:sz="6" w:space="0" w:color="auto"/>
              <w:left w:val="nil" w:sz="6" w:space="0" w:color="auto"/>
              <w:bottom w:val="nil" w:sz="6" w:space="0" w:color="auto"/>
              <w:right w:val="nil" w:sz="6" w:space="0" w:color="auto"/>
            </w:tcBorders>
          </w:tcPr>
          <w:p>
            <w:pPr>
              <w:pStyle w:val="TableParagraph"/>
              <w:spacing w:line="28" w:lineRule="exact"/>
              <w:ind w:left="232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0pt;height:1.45pt;mso-position-horizontal-relative:char;mso-position-vertical-relative:line" coordorigin="0,0" coordsize="1400,29">
                  <v:group style="position:absolute;left:14;top:14;width:1371;height:2" coordorigin="14,14" coordsize="1371,2">
                    <v:shape style="position:absolute;left:14;top:14;width:1371;height:2" coordorigin="14,14" coordsize="1371,0" path="m14,14l1385,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107" w:right="106"/>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日，本集团没有重大的未确认递延所得税资 产的可抵扣暂时性差异及可抵扣亏损 。</w:t>
            </w:r>
          </w:p>
        </w:tc>
      </w:tr>
      <w:tr>
        <w:trPr>
          <w:trHeight w:val="591"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(17)</w:t>
            </w: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4"/>
                <w:szCs w:val="24"/>
              </w:rPr>
            </w:pPr>
            <w:r>
              <w:rPr>
                <w:rFonts w:ascii="宋体" w:hAnsi="宋体" w:cs="宋体" w:eastAsia="宋体" w:hint="default"/>
                <w:b/>
                <w:bCs/>
                <w:sz w:val="24"/>
                <w:szCs w:val="24"/>
              </w:rPr>
              <w:t>资产减值准备</w:t>
            </w:r>
            <w:r>
              <w:rPr>
                <w:rFonts w:ascii="宋体" w:hAnsi="宋体" w:cs="宋体" w:eastAsia="宋体" w:hint="default"/>
                <w:sz w:val="24"/>
                <w:szCs w:val="24"/>
              </w:rPr>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906"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777" w:right="-2"/>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417" w:right="-2"/>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115"/>
              <w:jc w:val="right"/>
              <w:rPr>
                <w:rFonts w:ascii="宋体" w:hAnsi="宋体" w:cs="宋体" w:eastAsia="宋体" w:hint="default"/>
                <w:sz w:val="24"/>
                <w:szCs w:val="24"/>
              </w:rPr>
            </w:pPr>
            <w:r>
              <w:rPr>
                <w:rFonts w:ascii="宋体" w:hAnsi="宋体" w:cs="宋体" w:eastAsia="宋体" w:hint="default"/>
                <w:sz w:val="24"/>
                <w:szCs w:val="24"/>
              </w:rPr>
              <w:t>本年增加</w:t>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420" w:right="0"/>
              <w:jc w:val="left"/>
              <w:rPr>
                <w:rFonts w:ascii="宋体" w:hAnsi="宋体" w:cs="宋体" w:eastAsia="宋体" w:hint="default"/>
                <w:sz w:val="24"/>
                <w:szCs w:val="24"/>
              </w:rPr>
            </w:pPr>
            <w:r>
              <w:rPr>
                <w:rFonts w:ascii="宋体" w:hAnsi="宋体" w:cs="宋体" w:eastAsia="宋体" w:hint="default"/>
                <w:sz w:val="24"/>
                <w:szCs w:val="24"/>
              </w:rPr>
              <w:t>本年转销</w:t>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657"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28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1"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0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7"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875" w:right="-1"/>
              <w:jc w:val="left"/>
              <w:rPr>
                <w:rFonts w:ascii="Arial" w:hAnsi="Arial" w:cs="Arial" w:eastAsia="Arial" w:hint="default"/>
                <w:sz w:val="24"/>
                <w:szCs w:val="24"/>
              </w:rPr>
            </w:pPr>
            <w:r>
              <w:rPr>
                <w:rFonts w:ascii="Arial"/>
                <w:sz w:val="24"/>
              </w:rPr>
              <w:t>48,439</w:t>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right="114"/>
              <w:jc w:val="right"/>
              <w:rPr>
                <w:rFonts w:ascii="Arial" w:hAnsi="Arial" w:cs="Arial" w:eastAsia="Arial" w:hint="default"/>
                <w:sz w:val="24"/>
                <w:szCs w:val="24"/>
              </w:rPr>
            </w:pPr>
            <w:r>
              <w:rPr>
                <w:rFonts w:ascii="Arial"/>
                <w:spacing w:val="-1"/>
                <w:sz w:val="24"/>
              </w:rPr>
              <w:t>23,055</w:t>
            </w:r>
          </w:p>
        </w:tc>
        <w:tc>
          <w:tcPr>
            <w:tcW w:w="202" w:type="dxa"/>
            <w:tcBorders>
              <w:top w:val="nil" w:sz="6" w:space="0" w:color="auto"/>
              <w:left w:val="nil" w:sz="6" w:space="0" w:color="auto"/>
              <w:bottom w:val="single" w:sz="4" w:space="0" w:color="000000"/>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619" w:right="0"/>
              <w:jc w:val="left"/>
              <w:rPr>
                <w:rFonts w:ascii="Arial" w:hAnsi="Arial" w:cs="Arial" w:eastAsia="Arial" w:hint="default"/>
                <w:sz w:val="24"/>
                <w:szCs w:val="24"/>
              </w:rPr>
            </w:pPr>
            <w:r>
              <w:rPr>
                <w:rFonts w:ascii="Arial"/>
                <w:sz w:val="24"/>
              </w:rPr>
              <w:t>(5,898)</w:t>
            </w:r>
          </w:p>
        </w:tc>
        <w:tc>
          <w:tcPr>
            <w:tcW w:w="181" w:type="dxa"/>
            <w:tcBorders>
              <w:top w:val="nil" w:sz="6" w:space="0" w:color="auto"/>
              <w:left w:val="nil" w:sz="6" w:space="0" w:color="auto"/>
              <w:bottom w:val="single" w:sz="4" w:space="0" w:color="000000"/>
              <w:right w:val="nil" w:sz="6" w:space="0" w:color="auto"/>
            </w:tcBorders>
          </w:tcPr>
          <w:p>
            <w:pPr/>
          </w:p>
        </w:tc>
        <w:tc>
          <w:tcPr>
            <w:tcW w:w="197"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left="739" w:right="0"/>
              <w:jc w:val="left"/>
              <w:rPr>
                <w:rFonts w:ascii="Arial" w:hAnsi="Arial" w:cs="Arial" w:eastAsia="Arial" w:hint="default"/>
                <w:sz w:val="24"/>
                <w:szCs w:val="24"/>
              </w:rPr>
            </w:pPr>
            <w:r>
              <w:rPr>
                <w:rFonts w:ascii="Arial"/>
                <w:sz w:val="24"/>
              </w:rPr>
              <w:t>65,596</w:t>
            </w:r>
          </w:p>
        </w:tc>
      </w:tr>
      <w:tr>
        <w:trPr>
          <w:trHeight w:val="642" w:hRule="exact"/>
        </w:trPr>
        <w:tc>
          <w:tcPr>
            <w:tcW w:w="805" w:type="dxa"/>
            <w:tcBorders>
              <w:top w:val="nil" w:sz="6" w:space="0" w:color="auto"/>
              <w:left w:val="nil" w:sz="6" w:space="0" w:color="auto"/>
              <w:bottom w:val="nil" w:sz="6" w:space="0" w:color="auto"/>
              <w:right w:val="single" w:sz="4" w:space="0" w:color="000000"/>
            </w:tcBorders>
          </w:tcPr>
          <w:p>
            <w:pPr/>
          </w:p>
        </w:tc>
        <w:tc>
          <w:tcPr>
            <w:tcW w:w="2341" w:type="dxa"/>
            <w:tcBorders>
              <w:top w:val="single" w:sz="4" w:space="0" w:color="000000"/>
              <w:left w:val="single" w:sz="4" w:space="0" w:color="000000"/>
              <w:bottom w:val="nil" w:sz="6" w:space="0" w:color="auto"/>
              <w:right w:val="nil" w:sz="6" w:space="0" w:color="auto"/>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其中：应收账款</w:t>
            </w:r>
          </w:p>
          <w:p>
            <w:pPr>
              <w:pStyle w:val="TableParagraph"/>
              <w:spacing w:line="313" w:lineRule="exact"/>
              <w:ind w:left="109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7" w:type="dxa"/>
            <w:tcBorders>
              <w:top w:val="single" w:sz="4" w:space="0" w:color="000000"/>
              <w:left w:val="nil" w:sz="6" w:space="0" w:color="auto"/>
              <w:bottom w:val="nil" w:sz="6" w:space="0" w:color="auto"/>
              <w:right w:val="nil" w:sz="6" w:space="0" w:color="auto"/>
            </w:tcBorders>
          </w:tcPr>
          <w:p>
            <w:pP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875" w:right="-1"/>
              <w:jc w:val="left"/>
              <w:rPr>
                <w:rFonts w:ascii="Arial" w:hAnsi="Arial" w:cs="Arial" w:eastAsia="Arial" w:hint="default"/>
                <w:sz w:val="24"/>
                <w:szCs w:val="24"/>
              </w:rPr>
            </w:pPr>
            <w:r>
              <w:rPr>
                <w:rFonts w:ascii="Arial"/>
                <w:sz w:val="24"/>
              </w:rPr>
              <w:t>28,133</w:t>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114"/>
              <w:jc w:val="right"/>
              <w:rPr>
                <w:rFonts w:ascii="Arial" w:hAnsi="Arial" w:cs="Arial" w:eastAsia="Arial" w:hint="default"/>
                <w:sz w:val="24"/>
                <w:szCs w:val="24"/>
              </w:rPr>
            </w:pPr>
            <w:r>
              <w:rPr>
                <w:rFonts w:ascii="Arial"/>
                <w:spacing w:val="-1"/>
                <w:sz w:val="24"/>
              </w:rPr>
              <w:t>4,836</w:t>
            </w:r>
          </w:p>
        </w:tc>
        <w:tc>
          <w:tcPr>
            <w:tcW w:w="202"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619" w:right="0"/>
              <w:jc w:val="left"/>
              <w:rPr>
                <w:rFonts w:ascii="Arial" w:hAnsi="Arial" w:cs="Arial" w:eastAsia="Arial" w:hint="default"/>
                <w:sz w:val="24"/>
                <w:szCs w:val="24"/>
              </w:rPr>
            </w:pPr>
            <w:r>
              <w:rPr>
                <w:rFonts w:ascii="Arial"/>
                <w:sz w:val="24"/>
              </w:rPr>
              <w:t>(1,413)</w:t>
            </w:r>
          </w:p>
        </w:tc>
        <w:tc>
          <w:tcPr>
            <w:tcW w:w="181" w:type="dxa"/>
            <w:tcBorders>
              <w:top w:val="single" w:sz="4" w:space="0" w:color="000000"/>
              <w:left w:val="nil" w:sz="6" w:space="0" w:color="auto"/>
              <w:bottom w:val="nil" w:sz="6" w:space="0" w:color="auto"/>
              <w:right w:val="nil" w:sz="6" w:space="0" w:color="auto"/>
            </w:tcBorders>
          </w:tcPr>
          <w:p>
            <w:pPr/>
          </w:p>
        </w:tc>
        <w:tc>
          <w:tcPr>
            <w:tcW w:w="197" w:type="dxa"/>
            <w:tcBorders>
              <w:top w:val="single" w:sz="4" w:space="0" w:color="000000"/>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left="739" w:right="0"/>
              <w:jc w:val="left"/>
              <w:rPr>
                <w:rFonts w:ascii="Arial" w:hAnsi="Arial" w:cs="Arial" w:eastAsia="Arial" w:hint="default"/>
                <w:sz w:val="24"/>
                <w:szCs w:val="24"/>
              </w:rPr>
            </w:pPr>
            <w:r>
              <w:rPr>
                <w:rFonts w:ascii="Arial"/>
                <w:sz w:val="24"/>
              </w:rPr>
              <w:t>31,556</w:t>
            </w:r>
          </w:p>
        </w:tc>
      </w:tr>
      <w:tr>
        <w:trPr>
          <w:trHeight w:val="616" w:hRule="exact"/>
        </w:trPr>
        <w:tc>
          <w:tcPr>
            <w:tcW w:w="805" w:type="dxa"/>
            <w:tcBorders>
              <w:top w:val="nil" w:sz="6" w:space="0" w:color="auto"/>
              <w:left w:val="nil" w:sz="6" w:space="0" w:color="auto"/>
              <w:bottom w:val="nil" w:sz="6" w:space="0" w:color="auto"/>
              <w:right w:val="single" w:sz="4" w:space="0" w:color="000000"/>
            </w:tcBorders>
          </w:tcPr>
          <w:p>
            <w:pPr/>
          </w:p>
        </w:tc>
        <w:tc>
          <w:tcPr>
            <w:tcW w:w="2341" w:type="dxa"/>
            <w:tcBorders>
              <w:top w:val="nil" w:sz="6" w:space="0" w:color="auto"/>
              <w:left w:val="single" w:sz="4" w:space="0" w:color="000000"/>
              <w:bottom w:val="single" w:sz="4" w:space="0" w:color="000000"/>
              <w:right w:val="nil" w:sz="6" w:space="0" w:color="auto"/>
            </w:tcBorders>
          </w:tcPr>
          <w:p>
            <w:pPr>
              <w:pStyle w:val="TableParagraph"/>
              <w:spacing w:line="260" w:lineRule="exact"/>
              <w:ind w:left="1139" w:right="0" w:hanging="276"/>
              <w:jc w:val="left"/>
              <w:rPr>
                <w:rFonts w:ascii="宋体" w:hAnsi="宋体" w:cs="宋体" w:eastAsia="宋体" w:hint="default"/>
                <w:sz w:val="24"/>
                <w:szCs w:val="24"/>
              </w:rPr>
            </w:pPr>
            <w:r>
              <w:rPr>
                <w:rFonts w:ascii="宋体" w:hAnsi="宋体" w:cs="宋体" w:eastAsia="宋体" w:hint="default"/>
                <w:sz w:val="24"/>
                <w:szCs w:val="24"/>
              </w:rPr>
              <w:t>其他应收款</w:t>
            </w:r>
          </w:p>
          <w:p>
            <w:pPr>
              <w:pStyle w:val="TableParagraph"/>
              <w:spacing w:line="313" w:lineRule="exact"/>
              <w:ind w:left="113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7"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875" w:right="-1"/>
              <w:jc w:val="left"/>
              <w:rPr>
                <w:rFonts w:ascii="Arial" w:hAnsi="Arial" w:cs="Arial" w:eastAsia="Arial" w:hint="default"/>
                <w:sz w:val="24"/>
                <w:szCs w:val="24"/>
              </w:rPr>
            </w:pPr>
            <w:r>
              <w:rPr>
                <w:rFonts w:ascii="Arial"/>
                <w:sz w:val="24"/>
              </w:rPr>
              <w:t>20,306</w:t>
            </w: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14"/>
              <w:jc w:val="right"/>
              <w:rPr>
                <w:rFonts w:ascii="Arial" w:hAnsi="Arial" w:cs="Arial" w:eastAsia="Arial" w:hint="default"/>
                <w:sz w:val="24"/>
                <w:szCs w:val="24"/>
              </w:rPr>
            </w:pPr>
            <w:r>
              <w:rPr>
                <w:rFonts w:ascii="Arial"/>
                <w:spacing w:val="-1"/>
                <w:sz w:val="24"/>
              </w:rPr>
              <w:t>18,219</w:t>
            </w:r>
          </w:p>
        </w:tc>
        <w:tc>
          <w:tcPr>
            <w:tcW w:w="202" w:type="dxa"/>
            <w:tcBorders>
              <w:top w:val="nil" w:sz="6" w:space="0" w:color="auto"/>
              <w:left w:val="nil" w:sz="6" w:space="0" w:color="auto"/>
              <w:bottom w:val="single" w:sz="4" w:space="0" w:color="000000"/>
              <w:right w:val="nil" w:sz="6" w:space="0" w:color="auto"/>
            </w:tcBorders>
          </w:tcPr>
          <w:p>
            <w:pP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619" w:right="0"/>
              <w:jc w:val="left"/>
              <w:rPr>
                <w:rFonts w:ascii="Arial" w:hAnsi="Arial" w:cs="Arial" w:eastAsia="Arial" w:hint="default"/>
                <w:sz w:val="24"/>
                <w:szCs w:val="24"/>
              </w:rPr>
            </w:pPr>
            <w:r>
              <w:rPr>
                <w:rFonts w:ascii="Arial"/>
                <w:sz w:val="24"/>
              </w:rPr>
              <w:t>(4,485)</w:t>
            </w:r>
          </w:p>
        </w:tc>
        <w:tc>
          <w:tcPr>
            <w:tcW w:w="181" w:type="dxa"/>
            <w:tcBorders>
              <w:top w:val="nil" w:sz="6" w:space="0" w:color="auto"/>
              <w:left w:val="nil" w:sz="6" w:space="0" w:color="auto"/>
              <w:bottom w:val="single" w:sz="4" w:space="0" w:color="000000"/>
              <w:right w:val="nil" w:sz="6" w:space="0" w:color="auto"/>
            </w:tcBorders>
          </w:tcPr>
          <w:p>
            <w:pPr/>
          </w:p>
        </w:tc>
        <w:tc>
          <w:tcPr>
            <w:tcW w:w="197"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739" w:right="0"/>
              <w:jc w:val="left"/>
              <w:rPr>
                <w:rFonts w:ascii="Arial" w:hAnsi="Arial" w:cs="Arial" w:eastAsia="Arial" w:hint="default"/>
                <w:sz w:val="24"/>
                <w:szCs w:val="24"/>
              </w:rPr>
            </w:pPr>
            <w:r>
              <w:rPr>
                <w:rFonts w:ascii="Arial"/>
                <w:sz w:val="24"/>
              </w:rPr>
              <w:t>34,040</w:t>
            </w:r>
          </w:p>
        </w:tc>
      </w:tr>
      <w:tr>
        <w:trPr>
          <w:trHeight w:val="330"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single" w:sz="4" w:space="0" w:color="000000"/>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存货跌价准备</w:t>
            </w:r>
          </w:p>
        </w:tc>
        <w:tc>
          <w:tcPr>
            <w:tcW w:w="197" w:type="dxa"/>
            <w:tcBorders>
              <w:top w:val="single" w:sz="4" w:space="0" w:color="000000"/>
              <w:left w:val="nil" w:sz="6" w:space="0" w:color="auto"/>
              <w:bottom w:val="nil" w:sz="6" w:space="0" w:color="auto"/>
              <w:right w:val="nil" w:sz="6" w:space="0" w:color="auto"/>
            </w:tcBorders>
          </w:tcPr>
          <w:p>
            <w:pP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875" w:right="-1"/>
              <w:jc w:val="left"/>
              <w:rPr>
                <w:rFonts w:ascii="Arial" w:hAnsi="Arial" w:cs="Arial" w:eastAsia="Arial" w:hint="default"/>
                <w:sz w:val="24"/>
                <w:szCs w:val="24"/>
              </w:rPr>
            </w:pPr>
            <w:r>
              <w:rPr>
                <w:rFonts w:ascii="Arial"/>
                <w:sz w:val="24"/>
              </w:rPr>
              <w:t>57,159</w:t>
            </w:r>
          </w:p>
        </w:tc>
        <w:tc>
          <w:tcPr>
            <w:tcW w:w="1675"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14"/>
              <w:jc w:val="right"/>
              <w:rPr>
                <w:rFonts w:ascii="Arial" w:hAnsi="Arial" w:cs="Arial" w:eastAsia="Arial" w:hint="default"/>
                <w:sz w:val="24"/>
                <w:szCs w:val="24"/>
              </w:rPr>
            </w:pPr>
            <w:r>
              <w:rPr>
                <w:rFonts w:ascii="Arial"/>
                <w:spacing w:val="-1"/>
                <w:sz w:val="24"/>
              </w:rPr>
              <w:t>34,445</w:t>
            </w:r>
          </w:p>
        </w:tc>
        <w:tc>
          <w:tcPr>
            <w:tcW w:w="202"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487" w:right="0"/>
              <w:jc w:val="left"/>
              <w:rPr>
                <w:rFonts w:ascii="Arial" w:hAnsi="Arial" w:cs="Arial" w:eastAsia="Arial" w:hint="default"/>
                <w:sz w:val="24"/>
                <w:szCs w:val="24"/>
              </w:rPr>
            </w:pPr>
            <w:r>
              <w:rPr>
                <w:rFonts w:ascii="Arial"/>
                <w:sz w:val="24"/>
              </w:rPr>
              <w:t>(50,070)</w:t>
            </w:r>
          </w:p>
        </w:tc>
        <w:tc>
          <w:tcPr>
            <w:tcW w:w="181" w:type="dxa"/>
            <w:tcBorders>
              <w:top w:val="single" w:sz="4" w:space="0" w:color="000000"/>
              <w:left w:val="nil" w:sz="6" w:space="0" w:color="auto"/>
              <w:bottom w:val="nil" w:sz="6" w:space="0" w:color="auto"/>
              <w:right w:val="nil" w:sz="6" w:space="0" w:color="auto"/>
            </w:tcBorders>
          </w:tcPr>
          <w:p>
            <w:pPr/>
          </w:p>
        </w:tc>
        <w:tc>
          <w:tcPr>
            <w:tcW w:w="197" w:type="dxa"/>
            <w:tcBorders>
              <w:top w:val="single" w:sz="4" w:space="0" w:color="000000"/>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739" w:right="0"/>
              <w:jc w:val="left"/>
              <w:rPr>
                <w:rFonts w:ascii="Arial" w:hAnsi="Arial" w:cs="Arial" w:eastAsia="Arial" w:hint="default"/>
                <w:sz w:val="24"/>
                <w:szCs w:val="24"/>
              </w:rPr>
            </w:pPr>
            <w:r>
              <w:rPr>
                <w:rFonts w:ascii="Arial"/>
                <w:sz w:val="24"/>
              </w:rPr>
              <w:t>41,534</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4"/>
                <w:szCs w:val="24"/>
              </w:rPr>
            </w:pPr>
            <w:r>
              <w:rPr>
                <w:rFonts w:ascii="宋体" w:hAnsi="宋体" w:cs="宋体" w:eastAsia="宋体" w:hint="default"/>
                <w:sz w:val="24"/>
                <w:szCs w:val="24"/>
              </w:rPr>
              <w:t>固定资产减值准备</w:t>
            </w: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Style w:val="TableParagraph"/>
              <w:tabs>
                <w:tab w:pos="1531" w:val="left" w:leader="none"/>
                <w:tab w:pos="1715" w:val="left" w:leader="none"/>
              </w:tabs>
              <w:spacing w:line="240" w:lineRule="auto" w:before="21"/>
              <w:ind w:left="14" w:right="-106"/>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675" w:type="dxa"/>
            <w:tcBorders>
              <w:top w:val="nil" w:sz="6" w:space="0" w:color="auto"/>
              <w:left w:val="nil" w:sz="6" w:space="0" w:color="auto"/>
              <w:bottom w:val="nil" w:sz="6" w:space="0" w:color="auto"/>
              <w:right w:val="nil" w:sz="6" w:space="0" w:color="auto"/>
            </w:tcBorders>
          </w:tcPr>
          <w:p>
            <w:pPr>
              <w:pStyle w:val="TableParagraph"/>
              <w:tabs>
                <w:tab w:pos="434" w:val="left" w:leader="none"/>
                <w:tab w:pos="1277" w:val="left" w:leader="none"/>
              </w:tabs>
              <w:spacing w:line="240" w:lineRule="auto" w:before="21"/>
              <w:ind w:right="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12,037</w:t>
              <w:tab/>
            </w:r>
            <w:r>
              <w:rPr>
                <w:rFonts w:ascii="Arial"/>
                <w:spacing w:val="-1"/>
                <w:sz w:val="24"/>
              </w:rPr>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1301" w:val="left" w:leader="none"/>
                <w:tab w:pos="1488" w:val="left" w:leader="none"/>
              </w:tabs>
              <w:spacing w:line="240" w:lineRule="auto" w:before="21"/>
              <w:ind w:left="71" w:right="-10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tabs>
                <w:tab w:pos="724" w:val="left" w:leader="none"/>
                <w:tab w:pos="1567" w:val="left" w:leader="none"/>
              </w:tabs>
              <w:spacing w:line="240" w:lineRule="auto" w:before="21"/>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12,037</w:t>
              <w:tab/>
            </w:r>
            <w:r>
              <w:rPr>
                <w:rFonts w:ascii="Arial"/>
                <w:spacing w:val="-1"/>
                <w:sz w:val="24"/>
              </w:rPr>
            </w:r>
          </w:p>
        </w:tc>
      </w:tr>
      <w:tr>
        <w:trPr>
          <w:trHeight w:val="284" w:hRule="exact"/>
        </w:trPr>
        <w:tc>
          <w:tcPr>
            <w:tcW w:w="805"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single" w:sz="12" w:space="0" w:color="000000"/>
              <w:right w:val="nil" w:sz="6" w:space="0" w:color="auto"/>
            </w:tcBorders>
          </w:tcPr>
          <w:p>
            <w:pPr>
              <w:pStyle w:val="TableParagraph"/>
              <w:spacing w:line="266" w:lineRule="exact"/>
              <w:ind w:left="744" w:right="0"/>
              <w:jc w:val="left"/>
              <w:rPr>
                <w:rFonts w:ascii="Arial" w:hAnsi="Arial" w:cs="Arial" w:eastAsia="Arial" w:hint="default"/>
                <w:sz w:val="24"/>
                <w:szCs w:val="24"/>
              </w:rPr>
            </w:pPr>
            <w:r>
              <w:rPr>
                <w:rFonts w:ascii="Arial"/>
                <w:spacing w:val="-1"/>
                <w:sz w:val="24"/>
              </w:rPr>
              <w:t>105,598</w:t>
            </w:r>
          </w:p>
        </w:tc>
        <w:tc>
          <w:tcPr>
            <w:tcW w:w="1675" w:type="dxa"/>
            <w:tcBorders>
              <w:top w:val="nil" w:sz="6" w:space="0" w:color="auto"/>
              <w:left w:val="nil" w:sz="6" w:space="0" w:color="auto"/>
              <w:bottom w:val="single" w:sz="12" w:space="0" w:color="000000"/>
              <w:right w:val="nil" w:sz="6" w:space="0" w:color="auto"/>
            </w:tcBorders>
          </w:tcPr>
          <w:p>
            <w:pPr>
              <w:pStyle w:val="TableParagraph"/>
              <w:spacing w:line="266" w:lineRule="exact"/>
              <w:ind w:right="114"/>
              <w:jc w:val="right"/>
              <w:rPr>
                <w:rFonts w:ascii="Arial" w:hAnsi="Arial" w:cs="Arial" w:eastAsia="Arial" w:hint="default"/>
                <w:sz w:val="24"/>
                <w:szCs w:val="24"/>
              </w:rPr>
            </w:pPr>
            <w:r>
              <w:rPr>
                <w:rFonts w:ascii="Arial"/>
                <w:spacing w:val="-1"/>
                <w:sz w:val="24"/>
              </w:rPr>
              <w:t>69,537</w:t>
            </w:r>
          </w:p>
        </w:tc>
        <w:tc>
          <w:tcPr>
            <w:tcW w:w="202"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single" w:sz="12" w:space="0" w:color="000000"/>
              <w:right w:val="nil" w:sz="6" w:space="0" w:color="auto"/>
            </w:tcBorders>
          </w:tcPr>
          <w:p>
            <w:pPr>
              <w:pStyle w:val="TableParagraph"/>
              <w:spacing w:line="266" w:lineRule="exact"/>
              <w:ind w:left="484" w:right="0"/>
              <w:jc w:val="left"/>
              <w:rPr>
                <w:rFonts w:ascii="Arial" w:hAnsi="Arial" w:cs="Arial" w:eastAsia="Arial" w:hint="default"/>
                <w:sz w:val="24"/>
                <w:szCs w:val="24"/>
              </w:rPr>
            </w:pPr>
            <w:r>
              <w:rPr>
                <w:rFonts w:ascii="Arial"/>
                <w:sz w:val="24"/>
              </w:rPr>
              <w:t>(55,968)</w:t>
            </w:r>
          </w:p>
        </w:tc>
        <w:tc>
          <w:tcPr>
            <w:tcW w:w="181" w:type="dxa"/>
            <w:tcBorders>
              <w:top w:val="nil" w:sz="6" w:space="0" w:color="auto"/>
              <w:left w:val="nil" w:sz="6" w:space="0" w:color="auto"/>
              <w:bottom w:val="single" w:sz="12"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2" w:space="0" w:color="000000"/>
              <w:right w:val="nil" w:sz="6" w:space="0" w:color="auto"/>
            </w:tcBorders>
          </w:tcPr>
          <w:p>
            <w:pPr>
              <w:pStyle w:val="TableParagraph"/>
              <w:spacing w:line="266" w:lineRule="exact"/>
              <w:ind w:left="623" w:right="0"/>
              <w:jc w:val="left"/>
              <w:rPr>
                <w:rFonts w:ascii="Arial" w:hAnsi="Arial" w:cs="Arial" w:eastAsia="Arial" w:hint="default"/>
                <w:sz w:val="24"/>
                <w:szCs w:val="24"/>
              </w:rPr>
            </w:pPr>
            <w:r>
              <w:rPr>
                <w:rFonts w:ascii="Arial"/>
                <w:spacing w:val="-3"/>
                <w:sz w:val="24"/>
              </w:rPr>
              <w:t>119,167</w:t>
            </w:r>
          </w:p>
        </w:tc>
      </w:tr>
    </w:tbl>
    <w:p>
      <w:pPr>
        <w:spacing w:after="0" w:line="266" w:lineRule="exact"/>
        <w:jc w:val="lef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1751"/>
        <w:gridCol w:w="1824"/>
        <w:gridCol w:w="3057"/>
        <w:gridCol w:w="2856"/>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57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057" w:type="dxa"/>
            <w:tcBorders>
              <w:top w:val="single" w:sz="6" w:space="0" w:color="000000"/>
              <w:left w:val="nil" w:sz="6" w:space="0" w:color="auto"/>
              <w:bottom w:val="nil" w:sz="6" w:space="0" w:color="auto"/>
              <w:right w:val="nil" w:sz="6" w:space="0" w:color="auto"/>
            </w:tcBorders>
          </w:tcPr>
          <w:p>
            <w:pPr/>
          </w:p>
        </w:tc>
        <w:tc>
          <w:tcPr>
            <w:tcW w:w="2856"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(18)</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短期借款</w:t>
            </w:r>
            <w:r>
              <w:rPr>
                <w:rFonts w:ascii="宋体" w:hAnsi="宋体" w:cs="宋体" w:eastAsia="宋体" w:hint="default"/>
                <w:sz w:val="24"/>
                <w:szCs w:val="24"/>
              </w:rPr>
            </w:r>
          </w:p>
        </w:tc>
        <w:tc>
          <w:tcPr>
            <w:tcW w:w="1824" w:type="dxa"/>
            <w:tcBorders>
              <w:top w:val="nil" w:sz="6" w:space="0" w:color="auto"/>
              <w:left w:val="nil" w:sz="6" w:space="0" w:color="auto"/>
              <w:bottom w:val="nil" w:sz="6" w:space="0" w:color="auto"/>
              <w:right w:val="nil" w:sz="6" w:space="0" w:color="auto"/>
            </w:tcBorders>
          </w:tcPr>
          <w:p>
            <w:pPr/>
          </w:p>
        </w:tc>
        <w:tc>
          <w:tcPr>
            <w:tcW w:w="3057"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
        </w:tc>
      </w:tr>
      <w:tr>
        <w:trPr>
          <w:trHeight w:val="596" w:hRule="exact"/>
        </w:trPr>
        <w:tc>
          <w:tcPr>
            <w:tcW w:w="77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54" w:right="0"/>
              <w:jc w:val="left"/>
              <w:rPr>
                <w:rFonts w:ascii="宋体" w:hAnsi="宋体" w:cs="宋体" w:eastAsia="宋体" w:hint="default"/>
                <w:sz w:val="24"/>
                <w:szCs w:val="24"/>
              </w:rPr>
            </w:pPr>
            <w:r>
              <w:rPr>
                <w:rFonts w:ascii="宋体" w:hAnsi="宋体" w:cs="宋体" w:eastAsia="宋体" w:hint="default"/>
                <w:sz w:val="24"/>
                <w:szCs w:val="24"/>
              </w:rPr>
              <w:t>币种</w:t>
            </w: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4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35"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54"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580" w:right="0"/>
              <w:jc w:val="left"/>
              <w:rPr>
                <w:rFonts w:ascii="Arial" w:hAnsi="Arial" w:cs="Arial" w:eastAsia="Arial" w:hint="default"/>
                <w:sz w:val="24"/>
                <w:szCs w:val="24"/>
              </w:rPr>
            </w:pPr>
            <w:r>
              <w:rPr>
                <w:rFonts w:ascii="Arial"/>
                <w:sz w:val="24"/>
              </w:rPr>
              <w:t>772,685</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08"/>
              <w:jc w:val="right"/>
              <w:rPr>
                <w:rFonts w:ascii="Arial" w:hAnsi="Arial" w:cs="Arial" w:eastAsia="Arial" w:hint="default"/>
                <w:sz w:val="24"/>
                <w:szCs w:val="24"/>
              </w:rPr>
            </w:pPr>
            <w:r>
              <w:rPr>
                <w:rFonts w:ascii="Arial"/>
                <w:w w:val="99"/>
                <w:sz w:val="24"/>
              </w:rPr>
              <w:t>-</w:t>
            </w:r>
            <w:r>
              <w:rPr>
                <w:rFonts w:ascii="Arial"/>
                <w:sz w:val="24"/>
              </w:rPr>
            </w:r>
          </w:p>
        </w:tc>
      </w:tr>
      <w:tr>
        <w:trPr>
          <w:trHeight w:val="336" w:hRule="exact"/>
        </w:trPr>
        <w:tc>
          <w:tcPr>
            <w:tcW w:w="77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Style w:val="TableParagraph"/>
              <w:spacing w:line="281" w:lineRule="exact"/>
              <w:ind w:left="13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824" w:type="dxa"/>
            <w:tcBorders>
              <w:top w:val="nil" w:sz="6" w:space="0" w:color="auto"/>
              <w:left w:val="nil" w:sz="6" w:space="0" w:color="auto"/>
              <w:bottom w:val="nil" w:sz="6" w:space="0" w:color="auto"/>
              <w:right w:val="nil" w:sz="6" w:space="0" w:color="auto"/>
            </w:tcBorders>
          </w:tcPr>
          <w:p>
            <w:pPr>
              <w:pStyle w:val="TableParagraph"/>
              <w:spacing w:line="281" w:lineRule="exact"/>
              <w:ind w:left="654" w:right="0"/>
              <w:jc w:val="left"/>
              <w:rPr>
                <w:rFonts w:ascii="宋体" w:hAnsi="宋体" w:cs="宋体" w:eastAsia="宋体" w:hint="default"/>
                <w:sz w:val="24"/>
                <w:szCs w:val="24"/>
              </w:rPr>
            </w:pPr>
            <w:r>
              <w:rPr>
                <w:rFonts w:ascii="宋体" w:hAnsi="宋体" w:cs="宋体" w:eastAsia="宋体" w:hint="default"/>
                <w:sz w:val="24"/>
                <w:szCs w:val="24"/>
              </w:rPr>
              <w:t>港币</w:t>
            </w:r>
          </w:p>
        </w:tc>
        <w:tc>
          <w:tcPr>
            <w:tcW w:w="3057" w:type="dxa"/>
            <w:tcBorders>
              <w:top w:val="nil" w:sz="6" w:space="0" w:color="auto"/>
              <w:left w:val="nil" w:sz="6" w:space="0" w:color="auto"/>
              <w:bottom w:val="nil" w:sz="6" w:space="0" w:color="auto"/>
              <w:right w:val="nil" w:sz="6" w:space="0" w:color="auto"/>
            </w:tcBorders>
          </w:tcPr>
          <w:p>
            <w:pPr>
              <w:pStyle w:val="TableParagraph"/>
              <w:tabs>
                <w:tab w:pos="1580" w:val="left" w:leader="none"/>
                <w:tab w:pos="2627" w:val="left" w:leader="none"/>
              </w:tabs>
              <w:spacing w:line="240" w:lineRule="auto" w:before="41"/>
              <w:ind w:left="27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893,001</w:t>
              <w:tab/>
            </w:r>
            <w:r>
              <w:rPr>
                <w:rFonts w:ascii="Arial"/>
                <w:sz w:val="24"/>
              </w:rPr>
            </w:r>
          </w:p>
        </w:tc>
        <w:tc>
          <w:tcPr>
            <w:tcW w:w="2856" w:type="dxa"/>
            <w:tcBorders>
              <w:top w:val="nil" w:sz="6" w:space="0" w:color="auto"/>
              <w:left w:val="nil" w:sz="6" w:space="0" w:color="auto"/>
              <w:bottom w:val="nil" w:sz="6" w:space="0" w:color="auto"/>
              <w:right w:val="nil" w:sz="6" w:space="0" w:color="auto"/>
            </w:tcBorders>
          </w:tcPr>
          <w:p>
            <w:pPr>
              <w:pStyle w:val="TableParagraph"/>
              <w:tabs>
                <w:tab w:pos="1421" w:val="left" w:leader="none"/>
                <w:tab w:pos="2505" w:val="left" w:leader="none"/>
              </w:tabs>
              <w:spacing w:line="240" w:lineRule="auto" w:before="41"/>
              <w:ind w:right="9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317,789</w:t>
              <w:tab/>
            </w:r>
            <w:r>
              <w:rPr>
                <w:rFonts w:ascii="Arial"/>
                <w:spacing w:val="-1"/>
                <w:sz w:val="24"/>
              </w:rPr>
            </w:r>
          </w:p>
        </w:tc>
      </w:tr>
      <w:tr>
        <w:trPr>
          <w:trHeight w:val="437" w:hRule="exact"/>
        </w:trPr>
        <w:tc>
          <w:tcPr>
            <w:tcW w:w="772"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3057" w:type="dxa"/>
            <w:tcBorders>
              <w:top w:val="nil" w:sz="6" w:space="0" w:color="auto"/>
              <w:left w:val="nil" w:sz="6" w:space="0" w:color="auto"/>
              <w:bottom w:val="nil" w:sz="6" w:space="0" w:color="auto"/>
              <w:right w:val="nil" w:sz="6" w:space="0" w:color="auto"/>
            </w:tcBorders>
          </w:tcPr>
          <w:p>
            <w:pPr>
              <w:pStyle w:val="TableParagraph"/>
              <w:tabs>
                <w:tab w:pos="1376" w:val="left" w:leader="none"/>
                <w:tab w:pos="2627" w:val="left" w:leader="none"/>
              </w:tabs>
              <w:spacing w:line="270" w:lineRule="exact"/>
              <w:ind w:left="27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1,665,686</w:t>
              <w:tab/>
            </w:r>
            <w:r>
              <w:rPr>
                <w:rFonts w:ascii="Arial"/>
                <w:sz w:val="24"/>
              </w:rPr>
            </w:r>
          </w:p>
        </w:tc>
        <w:tc>
          <w:tcPr>
            <w:tcW w:w="2856" w:type="dxa"/>
            <w:tcBorders>
              <w:top w:val="nil" w:sz="6" w:space="0" w:color="auto"/>
              <w:left w:val="nil" w:sz="6" w:space="0" w:color="auto"/>
              <w:bottom w:val="nil" w:sz="6" w:space="0" w:color="auto"/>
              <w:right w:val="nil" w:sz="6" w:space="0" w:color="auto"/>
            </w:tcBorders>
          </w:tcPr>
          <w:p>
            <w:pPr>
              <w:pStyle w:val="TableParagraph"/>
              <w:tabs>
                <w:tab w:pos="1418" w:val="left" w:leader="none"/>
                <w:tab w:pos="2505" w:val="left" w:leader="none"/>
              </w:tabs>
              <w:spacing w:line="270" w:lineRule="exact"/>
              <w:ind w:right="9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317,789</w:t>
              <w:tab/>
            </w:r>
            <w:r>
              <w:rPr>
                <w:rFonts w:ascii="Arial"/>
                <w:spacing w:val="-1"/>
                <w:sz w:val="24"/>
              </w:rPr>
            </w:r>
          </w:p>
        </w:tc>
      </w:tr>
      <w:tr>
        <w:trPr>
          <w:trHeight w:val="737" w:hRule="exact"/>
        </w:trPr>
        <w:tc>
          <w:tcPr>
            <w:tcW w:w="772" w:type="dxa"/>
            <w:tcBorders>
              <w:top w:val="nil" w:sz="6" w:space="0" w:color="auto"/>
              <w:left w:val="nil" w:sz="6" w:space="0" w:color="auto"/>
              <w:bottom w:val="nil" w:sz="6" w:space="0" w:color="auto"/>
              <w:right w:val="nil" w:sz="6" w:space="0" w:color="auto"/>
            </w:tcBorders>
          </w:tcPr>
          <w:p>
            <w:pPr/>
          </w:p>
        </w:tc>
        <w:tc>
          <w:tcPr>
            <w:tcW w:w="9488"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99"/>
              <w:ind w:left="136"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pacing w:val="-5"/>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日，质押借款为</w:t>
            </w:r>
            <w:r>
              <w:rPr>
                <w:rFonts w:ascii="宋体" w:hAnsi="宋体" w:cs="宋体" w:eastAsia="宋体" w:hint="default"/>
                <w:spacing w:val="-54"/>
                <w:sz w:val="24"/>
                <w:szCs w:val="24"/>
              </w:rPr>
              <w:t> </w:t>
            </w:r>
            <w:r>
              <w:rPr>
                <w:rFonts w:ascii="Arial" w:hAnsi="Arial" w:cs="Arial" w:eastAsia="Arial" w:hint="default"/>
                <w:spacing w:val="-4"/>
                <w:sz w:val="24"/>
                <w:szCs w:val="24"/>
              </w:rPr>
              <w:t>11.02</w:t>
            </w:r>
            <w:r>
              <w:rPr>
                <w:rFonts w:ascii="Arial" w:hAnsi="Arial" w:cs="Arial" w:eastAsia="Arial" w:hint="default"/>
                <w:spacing w:val="1"/>
                <w:sz w:val="24"/>
                <w:szCs w:val="24"/>
              </w:rPr>
              <w:t> </w:t>
            </w:r>
            <w:r>
              <w:rPr>
                <w:rFonts w:ascii="宋体" w:hAnsi="宋体" w:cs="宋体" w:eastAsia="宋体" w:hint="default"/>
                <w:sz w:val="24"/>
                <w:szCs w:val="24"/>
              </w:rPr>
              <w:t>亿港币，折算为人民币约为</w:t>
            </w:r>
            <w:r>
              <w:rPr>
                <w:rFonts w:ascii="宋体" w:hAnsi="宋体" w:cs="宋体" w:eastAsia="宋体" w:hint="default"/>
                <w:spacing w:val="-54"/>
                <w:sz w:val="24"/>
                <w:szCs w:val="24"/>
              </w:rPr>
              <w:t> </w:t>
            </w:r>
            <w:r>
              <w:rPr>
                <w:rFonts w:ascii="Arial" w:hAnsi="Arial" w:cs="Arial" w:eastAsia="Arial" w:hint="default"/>
                <w:sz w:val="24"/>
                <w:szCs w:val="24"/>
              </w:rPr>
              <w:t>8.93 </w:t>
            </w:r>
            <w:r>
              <w:rPr>
                <w:rFonts w:ascii="宋体" w:hAnsi="宋体" w:cs="宋体" w:eastAsia="宋体" w:hint="default"/>
                <w:sz w:val="24"/>
                <w:szCs w:val="24"/>
              </w:rPr>
              <w:t>亿元</w:t>
            </w:r>
            <w:r>
              <w:rPr>
                <w:rFonts w:ascii="Arial" w:hAnsi="Arial" w:cs="Arial" w:eastAsia="Arial" w:hint="default"/>
                <w:sz w:val="24"/>
                <w:szCs w:val="24"/>
              </w:rPr>
              <w:t>(2010</w:t>
            </w:r>
          </w:p>
          <w:p>
            <w:pPr>
              <w:pStyle w:val="TableParagraph"/>
              <w:spacing w:line="322" w:lineRule="exact"/>
              <w:ind w:left="136" w:right="0"/>
              <w:jc w:val="left"/>
              <w:rPr>
                <w:rFonts w:ascii="Arial" w:hAnsi="Arial" w:cs="Arial" w:eastAsia="Arial" w:hint="default"/>
                <w:sz w:val="24"/>
                <w:szCs w:val="24"/>
              </w:rPr>
            </w:pP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 </w:t>
            </w:r>
            <w:r>
              <w:rPr>
                <w:rFonts w:ascii="宋体" w:hAnsi="宋体" w:cs="宋体" w:eastAsia="宋体" w:hint="default"/>
                <w:sz w:val="24"/>
                <w:szCs w:val="24"/>
              </w:rPr>
              <w:t>日：</w:t>
            </w:r>
            <w:r>
              <w:rPr>
                <w:rFonts w:ascii="Arial" w:hAnsi="Arial" w:cs="Arial" w:eastAsia="Arial" w:hint="default"/>
                <w:sz w:val="24"/>
                <w:szCs w:val="24"/>
              </w:rPr>
              <w:t>3.75</w:t>
            </w:r>
            <w:r>
              <w:rPr>
                <w:rFonts w:ascii="Arial" w:hAnsi="Arial" w:cs="Arial" w:eastAsia="Arial" w:hint="default"/>
                <w:spacing w:val="-26"/>
                <w:sz w:val="24"/>
                <w:szCs w:val="24"/>
              </w:rPr>
              <w:t> </w:t>
            </w:r>
            <w:r>
              <w:rPr>
                <w:rFonts w:ascii="宋体" w:hAnsi="宋体" w:cs="宋体" w:eastAsia="宋体" w:hint="default"/>
                <w:sz w:val="24"/>
                <w:szCs w:val="24"/>
              </w:rPr>
              <w:t>亿港币</w:t>
            </w:r>
            <w:r>
              <w:rPr>
                <w:rFonts w:ascii="Arial" w:hAnsi="Arial" w:cs="Arial" w:eastAsia="Arial" w:hint="default"/>
                <w:sz w:val="24"/>
                <w:szCs w:val="24"/>
              </w:rPr>
              <w:t>)</w:t>
            </w:r>
          </w:p>
        </w:tc>
      </w:tr>
    </w:tbl>
    <w:p>
      <w:pPr>
        <w:spacing w:line="240" w:lineRule="auto" w:before="3"/>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68"/>
        <w:gridCol w:w="3201"/>
        <w:gridCol w:w="3452"/>
        <w:gridCol w:w="2872"/>
      </w:tblGrid>
      <w:tr>
        <w:trPr>
          <w:trHeight w:val="732" w:hRule="exact"/>
        </w:trPr>
        <w:tc>
          <w:tcPr>
            <w:tcW w:w="10292"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90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日，所有的质押借款以本集团存于银行的备用信用证保证金</w:t>
            </w:r>
            <w:r>
              <w:rPr>
                <w:rFonts w:ascii="宋体" w:hAnsi="宋体" w:cs="宋体" w:eastAsia="宋体" w:hint="default"/>
                <w:spacing w:val="-59"/>
                <w:sz w:val="24"/>
                <w:szCs w:val="24"/>
              </w:rPr>
              <w:t> </w:t>
            </w:r>
            <w:r>
              <w:rPr>
                <w:rFonts w:ascii="Arial" w:hAnsi="Arial" w:cs="Arial" w:eastAsia="Arial" w:hint="default"/>
                <w:spacing w:val="-8"/>
                <w:sz w:val="24"/>
                <w:szCs w:val="24"/>
              </w:rPr>
              <w:t>11</w:t>
            </w:r>
            <w:r>
              <w:rPr>
                <w:rFonts w:ascii="Arial" w:hAnsi="Arial" w:cs="Arial" w:eastAsia="Arial" w:hint="default"/>
                <w:spacing w:val="-6"/>
                <w:sz w:val="24"/>
                <w:szCs w:val="24"/>
              </w:rPr>
              <w:t> </w:t>
            </w:r>
            <w:r>
              <w:rPr>
                <w:rFonts w:ascii="宋体" w:hAnsi="宋体" w:cs="宋体" w:eastAsia="宋体" w:hint="default"/>
                <w:sz w:val="24"/>
                <w:szCs w:val="24"/>
              </w:rPr>
              <w:t>亿元</w:t>
            </w:r>
          </w:p>
          <w:p>
            <w:pPr>
              <w:pStyle w:val="TableParagraph"/>
              <w:spacing w:line="322" w:lineRule="exact"/>
              <w:ind w:left="908"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w:t>
            </w:r>
            <w:r>
              <w:rPr>
                <w:rFonts w:ascii="宋体" w:hAnsi="宋体" w:cs="宋体" w:eastAsia="宋体" w:hint="default"/>
                <w:sz w:val="24"/>
                <w:szCs w:val="24"/>
              </w:rPr>
              <w:t>作为质押物。</w:t>
            </w:r>
          </w:p>
        </w:tc>
      </w:tr>
      <w:tr>
        <w:trPr>
          <w:trHeight w:val="898" w:hRule="exact"/>
        </w:trPr>
        <w:tc>
          <w:tcPr>
            <w:tcW w:w="10292"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94"/>
              <w:ind w:left="90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pacing w:val="-4"/>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日，短期借款的加权平均年利率为</w:t>
            </w:r>
            <w:r>
              <w:rPr>
                <w:rFonts w:ascii="宋体" w:hAnsi="宋体" w:cs="宋体" w:eastAsia="宋体" w:hint="default"/>
                <w:spacing w:val="-49"/>
                <w:sz w:val="24"/>
                <w:szCs w:val="24"/>
              </w:rPr>
              <w:t> </w:t>
            </w:r>
            <w:r>
              <w:rPr>
                <w:rFonts w:ascii="Arial" w:hAnsi="Arial" w:cs="Arial" w:eastAsia="Arial" w:hint="default"/>
                <w:sz w:val="24"/>
                <w:szCs w:val="24"/>
              </w:rPr>
              <w:t>1.84%</w:t>
            </w:r>
            <w:r>
              <w:rPr>
                <w:rFonts w:ascii="Arial" w:hAnsi="Arial" w:cs="Arial" w:eastAsia="Arial" w:hint="default"/>
                <w:spacing w:val="5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w:t>
            </w:r>
          </w:p>
          <w:p>
            <w:pPr>
              <w:pStyle w:val="TableParagraph"/>
              <w:spacing w:line="322" w:lineRule="exact"/>
              <w:ind w:left="908" w:right="0"/>
              <w:jc w:val="left"/>
              <w:rPr>
                <w:rFonts w:ascii="宋体" w:hAnsi="宋体" w:cs="宋体" w:eastAsia="宋体" w:hint="default"/>
                <w:sz w:val="24"/>
                <w:szCs w:val="24"/>
              </w:rPr>
            </w:pPr>
            <w:r>
              <w:rPr>
                <w:rFonts w:ascii="Arial" w:hAnsi="Arial" w:cs="Arial" w:eastAsia="Arial" w:hint="default"/>
                <w:sz w:val="24"/>
                <w:szCs w:val="24"/>
              </w:rPr>
              <w:t>1.04%)</w:t>
            </w:r>
            <w:r>
              <w:rPr>
                <w:rFonts w:ascii="宋体" w:hAnsi="宋体" w:cs="宋体" w:eastAsia="宋体" w:hint="default"/>
                <w:sz w:val="24"/>
                <w:szCs w:val="24"/>
              </w:rPr>
              <w:t>。</w:t>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(19)</w:t>
            </w:r>
          </w:p>
        </w:tc>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0" w:right="0"/>
              <w:jc w:val="left"/>
              <w:rPr>
                <w:rFonts w:ascii="宋体" w:hAnsi="宋体" w:cs="宋体" w:eastAsia="宋体" w:hint="default"/>
                <w:sz w:val="24"/>
                <w:szCs w:val="24"/>
              </w:rPr>
            </w:pPr>
            <w:r>
              <w:rPr>
                <w:rFonts w:ascii="宋体" w:hAnsi="宋体" w:cs="宋体" w:eastAsia="宋体" w:hint="default"/>
                <w:b/>
                <w:bCs/>
                <w:sz w:val="24"/>
                <w:szCs w:val="24"/>
              </w:rPr>
              <w:t>应付票据</w:t>
            </w:r>
            <w:r>
              <w:rPr>
                <w:rFonts w:ascii="宋体" w:hAnsi="宋体" w:cs="宋体" w:eastAsia="宋体" w:hint="default"/>
                <w:sz w:val="24"/>
                <w:szCs w:val="24"/>
              </w:rPr>
            </w:r>
          </w:p>
        </w:tc>
        <w:tc>
          <w:tcPr>
            <w:tcW w:w="3452" w:type="dxa"/>
            <w:tcBorders>
              <w:top w:val="nil" w:sz="6" w:space="0" w:color="auto"/>
              <w:left w:val="nil" w:sz="6" w:space="0" w:color="auto"/>
              <w:bottom w:val="nil" w:sz="6" w:space="0" w:color="auto"/>
              <w:right w:val="nil" w:sz="6" w:space="0" w:color="auto"/>
            </w:tcBorders>
          </w:tcPr>
          <w:p>
            <w:pPr/>
          </w:p>
        </w:tc>
        <w:tc>
          <w:tcPr>
            <w:tcW w:w="2872" w:type="dxa"/>
            <w:tcBorders>
              <w:top w:val="nil" w:sz="6" w:space="0" w:color="auto"/>
              <w:left w:val="nil" w:sz="6" w:space="0" w:color="auto"/>
              <w:bottom w:val="nil" w:sz="6" w:space="0" w:color="auto"/>
              <w:right w:val="nil" w:sz="6" w:space="0" w:color="auto"/>
            </w:tcBorders>
          </w:tcPr>
          <w:p>
            <w:pPr/>
          </w:p>
        </w:tc>
      </w:tr>
      <w:tr>
        <w:trPr>
          <w:trHeight w:val="594" w:hRule="exact"/>
        </w:trPr>
        <w:tc>
          <w:tcPr>
            <w:tcW w:w="768" w:type="dxa"/>
            <w:tcBorders>
              <w:top w:val="nil" w:sz="6" w:space="0" w:color="auto"/>
              <w:left w:val="nil" w:sz="6" w:space="0" w:color="auto"/>
              <w:bottom w:val="nil" w:sz="6" w:space="0" w:color="auto"/>
              <w:right w:val="nil" w:sz="6" w:space="0" w:color="auto"/>
            </w:tcBorders>
          </w:tcPr>
          <w:p>
            <w:pPr/>
          </w:p>
        </w:tc>
        <w:tc>
          <w:tcPr>
            <w:tcW w:w="3201"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5" w:right="0"/>
              <w:jc w:val="center"/>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87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5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13" w:hRule="exact"/>
        </w:trPr>
        <w:tc>
          <w:tcPr>
            <w:tcW w:w="768" w:type="dxa"/>
            <w:tcBorders>
              <w:top w:val="nil" w:sz="6" w:space="0" w:color="auto"/>
              <w:left w:val="nil" w:sz="6" w:space="0" w:color="auto"/>
              <w:bottom w:val="nil" w:sz="6" w:space="0" w:color="auto"/>
              <w:right w:val="nil" w:sz="6" w:space="0" w:color="auto"/>
            </w:tcBorders>
          </w:tcPr>
          <w:p>
            <w:pPr/>
          </w:p>
        </w:tc>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452" w:type="dxa"/>
            <w:tcBorders>
              <w:top w:val="nil" w:sz="6" w:space="0" w:color="auto"/>
              <w:left w:val="nil" w:sz="6" w:space="0" w:color="auto"/>
              <w:bottom w:val="nil" w:sz="6" w:space="0" w:color="auto"/>
              <w:right w:val="nil" w:sz="6" w:space="0" w:color="auto"/>
            </w:tcBorders>
          </w:tcPr>
          <w:p>
            <w:pPr>
              <w:pStyle w:val="TableParagraph"/>
              <w:tabs>
                <w:tab w:pos="1178" w:val="left" w:leader="none"/>
                <w:tab w:pos="2558" w:val="left" w:leader="none"/>
              </w:tabs>
              <w:spacing w:line="240" w:lineRule="auto" w:before="168"/>
              <w:ind w:left="206"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20,617,593</w:t>
              <w:tab/>
            </w:r>
            <w:r>
              <w:rPr>
                <w:rFonts w:ascii="Arial"/>
                <w:sz w:val="24"/>
              </w:rPr>
            </w:r>
          </w:p>
        </w:tc>
        <w:tc>
          <w:tcPr>
            <w:tcW w:w="2872" w:type="dxa"/>
            <w:tcBorders>
              <w:top w:val="nil" w:sz="6" w:space="0" w:color="auto"/>
              <w:left w:val="nil" w:sz="6" w:space="0" w:color="auto"/>
              <w:bottom w:val="nil" w:sz="6" w:space="0" w:color="auto"/>
              <w:right w:val="nil" w:sz="6" w:space="0" w:color="auto"/>
            </w:tcBorders>
          </w:tcPr>
          <w:p>
            <w:pPr>
              <w:pStyle w:val="TableParagraph"/>
              <w:tabs>
                <w:tab w:pos="1394" w:val="left" w:leader="none"/>
                <w:tab w:pos="2745" w:val="left" w:leader="none"/>
              </w:tabs>
              <w:spacing w:line="240" w:lineRule="auto" w:before="168"/>
              <w:ind w:left="23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14,277,320</w:t>
              <w:tab/>
            </w:r>
            <w:r>
              <w:rPr>
                <w:rFonts w:ascii="Arial"/>
                <w:sz w:val="24"/>
              </w:rPr>
            </w:r>
          </w:p>
        </w:tc>
      </w:tr>
      <w:tr>
        <w:trPr>
          <w:trHeight w:val="906" w:hRule="exact"/>
        </w:trPr>
        <w:tc>
          <w:tcPr>
            <w:tcW w:w="768" w:type="dxa"/>
            <w:tcBorders>
              <w:top w:val="nil" w:sz="6" w:space="0" w:color="auto"/>
              <w:left w:val="nil" w:sz="6" w:space="0" w:color="auto"/>
              <w:bottom w:val="nil" w:sz="6" w:space="0" w:color="auto"/>
              <w:right w:val="nil" w:sz="6" w:space="0" w:color="auto"/>
            </w:tcBorders>
          </w:tcPr>
          <w:p>
            <w:pPr/>
          </w:p>
        </w:tc>
        <w:tc>
          <w:tcPr>
            <w:tcW w:w="9524"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0"/>
              <w:ind w:left="135"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37"/>
                <w:sz w:val="24"/>
                <w:szCs w:val="24"/>
              </w:rPr>
              <w:t> </w:t>
            </w:r>
            <w:r>
              <w:rPr>
                <w:rFonts w:ascii="Arial" w:hAnsi="Arial" w:cs="Arial" w:eastAsia="Arial" w:hint="default"/>
                <w:spacing w:val="-4"/>
                <w:sz w:val="24"/>
                <w:szCs w:val="24"/>
              </w:rPr>
              <w:t>2011</w:t>
            </w:r>
            <w:r>
              <w:rPr>
                <w:rFonts w:ascii="Arial" w:hAnsi="Arial" w:cs="Arial" w:eastAsia="Arial"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Arial" w:hAnsi="Arial" w:cs="Arial" w:eastAsia="Arial" w:hint="default"/>
                <w:sz w:val="24"/>
                <w:szCs w:val="24"/>
              </w:rPr>
              <w:t>12</w:t>
            </w:r>
            <w:r>
              <w:rPr>
                <w:rFonts w:ascii="Arial" w:hAnsi="Arial" w:cs="Arial" w:eastAsia="Arial" w:hint="default"/>
                <w:spacing w:val="18"/>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Arial" w:hAnsi="Arial" w:cs="Arial" w:eastAsia="Arial" w:hint="default"/>
                <w:sz w:val="24"/>
                <w:szCs w:val="24"/>
              </w:rPr>
              <w:t>31</w:t>
            </w:r>
            <w:r>
              <w:rPr>
                <w:rFonts w:ascii="Arial" w:hAnsi="Arial" w:cs="Arial" w:eastAsia="Arial" w:hint="default"/>
                <w:spacing w:val="16"/>
                <w:sz w:val="24"/>
                <w:szCs w:val="24"/>
              </w:rPr>
              <w:t> </w:t>
            </w:r>
            <w:r>
              <w:rPr>
                <w:rFonts w:ascii="宋体" w:hAnsi="宋体" w:cs="宋体" w:eastAsia="宋体" w:hint="default"/>
                <w:sz w:val="24"/>
                <w:szCs w:val="24"/>
              </w:rPr>
              <w:t>日，预计将于一年内到期的应付票据金额为约人民币</w:t>
            </w:r>
            <w:r>
              <w:rPr>
                <w:rFonts w:ascii="宋体" w:hAnsi="宋体" w:cs="宋体" w:eastAsia="宋体" w:hint="default"/>
                <w:spacing w:val="-35"/>
                <w:sz w:val="24"/>
                <w:szCs w:val="24"/>
              </w:rPr>
              <w:t> </w:t>
            </w:r>
            <w:r>
              <w:rPr>
                <w:rFonts w:ascii="Arial" w:hAnsi="Arial" w:cs="Arial" w:eastAsia="Arial" w:hint="default"/>
                <w:sz w:val="24"/>
                <w:szCs w:val="24"/>
              </w:rPr>
              <w:t>206.18</w:t>
            </w:r>
            <w:r>
              <w:rPr>
                <w:rFonts w:ascii="Arial" w:hAnsi="Arial" w:cs="Arial" w:eastAsia="Arial" w:hint="default"/>
                <w:spacing w:val="19"/>
                <w:sz w:val="24"/>
                <w:szCs w:val="24"/>
              </w:rPr>
              <w:t> </w:t>
            </w:r>
            <w:r>
              <w:rPr>
                <w:rFonts w:ascii="宋体" w:hAnsi="宋体" w:cs="宋体" w:eastAsia="宋体" w:hint="default"/>
                <w:sz w:val="24"/>
                <w:szCs w:val="24"/>
              </w:rPr>
              <w:t>亿元</w:t>
            </w:r>
          </w:p>
          <w:p>
            <w:pPr>
              <w:pStyle w:val="TableParagraph"/>
              <w:spacing w:line="322" w:lineRule="exact"/>
              <w:ind w:left="135"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2"/>
                <w:sz w:val="24"/>
                <w:szCs w:val="24"/>
              </w:rPr>
              <w:t> </w:t>
            </w:r>
            <w:r>
              <w:rPr>
                <w:rFonts w:ascii="Arial" w:hAnsi="Arial" w:cs="Arial" w:eastAsia="Arial" w:hint="default"/>
                <w:sz w:val="24"/>
                <w:szCs w:val="24"/>
              </w:rPr>
              <w:t>142.77</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900" w:hRule="exact"/>
        </w:trPr>
        <w:tc>
          <w:tcPr>
            <w:tcW w:w="768" w:type="dxa"/>
            <w:tcBorders>
              <w:top w:val="nil" w:sz="6" w:space="0" w:color="auto"/>
              <w:left w:val="nil" w:sz="6" w:space="0" w:color="auto"/>
              <w:bottom w:val="nil" w:sz="6" w:space="0" w:color="auto"/>
              <w:right w:val="nil" w:sz="6" w:space="0" w:color="auto"/>
            </w:tcBorders>
          </w:tcPr>
          <w:p>
            <w:pPr/>
          </w:p>
        </w:tc>
        <w:tc>
          <w:tcPr>
            <w:tcW w:w="9524"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94"/>
              <w:ind w:left="135"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pacing w:val="-5"/>
                <w:sz w:val="24"/>
                <w:szCs w:val="24"/>
              </w:rPr>
              <w:t>2011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日，本集团开立的银行承兑汇票以存于银行的汇票保证金约人民</w:t>
            </w:r>
          </w:p>
          <w:p>
            <w:pPr>
              <w:pStyle w:val="TableParagraph"/>
              <w:spacing w:line="322" w:lineRule="exact"/>
              <w:ind w:left="135" w:right="0"/>
              <w:jc w:val="left"/>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63"/>
                <w:sz w:val="24"/>
                <w:szCs w:val="24"/>
              </w:rPr>
              <w:t> </w:t>
            </w:r>
            <w:r>
              <w:rPr>
                <w:rFonts w:ascii="Arial" w:hAnsi="Arial" w:cs="Arial" w:eastAsia="Arial" w:hint="default"/>
                <w:sz w:val="24"/>
                <w:szCs w:val="24"/>
              </w:rPr>
              <w:t>86.4</w:t>
            </w:r>
            <w:r>
              <w:rPr>
                <w:rFonts w:ascii="Arial" w:hAnsi="Arial" w:cs="Arial" w:eastAsia="Arial" w:hint="default"/>
                <w:spacing w:val="51"/>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50"/>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50"/>
                <w:sz w:val="24"/>
                <w:szCs w:val="24"/>
              </w:rPr>
              <w:t> </w:t>
            </w:r>
            <w:r>
              <w:rPr>
                <w:rFonts w:ascii="宋体" w:hAnsi="宋体" w:cs="宋体" w:eastAsia="宋体" w:hint="default"/>
                <w:sz w:val="24"/>
                <w:szCs w:val="24"/>
              </w:rPr>
              <w:t>日：约人民币</w:t>
            </w:r>
            <w:r>
              <w:rPr>
                <w:rFonts w:ascii="宋体" w:hAnsi="宋体" w:cs="宋体" w:eastAsia="宋体" w:hint="default"/>
                <w:spacing w:val="-62"/>
                <w:sz w:val="24"/>
                <w:szCs w:val="24"/>
              </w:rPr>
              <w:t> </w:t>
            </w:r>
            <w:r>
              <w:rPr>
                <w:rFonts w:ascii="Arial" w:hAnsi="Arial" w:cs="Arial" w:eastAsia="Arial" w:hint="default"/>
                <w:sz w:val="24"/>
                <w:szCs w:val="24"/>
              </w:rPr>
              <w:t>71.4</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w:t>
            </w:r>
            <w:r>
              <w:rPr>
                <w:rFonts w:ascii="宋体" w:hAnsi="宋体" w:cs="宋体" w:eastAsia="宋体" w:hint="default"/>
                <w:sz w:val="24"/>
                <w:szCs w:val="24"/>
              </w:rPr>
              <w:t>作为质押保证。</w:t>
            </w:r>
          </w:p>
        </w:tc>
      </w:tr>
      <w:tr>
        <w:trPr>
          <w:trHeight w:val="720" w:hRule="exact"/>
        </w:trPr>
        <w:tc>
          <w:tcPr>
            <w:tcW w:w="768" w:type="dxa"/>
            <w:tcBorders>
              <w:top w:val="nil" w:sz="6" w:space="0" w:color="auto"/>
              <w:left w:val="nil" w:sz="6" w:space="0" w:color="auto"/>
              <w:bottom w:val="nil" w:sz="6" w:space="0" w:color="auto"/>
              <w:right w:val="nil" w:sz="6" w:space="0" w:color="auto"/>
            </w:tcBorders>
          </w:tcPr>
          <w:p>
            <w:pPr/>
          </w:p>
        </w:tc>
        <w:tc>
          <w:tcPr>
            <w:tcW w:w="9524"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5"/>
              <w:ind w:left="135" w:right="202"/>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2"/>
                <w:sz w:val="24"/>
                <w:szCs w:val="24"/>
              </w:rPr>
              <w:t> </w:t>
            </w:r>
            <w:r>
              <w:rPr>
                <w:rFonts w:ascii="Arial" w:hAnsi="Arial" w:cs="Arial" w:eastAsia="Arial" w:hint="default"/>
                <w:spacing w:val="-5"/>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51"/>
                <w:sz w:val="24"/>
                <w:szCs w:val="24"/>
              </w:rPr>
              <w:t> </w:t>
            </w:r>
            <w:r>
              <w:rPr>
                <w:rFonts w:ascii="宋体" w:hAnsi="宋体" w:cs="宋体" w:eastAsia="宋体" w:hint="default"/>
                <w:sz w:val="24"/>
                <w:szCs w:val="24"/>
              </w:rPr>
              <w:t>日及</w:t>
            </w:r>
            <w:r>
              <w:rPr>
                <w:rFonts w:ascii="宋体" w:hAnsi="宋体" w:cs="宋体" w:eastAsia="宋体" w:hint="default"/>
                <w:spacing w:val="-54"/>
                <w:sz w:val="24"/>
                <w:szCs w:val="24"/>
              </w:rPr>
              <w:t> </w:t>
            </w:r>
            <w:r>
              <w:rPr>
                <w:rFonts w:ascii="Arial" w:hAnsi="Arial" w:cs="Arial" w:eastAsia="Arial" w:hint="default"/>
                <w:sz w:val="24"/>
                <w:szCs w:val="24"/>
              </w:rPr>
              <w:t>2010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Arial" w:hAnsi="Arial" w:cs="Arial" w:eastAsia="Arial" w:hint="default"/>
                <w:sz w:val="24"/>
                <w:szCs w:val="24"/>
              </w:rPr>
              <w:t>31</w:t>
            </w:r>
            <w:r>
              <w:rPr>
                <w:rFonts w:ascii="Arial" w:hAnsi="Arial" w:cs="Arial" w:eastAsia="Arial" w:hint="default"/>
                <w:spacing w:val="51"/>
                <w:sz w:val="24"/>
                <w:szCs w:val="24"/>
              </w:rPr>
              <w:t> </w:t>
            </w:r>
            <w:r>
              <w:rPr>
                <w:rFonts w:ascii="宋体" w:hAnsi="宋体" w:cs="宋体" w:eastAsia="宋体" w:hint="default"/>
                <w:sz w:val="24"/>
                <w:szCs w:val="24"/>
              </w:rPr>
              <w:t>日，本集团无以本公司股东苏宁电器集团 有限公司提供的担保作为保证开立的银行承兑汇票。</w:t>
            </w:r>
          </w:p>
        </w:tc>
      </w:tr>
    </w:tbl>
    <w:p>
      <w:pPr>
        <w:spacing w:after="0" w:line="312" w:lineRule="exact"/>
        <w:jc w:val="left"/>
        <w:rPr>
          <w:rFonts w:ascii="宋体" w:hAnsi="宋体" w:cs="宋体" w:eastAsia="宋体"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p>
      <w:pPr>
        <w:spacing w:line="20" w:lineRule="exact"/>
        <w:ind w:left="8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p>
      <w:pPr>
        <w:pStyle w:val="Heading2"/>
        <w:tabs>
          <w:tab w:pos="1016" w:val="left" w:leader="none"/>
        </w:tabs>
        <w:spacing w:line="240" w:lineRule="auto"/>
        <w:ind w:left="307" w:right="423"/>
        <w:jc w:val="left"/>
        <w:rPr>
          <w:rFonts w:ascii="Arial" w:hAnsi="Arial" w:cs="Arial" w:eastAsia="Arial" w:hint="default"/>
          <w:b w:val="0"/>
          <w:bCs w:val="0"/>
        </w:rPr>
      </w:pPr>
      <w:r>
        <w:rPr>
          <w:w w:val="95"/>
        </w:rPr>
        <w:t>五</w:t>
        <w:tab/>
      </w:r>
      <w:r>
        <w:rPr/>
        <w:t>合并财务报表项目附注</w:t>
      </w:r>
      <w:r>
        <w:rPr>
          <w:rFonts w:ascii="Arial" w:hAnsi="Arial" w:cs="Arial" w:eastAsia="Arial" w:hint="default"/>
        </w:rPr>
        <w:t>(</w:t>
      </w:r>
      <w:r>
        <w:rPr/>
        <w:t>续</w:t>
      </w:r>
      <w:r>
        <w:rPr>
          <w:rFonts w:ascii="Arial" w:hAnsi="Arial" w:cs="Arial" w:eastAsia="Arial" w:hint="default"/>
        </w:rPr>
        <w:t>)</w:t>
      </w:r>
      <w:r>
        <w:rPr>
          <w:rFonts w:ascii="Arial" w:hAnsi="Arial" w:cs="Arial" w:eastAsia="Arial" w:hint="default"/>
          <w:b w:val="0"/>
          <w:bCs w:val="0"/>
        </w:rPr>
      </w:r>
    </w:p>
    <w:p>
      <w:pPr>
        <w:spacing w:line="240" w:lineRule="auto" w:before="4"/>
        <w:rPr>
          <w:rFonts w:ascii="Arial" w:hAnsi="Arial" w:cs="Arial" w:eastAsia="Arial" w:hint="default"/>
          <w:b/>
          <w:bCs/>
          <w:sz w:val="22"/>
          <w:szCs w:val="22"/>
        </w:rPr>
      </w:pPr>
    </w:p>
    <w:p>
      <w:pPr>
        <w:tabs>
          <w:tab w:pos="1016" w:val="left" w:leader="none"/>
        </w:tabs>
        <w:spacing w:before="0"/>
        <w:ind w:left="307" w:right="423" w:firstLine="0"/>
        <w:jc w:val="left"/>
        <w:rPr>
          <w:rFonts w:ascii="宋体" w:hAnsi="宋体" w:cs="宋体" w:eastAsia="宋体" w:hint="default"/>
          <w:sz w:val="24"/>
          <w:szCs w:val="24"/>
        </w:rPr>
      </w:pPr>
      <w:r>
        <w:rPr>
          <w:rFonts w:ascii="Arial" w:hAnsi="Arial" w:cs="Arial" w:eastAsia="Arial" w:hint="default"/>
          <w:w w:val="95"/>
          <w:position w:val="2"/>
          <w:sz w:val="24"/>
          <w:szCs w:val="24"/>
        </w:rPr>
        <w:t>(20)</w:t>
        <w:tab/>
      </w:r>
      <w:r>
        <w:rPr>
          <w:rFonts w:ascii="宋体" w:hAnsi="宋体" w:cs="宋体" w:eastAsia="宋体" w:hint="default"/>
          <w:b/>
          <w:bCs/>
          <w:sz w:val="24"/>
          <w:szCs w:val="24"/>
        </w:rPr>
        <w:t>应付账款</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214" w:val="left" w:leader="none"/>
        </w:tabs>
        <w:spacing w:line="240" w:lineRule="auto" w:before="26"/>
        <w:ind w:left="4038" w:right="0"/>
        <w:jc w:val="center"/>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7"/>
        <w:rPr>
          <w:rFonts w:ascii="宋体" w:hAnsi="宋体" w:cs="宋体" w:eastAsia="宋体" w:hint="default"/>
          <w:sz w:val="19"/>
          <w:szCs w:val="19"/>
        </w:rPr>
      </w:pPr>
    </w:p>
    <w:p>
      <w:pPr>
        <w:pStyle w:val="BodyText"/>
        <w:tabs>
          <w:tab w:pos="4729" w:val="left" w:leader="none"/>
          <w:tab w:pos="5872" w:val="left" w:leader="none"/>
          <w:tab w:pos="7768" w:val="left" w:leader="none"/>
          <w:tab w:pos="9053" w:val="left" w:leader="none"/>
          <w:tab w:pos="10274" w:val="left" w:leader="none"/>
        </w:tabs>
        <w:spacing w:line="240" w:lineRule="auto" w:before="0"/>
        <w:ind w:left="1011" w:right="423"/>
        <w:jc w:val="left"/>
        <w:rPr>
          <w:rFonts w:ascii="Arial" w:hAnsi="Arial" w:cs="Arial" w:eastAsia="Arial" w:hint="default"/>
        </w:rPr>
      </w:pPr>
      <w:r>
        <w:rPr>
          <w:position w:val="2"/>
        </w:rPr>
        <w:t>应付货款</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8,525,857</w:t>
      </w:r>
      <w:r>
        <w:rPr>
          <w:rFonts w:ascii="Arial" w:hAnsi="Arial" w:cs="Arial" w:eastAsia="Arial" w:hint="default"/>
          <w:spacing w:val="-1"/>
        </w:rPr>
        <w:tab/>
      </w:r>
      <w:r>
        <w:rPr>
          <w:rFonts w:ascii="Arial" w:hAnsi="Arial" w:cs="Arial" w:eastAsia="Arial" w:hint="default"/>
          <w:spacing w:val="-1"/>
          <w:u w:val="single" w:color="000000"/>
        </w:rPr>
        <w:t> </w:t>
        <w:tab/>
        <w:t>6,839,024</w:t>
        <w:tab/>
      </w:r>
      <w:r>
        <w:rPr>
          <w:rFonts w:ascii="Arial" w:hAnsi="Arial" w:cs="Arial" w:eastAsia="Arial" w:hint="default"/>
          <w:spacing w:val="-1"/>
        </w:rPr>
      </w:r>
    </w:p>
    <w:p>
      <w:pPr>
        <w:pStyle w:val="BodyText"/>
        <w:tabs>
          <w:tab w:pos="5060" w:val="left" w:leader="none"/>
          <w:tab w:pos="6956" w:val="left" w:leader="none"/>
          <w:tab w:pos="8241" w:val="left" w:leader="none"/>
          <w:tab w:pos="9462" w:val="left" w:leader="none"/>
        </w:tabs>
        <w:spacing w:line="240" w:lineRule="auto" w:before="9"/>
        <w:ind w:left="3917" w:right="0"/>
        <w:jc w:val="center"/>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spacing w:val="-1"/>
          <w:u w:val="thick" w:color="000000"/>
        </w:rPr>
        <w:t>8,525,857</w:t>
      </w:r>
      <w:r>
        <w:rPr>
          <w:rFonts w:ascii="Arial"/>
          <w:spacing w:val="-1"/>
        </w:rPr>
        <w:tab/>
      </w:r>
      <w:r>
        <w:rPr>
          <w:rFonts w:ascii="Arial"/>
          <w:spacing w:val="-1"/>
          <w:u w:val="thick" w:color="000000"/>
        </w:rPr>
        <w:t> </w:t>
        <w:tab/>
        <w:t>6,839,024</w:t>
        <w:tab/>
      </w:r>
      <w:r>
        <w:rPr>
          <w:rFonts w:ascii="Arial"/>
          <w:spacing w:val="-1"/>
        </w:rPr>
      </w:r>
    </w:p>
    <w:p>
      <w:pPr>
        <w:spacing w:line="240" w:lineRule="auto" w:before="8"/>
        <w:rPr>
          <w:rFonts w:ascii="Arial" w:hAnsi="Arial" w:cs="Arial" w:eastAsia="Arial" w:hint="default"/>
          <w:sz w:val="20"/>
          <w:szCs w:val="20"/>
        </w:rPr>
      </w:pPr>
    </w:p>
    <w:p>
      <w:pPr>
        <w:pStyle w:val="BodyText"/>
        <w:tabs>
          <w:tab w:pos="1016" w:val="left" w:leader="none"/>
        </w:tabs>
        <w:spacing w:line="322" w:lineRule="exact" w:before="31"/>
        <w:ind w:left="315" w:right="423"/>
        <w:jc w:val="left"/>
        <w:rPr>
          <w:rFonts w:ascii="Arial" w:hAnsi="Arial" w:cs="Arial" w:eastAsia="Arial" w:hint="default"/>
        </w:rPr>
      </w:pPr>
      <w:r>
        <w:rPr>
          <w:rFonts w:ascii="Arial" w:hAnsi="Arial" w:cs="Arial" w:eastAsia="Arial" w:hint="default"/>
          <w:w w:val="99"/>
          <w:position w:val="2"/>
        </w:rPr>
        <w:t>(a)</w:t>
      </w:r>
      <w:r>
        <w:rPr>
          <w:rFonts w:ascii="Arial" w:hAnsi="Arial" w:cs="Arial" w:eastAsia="Arial" w:hint="default"/>
          <w:position w:val="2"/>
        </w:rPr>
        <w:tab/>
      </w:r>
      <w:r>
        <w:rPr/>
        <w:t>于</w:t>
      </w:r>
      <w:r>
        <w:rPr>
          <w:spacing w:val="-63"/>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8"/>
        </w:rPr>
        <w:t> </w:t>
      </w:r>
      <w:r>
        <w:rPr/>
        <w:t>年</w:t>
      </w:r>
      <w:r>
        <w:rPr>
          <w:spacing w:val="-65"/>
        </w:rPr>
        <w:t> </w:t>
      </w:r>
      <w:r>
        <w:rPr>
          <w:rFonts w:ascii="Arial" w:hAnsi="Arial" w:cs="Arial" w:eastAsia="Arial" w:hint="default"/>
          <w:w w:val="99"/>
        </w:rPr>
        <w:t>12</w:t>
      </w:r>
      <w:r>
        <w:rPr>
          <w:rFonts w:ascii="Arial" w:hAnsi="Arial" w:cs="Arial" w:eastAsia="Arial" w:hint="default"/>
          <w:spacing w:val="-9"/>
        </w:rPr>
        <w:t> </w:t>
      </w:r>
      <w:r>
        <w:rPr/>
        <w:t>月</w:t>
      </w:r>
      <w:r>
        <w:rPr>
          <w:spacing w:val="-65"/>
        </w:rPr>
        <w:t> </w:t>
      </w:r>
      <w:r>
        <w:rPr>
          <w:rFonts w:ascii="Arial" w:hAnsi="Arial" w:cs="Arial" w:eastAsia="Arial" w:hint="default"/>
          <w:w w:val="99"/>
        </w:rPr>
        <w:t>31</w:t>
      </w:r>
      <w:r>
        <w:rPr>
          <w:rFonts w:ascii="Arial" w:hAnsi="Arial" w:cs="Arial" w:eastAsia="Arial" w:hint="default"/>
          <w:spacing w:val="-8"/>
        </w:rPr>
        <w:t> </w:t>
      </w:r>
      <w:r>
        <w:rPr>
          <w:spacing w:val="-3"/>
        </w:rPr>
        <w:t>日</w:t>
      </w:r>
      <w:r>
        <w:rPr/>
        <w:t>及</w:t>
      </w:r>
      <w:r>
        <w:rPr>
          <w:spacing w:val="-63"/>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8"/>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9"/>
        </w:rPr>
        <w:t> </w:t>
      </w:r>
      <w:r>
        <w:rPr/>
        <w:t>月</w:t>
      </w:r>
      <w:r>
        <w:rPr>
          <w:spacing w:val="-63"/>
        </w:rPr>
        <w:t> </w:t>
      </w:r>
      <w:r>
        <w:rPr>
          <w:rFonts w:ascii="Arial" w:hAnsi="Arial" w:cs="Arial" w:eastAsia="Arial" w:hint="default"/>
          <w:spacing w:val="-2"/>
          <w:w w:val="99"/>
        </w:rPr>
        <w:t>3</w:t>
      </w:r>
      <w:r>
        <w:rPr>
          <w:rFonts w:ascii="Arial" w:hAnsi="Arial" w:cs="Arial" w:eastAsia="Arial" w:hint="default"/>
          <w:w w:val="99"/>
        </w:rPr>
        <w:t>1</w:t>
      </w:r>
      <w:r>
        <w:rPr>
          <w:rFonts w:ascii="Arial" w:hAnsi="Arial" w:cs="Arial" w:eastAsia="Arial" w:hint="default"/>
          <w:spacing w:val="-8"/>
        </w:rPr>
        <w:t> </w:t>
      </w:r>
      <w:r>
        <w:rPr>
          <w:spacing w:val="-3"/>
        </w:rPr>
        <w:t>日</w:t>
      </w:r>
      <w:r>
        <w:rPr>
          <w:spacing w:val="-120"/>
        </w:rPr>
        <w:t>，</w:t>
      </w:r>
      <w:r>
        <w:rPr/>
        <w:t>应付账款中无应付持有本公司</w:t>
      </w:r>
      <w:r>
        <w:rPr>
          <w:spacing w:val="-62"/>
        </w:rPr>
        <w:t> </w:t>
      </w:r>
      <w:r>
        <w:rPr>
          <w:rFonts w:ascii="Arial" w:hAnsi="Arial" w:cs="Arial" w:eastAsia="Arial" w:hint="default"/>
          <w:w w:val="99"/>
        </w:rPr>
        <w:t>5</w:t>
      </w:r>
      <w:r>
        <w:rPr>
          <w:rFonts w:ascii="Arial" w:hAnsi="Arial" w:cs="Arial" w:eastAsia="Arial" w:hint="default"/>
          <w:w w:val="99"/>
        </w:rPr>
        <w:t>%</w:t>
      </w:r>
      <w:r>
        <w:rPr>
          <w:rFonts w:ascii="Arial" w:hAnsi="Arial" w:cs="Arial" w:eastAsia="Arial" w:hint="default"/>
          <w:spacing w:val="-1"/>
          <w:w w:val="99"/>
        </w:rPr>
        <w:t>(</w:t>
      </w:r>
      <w:r>
        <w:rPr/>
        <w:t>含</w:t>
      </w:r>
      <w:r>
        <w:rPr>
          <w:spacing w:val="-63"/>
        </w:rPr>
        <w:t> </w:t>
      </w:r>
      <w:r>
        <w:rPr>
          <w:rFonts w:ascii="Arial" w:hAnsi="Arial" w:cs="Arial" w:eastAsia="Arial" w:hint="default"/>
          <w:w w:val="99"/>
        </w:rPr>
        <w:t>5</w:t>
      </w:r>
      <w:r>
        <w:rPr>
          <w:rFonts w:ascii="Arial" w:hAnsi="Arial" w:cs="Arial" w:eastAsia="Arial" w:hint="default"/>
          <w:w w:val="99"/>
        </w:rPr>
        <w:t>%)</w:t>
      </w:r>
      <w:r>
        <w:rPr>
          <w:rFonts w:ascii="Arial" w:hAnsi="Arial" w:cs="Arial" w:eastAsia="Arial" w:hint="default"/>
        </w:rPr>
      </w:r>
    </w:p>
    <w:p>
      <w:pPr>
        <w:pStyle w:val="BodyText"/>
        <w:spacing w:line="304" w:lineRule="exact" w:before="0"/>
        <w:ind w:left="1016" w:right="423"/>
        <w:jc w:val="left"/>
      </w:pPr>
      <w:r>
        <w:rPr/>
        <w:t>以上表决权股份的股东的款项。</w:t>
      </w:r>
    </w:p>
    <w:p>
      <w:pPr>
        <w:spacing w:line="240" w:lineRule="auto" w:before="12"/>
        <w:rPr>
          <w:rFonts w:ascii="宋体" w:hAnsi="宋体" w:cs="宋体" w:eastAsia="宋体" w:hint="default"/>
          <w:sz w:val="20"/>
          <w:szCs w:val="20"/>
        </w:rPr>
      </w:pPr>
    </w:p>
    <w:p>
      <w:pPr>
        <w:pStyle w:val="BodyText"/>
        <w:tabs>
          <w:tab w:pos="1016" w:val="left" w:leader="none"/>
        </w:tabs>
        <w:spacing w:line="240" w:lineRule="auto" w:before="0"/>
        <w:ind w:left="315" w:right="423"/>
        <w:jc w:val="left"/>
      </w:pPr>
      <w:r>
        <w:rPr>
          <w:rFonts w:ascii="Arial" w:hAnsi="Arial" w:cs="Arial" w:eastAsia="Arial" w:hint="default"/>
          <w:w w:val="95"/>
          <w:position w:val="2"/>
        </w:rPr>
        <w:t>(b)</w:t>
        <w:tab/>
      </w:r>
      <w:r>
        <w:rPr/>
        <w:t>于</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日及</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日，应付账款中无应付关联方的款项。</w:t>
      </w:r>
    </w:p>
    <w:p>
      <w:pPr>
        <w:spacing w:line="240" w:lineRule="auto" w:before="8"/>
        <w:rPr>
          <w:rFonts w:ascii="宋体" w:hAnsi="宋体" w:cs="宋体" w:eastAsia="宋体" w:hint="default"/>
          <w:sz w:val="19"/>
          <w:szCs w:val="19"/>
        </w:rPr>
      </w:pPr>
    </w:p>
    <w:p>
      <w:pPr>
        <w:pStyle w:val="BodyText"/>
        <w:tabs>
          <w:tab w:pos="1016" w:val="left" w:leader="none"/>
        </w:tabs>
        <w:spacing w:line="322" w:lineRule="exact" w:before="0"/>
        <w:ind w:left="315" w:right="423"/>
        <w:jc w:val="left"/>
      </w:pPr>
      <w:r>
        <w:rPr>
          <w:rFonts w:ascii="Arial" w:hAnsi="Arial" w:cs="Arial" w:eastAsia="Arial" w:hint="default"/>
          <w:position w:val="2"/>
        </w:rPr>
        <w:t>(c)</w:t>
        <w:tab/>
      </w:r>
      <w:r>
        <w:rPr/>
        <w:t>于</w:t>
      </w:r>
      <w:r>
        <w:rPr>
          <w:spacing w:val="-54"/>
        </w:rPr>
        <w:t> </w:t>
      </w:r>
      <w:r>
        <w:rPr>
          <w:rFonts w:ascii="Arial" w:hAnsi="Arial" w:cs="Arial" w:eastAsia="Arial" w:hint="default"/>
          <w:spacing w:val="-4"/>
        </w:rPr>
        <w:t>2011</w:t>
      </w:r>
      <w:r>
        <w:rPr>
          <w:rFonts w:ascii="Arial" w:hAnsi="Arial" w:cs="Arial" w:eastAsia="Arial" w:hint="default"/>
        </w:rPr>
        <w:t>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w:t>
      </w:r>
      <w:r>
        <w:rPr>
          <w:rFonts w:ascii="Arial" w:hAnsi="Arial" w:cs="Arial" w:eastAsia="Arial" w:hint="default"/>
          <w:spacing w:val="1"/>
        </w:rPr>
        <w:t> </w:t>
      </w:r>
      <w:r>
        <w:rPr/>
        <w:t>日，账龄超过一年的应付账款约人民币</w:t>
      </w:r>
      <w:r>
        <w:rPr>
          <w:spacing w:val="-54"/>
        </w:rPr>
        <w:t> </w:t>
      </w:r>
      <w:r>
        <w:rPr>
          <w:rFonts w:ascii="Arial" w:hAnsi="Arial" w:cs="Arial" w:eastAsia="Arial" w:hint="default"/>
        </w:rPr>
        <w:t>10,707</w:t>
      </w:r>
      <w:r>
        <w:rPr>
          <w:rFonts w:ascii="Arial" w:hAnsi="Arial" w:cs="Arial" w:eastAsia="Arial" w:hint="default"/>
          <w:spacing w:val="-2"/>
        </w:rPr>
        <w:t> </w:t>
      </w:r>
      <w:r>
        <w:rPr/>
        <w:t>万元</w:t>
      </w:r>
      <w:r>
        <w:rPr>
          <w:rFonts w:ascii="Arial" w:hAnsi="Arial" w:cs="Arial" w:eastAsia="Arial" w:hint="default"/>
        </w:rPr>
        <w:t>(2010 </w:t>
      </w:r>
      <w:r>
        <w:rPr/>
        <w:t>年</w:t>
      </w:r>
      <w:r>
        <w:rPr>
          <w:spacing w:val="-54"/>
        </w:rPr>
        <w:t> </w:t>
      </w:r>
      <w:r>
        <w:rPr>
          <w:rFonts w:ascii="Arial" w:hAnsi="Arial" w:cs="Arial" w:eastAsia="Arial" w:hint="default"/>
        </w:rPr>
        <w:t>12 </w:t>
      </w:r>
      <w:r>
        <w:rPr/>
        <w:t>月</w:t>
      </w:r>
    </w:p>
    <w:p>
      <w:pPr>
        <w:pStyle w:val="BodyText"/>
        <w:spacing w:line="312" w:lineRule="exact" w:before="0"/>
        <w:ind w:left="1016" w:right="423"/>
        <w:jc w:val="left"/>
      </w:pPr>
      <w:r>
        <w:rPr>
          <w:rFonts w:ascii="Arial" w:hAnsi="Arial" w:cs="Arial" w:eastAsia="Arial" w:hint="default"/>
        </w:rPr>
        <w:t>31 </w:t>
      </w:r>
      <w:r>
        <w:rPr/>
        <w:t>日：约人民币 </w:t>
      </w:r>
      <w:r>
        <w:rPr>
          <w:rFonts w:ascii="Arial" w:hAnsi="Arial" w:cs="Arial" w:eastAsia="Arial" w:hint="default"/>
        </w:rPr>
        <w:t>9,395 </w:t>
      </w:r>
      <w:r>
        <w:rPr/>
        <w:t>万元</w:t>
      </w:r>
      <w:r>
        <w:rPr>
          <w:rFonts w:ascii="Arial" w:hAnsi="Arial" w:cs="Arial" w:eastAsia="Arial" w:hint="default"/>
        </w:rPr>
        <w:t>)</w:t>
      </w:r>
      <w:r>
        <w:rPr>
          <w:rFonts w:ascii="Arial" w:hAnsi="Arial" w:cs="Arial" w:eastAsia="Arial" w:hint="default"/>
          <w:spacing w:val="-18"/>
        </w:rPr>
        <w:t> </w:t>
      </w:r>
      <w:r>
        <w:rPr/>
        <w:t>，主要为以前年度滚存的供应商货款，供应商未及时与本</w:t>
      </w:r>
    </w:p>
    <w:p>
      <w:pPr>
        <w:pStyle w:val="BodyText"/>
        <w:spacing w:line="322" w:lineRule="exact" w:before="0"/>
        <w:ind w:left="1016" w:right="423"/>
        <w:jc w:val="left"/>
      </w:pPr>
      <w:r>
        <w:rPr/>
        <w:t>集团进行结算，截至本财务报表批准报出日止，已偿还约人民币</w:t>
      </w:r>
      <w:r>
        <w:rPr>
          <w:spacing w:val="-82"/>
        </w:rPr>
        <w:t> </w:t>
      </w:r>
      <w:r>
        <w:rPr>
          <w:rFonts w:ascii="Arial" w:hAnsi="Arial" w:cs="Arial" w:eastAsia="Arial" w:hint="default"/>
        </w:rPr>
        <w:t>2,800</w:t>
      </w:r>
      <w:r>
        <w:rPr>
          <w:rFonts w:ascii="Arial" w:hAnsi="Arial" w:cs="Arial" w:eastAsia="Arial" w:hint="default"/>
          <w:spacing w:val="-29"/>
        </w:rPr>
        <w:t> </w:t>
      </w:r>
      <w:r>
        <w:rPr/>
        <w:t>万元</w:t>
      </w:r>
      <w:r>
        <w:rPr>
          <w:rFonts w:ascii="Arial" w:hAnsi="Arial" w:cs="Arial" w:eastAsia="Arial" w:hint="default"/>
        </w:rPr>
        <w:t>(</w:t>
      </w:r>
      <w:r>
        <w:rPr/>
        <w:t>附注九</w:t>
      </w:r>
      <w:r>
        <w:rPr>
          <w:rFonts w:ascii="Arial" w:hAnsi="Arial" w:cs="Arial" w:eastAsia="Arial" w:hint="default"/>
        </w:rPr>
        <w:t>(1))</w:t>
      </w:r>
      <w:r>
        <w:rPr/>
        <w:t>。</w:t>
      </w:r>
    </w:p>
    <w:p>
      <w:pPr>
        <w:spacing w:line="240" w:lineRule="auto" w:before="8"/>
        <w:rPr>
          <w:rFonts w:ascii="宋体" w:hAnsi="宋体" w:cs="宋体" w:eastAsia="宋体" w:hint="default"/>
          <w:sz w:val="19"/>
          <w:szCs w:val="19"/>
        </w:rPr>
      </w:pPr>
    </w:p>
    <w:p>
      <w:pPr>
        <w:pStyle w:val="BodyText"/>
        <w:tabs>
          <w:tab w:pos="1016" w:val="left" w:leader="none"/>
        </w:tabs>
        <w:spacing w:line="240" w:lineRule="auto" w:before="0"/>
        <w:ind w:left="315" w:right="423"/>
        <w:jc w:val="left"/>
      </w:pPr>
      <w:r>
        <w:rPr>
          <w:rFonts w:ascii="Arial" w:hAnsi="Arial" w:cs="Arial" w:eastAsia="Arial" w:hint="default"/>
          <w:w w:val="95"/>
          <w:position w:val="2"/>
        </w:rPr>
        <w:t>(d)</w:t>
        <w:tab/>
      </w:r>
      <w:r>
        <w:rPr/>
        <w:t>应付账款中包括以下外币余额：</w:t>
      </w:r>
    </w:p>
    <w:p>
      <w:pPr>
        <w:spacing w:line="240" w:lineRule="auto" w:before="4"/>
        <w:rPr>
          <w:rFonts w:ascii="宋体" w:hAnsi="宋体" w:cs="宋体" w:eastAsia="宋体" w:hint="default"/>
          <w:sz w:val="26"/>
          <w:szCs w:val="26"/>
        </w:rPr>
      </w:pPr>
    </w:p>
    <w:tbl>
      <w:tblPr>
        <w:tblW w:w="0" w:type="auto"/>
        <w:jc w:val="left"/>
        <w:tblInd w:w="924" w:type="dxa"/>
        <w:tblLayout w:type="fixed"/>
        <w:tblCellMar>
          <w:top w:w="0" w:type="dxa"/>
          <w:left w:w="0" w:type="dxa"/>
          <w:bottom w:w="0" w:type="dxa"/>
          <w:right w:w="0" w:type="dxa"/>
        </w:tblCellMar>
        <w:tblLook w:val="01E0"/>
      </w:tblPr>
      <w:tblGrid>
        <w:gridCol w:w="1261"/>
        <w:gridCol w:w="1365"/>
        <w:gridCol w:w="1194"/>
        <w:gridCol w:w="1289"/>
        <w:gridCol w:w="295"/>
        <w:gridCol w:w="1258"/>
        <w:gridCol w:w="1225"/>
        <w:gridCol w:w="1255"/>
      </w:tblGrid>
      <w:tr>
        <w:trPr>
          <w:trHeight w:val="261" w:hRule="exact"/>
        </w:trPr>
        <w:tc>
          <w:tcPr>
            <w:tcW w:w="5109" w:type="dxa"/>
            <w:gridSpan w:val="4"/>
            <w:tcBorders>
              <w:top w:val="nil" w:sz="6" w:space="0" w:color="auto"/>
              <w:left w:val="nil" w:sz="6" w:space="0" w:color="auto"/>
              <w:bottom w:val="nil" w:sz="6" w:space="0" w:color="auto"/>
              <w:right w:val="nil" w:sz="6" w:space="0" w:color="auto"/>
            </w:tcBorders>
          </w:tcPr>
          <w:p>
            <w:pPr>
              <w:pStyle w:val="TableParagraph"/>
              <w:spacing w:line="226" w:lineRule="exact"/>
              <w:ind w:left="228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33" w:type="dxa"/>
            <w:gridSpan w:val="4"/>
            <w:tcBorders>
              <w:top w:val="nil" w:sz="6" w:space="0" w:color="auto"/>
              <w:left w:val="nil" w:sz="6" w:space="0" w:color="auto"/>
              <w:bottom w:val="nil" w:sz="6" w:space="0" w:color="auto"/>
              <w:right w:val="nil" w:sz="6" w:space="0" w:color="auto"/>
            </w:tcBorders>
          </w:tcPr>
          <w:p>
            <w:pPr>
              <w:pStyle w:val="TableParagraph"/>
              <w:spacing w:line="226" w:lineRule="exact"/>
              <w:ind w:left="125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08" w:hRule="exact"/>
        </w:trPr>
        <w:tc>
          <w:tcPr>
            <w:tcW w:w="1261" w:type="dxa"/>
            <w:tcBorders>
              <w:top w:val="nil" w:sz="6" w:space="0" w:color="auto"/>
              <w:left w:val="nil" w:sz="6" w:space="0" w:color="auto"/>
              <w:bottom w:val="nil" w:sz="6" w:space="0" w:color="auto"/>
              <w:right w:val="nil" w:sz="6" w:space="0" w:color="auto"/>
            </w:tcBorders>
          </w:tcPr>
          <w:p>
            <w:pPr/>
          </w:p>
        </w:tc>
        <w:tc>
          <w:tcPr>
            <w:tcW w:w="1365" w:type="dxa"/>
            <w:tcBorders>
              <w:top w:val="single" w:sz="12" w:space="0" w:color="000000"/>
              <w:left w:val="nil" w:sz="6" w:space="0" w:color="auto"/>
              <w:bottom w:val="nil" w:sz="6" w:space="0" w:color="auto"/>
              <w:right w:val="nil" w:sz="6" w:space="0" w:color="auto"/>
            </w:tcBorders>
          </w:tcPr>
          <w:p>
            <w:pPr>
              <w:pStyle w:val="TableParagraph"/>
              <w:spacing w:line="241" w:lineRule="exact"/>
              <w:ind w:right="282"/>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194" w:type="dxa"/>
            <w:tcBorders>
              <w:top w:val="single" w:sz="12" w:space="0" w:color="000000"/>
              <w:left w:val="nil" w:sz="6" w:space="0" w:color="auto"/>
              <w:bottom w:val="nil" w:sz="6" w:space="0" w:color="auto"/>
              <w:right w:val="nil" w:sz="6" w:space="0" w:color="auto"/>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289" w:type="dxa"/>
            <w:tcBorders>
              <w:top w:val="single" w:sz="12" w:space="0" w:color="000000"/>
              <w:left w:val="nil" w:sz="6" w:space="0" w:color="auto"/>
              <w:bottom w:val="nil" w:sz="6" w:space="0" w:color="auto"/>
              <w:right w:val="nil" w:sz="6" w:space="0" w:color="auto"/>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295" w:type="dxa"/>
            <w:tcBorders>
              <w:top w:val="nil" w:sz="6" w:space="0" w:color="auto"/>
              <w:left w:val="nil" w:sz="6" w:space="0" w:color="auto"/>
              <w:bottom w:val="nil" w:sz="6" w:space="0" w:color="auto"/>
              <w:right w:val="nil" w:sz="6" w:space="0" w:color="auto"/>
            </w:tcBorders>
          </w:tcPr>
          <w:p>
            <w:pPr/>
          </w:p>
        </w:tc>
        <w:tc>
          <w:tcPr>
            <w:tcW w:w="1258" w:type="dxa"/>
            <w:tcBorders>
              <w:top w:val="single" w:sz="12" w:space="0" w:color="000000"/>
              <w:left w:val="nil" w:sz="6" w:space="0" w:color="auto"/>
              <w:bottom w:val="nil" w:sz="6" w:space="0" w:color="auto"/>
              <w:right w:val="nil" w:sz="6" w:space="0" w:color="auto"/>
            </w:tcBorders>
          </w:tcPr>
          <w:p>
            <w:pPr>
              <w:pStyle w:val="TableParagraph"/>
              <w:spacing w:line="241" w:lineRule="exact"/>
              <w:ind w:right="213"/>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1225" w:type="dxa"/>
            <w:tcBorders>
              <w:top w:val="single" w:sz="12" w:space="0" w:color="000000"/>
              <w:left w:val="nil" w:sz="6" w:space="0" w:color="auto"/>
              <w:bottom w:val="nil" w:sz="6" w:space="0" w:color="auto"/>
              <w:right w:val="nil" w:sz="6" w:space="0" w:color="auto"/>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z w:val="21"/>
                <w:szCs w:val="21"/>
              </w:rPr>
              <w:t>汇率</w:t>
            </w:r>
          </w:p>
        </w:tc>
        <w:tc>
          <w:tcPr>
            <w:tcW w:w="1255" w:type="dxa"/>
            <w:tcBorders>
              <w:top w:val="single" w:sz="12" w:space="0" w:color="000000"/>
              <w:left w:val="nil" w:sz="6" w:space="0" w:color="auto"/>
              <w:bottom w:val="nil" w:sz="6" w:space="0" w:color="auto"/>
              <w:right w:val="nil" w:sz="6" w:space="0" w:color="auto"/>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40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83"/>
              <w:jc w:val="right"/>
              <w:rPr>
                <w:rFonts w:ascii="Arial" w:hAnsi="Arial" w:cs="Arial" w:eastAsia="Arial" w:hint="default"/>
                <w:sz w:val="21"/>
                <w:szCs w:val="21"/>
              </w:rPr>
            </w:pPr>
            <w:r>
              <w:rPr>
                <w:rFonts w:ascii="Arial"/>
                <w:spacing w:val="-1"/>
                <w:sz w:val="21"/>
              </w:rPr>
              <w:t>120,984</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 w:right="0"/>
              <w:jc w:val="center"/>
              <w:rPr>
                <w:rFonts w:ascii="Arial" w:hAnsi="Arial" w:cs="Arial" w:eastAsia="Arial" w:hint="default"/>
                <w:sz w:val="21"/>
                <w:szCs w:val="21"/>
              </w:rPr>
            </w:pPr>
            <w:r>
              <w:rPr>
                <w:rFonts w:ascii="Arial"/>
                <w:sz w:val="21"/>
              </w:rPr>
              <w:t>0.8107</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78"/>
              <w:jc w:val="right"/>
              <w:rPr>
                <w:rFonts w:ascii="Arial" w:hAnsi="Arial" w:cs="Arial" w:eastAsia="Arial" w:hint="default"/>
                <w:sz w:val="21"/>
                <w:szCs w:val="21"/>
              </w:rPr>
            </w:pPr>
            <w:r>
              <w:rPr>
                <w:rFonts w:ascii="Arial"/>
                <w:spacing w:val="-1"/>
                <w:sz w:val="21"/>
              </w:rPr>
              <w:t>98,082</w:t>
            </w:r>
          </w:p>
        </w:tc>
        <w:tc>
          <w:tcPr>
            <w:tcW w:w="29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9"/>
              <w:jc w:val="right"/>
              <w:rPr>
                <w:rFonts w:ascii="Arial" w:hAnsi="Arial" w:cs="Arial" w:eastAsia="Arial" w:hint="default"/>
                <w:sz w:val="21"/>
                <w:szCs w:val="21"/>
              </w:rPr>
            </w:pPr>
            <w:r>
              <w:rPr>
                <w:rFonts w:ascii="Arial"/>
                <w:spacing w:val="-1"/>
                <w:sz w:val="21"/>
              </w:rPr>
              <w:t>69,730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15" w:right="0"/>
              <w:jc w:val="left"/>
              <w:rPr>
                <w:rFonts w:ascii="Arial" w:hAnsi="Arial" w:cs="Arial" w:eastAsia="Arial" w:hint="default"/>
                <w:sz w:val="21"/>
                <w:szCs w:val="21"/>
              </w:rPr>
            </w:pPr>
            <w:r>
              <w:rPr>
                <w:rFonts w:ascii="Arial"/>
                <w:sz w:val="21"/>
              </w:rPr>
              <w:t>0.8509</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16"/>
              <w:jc w:val="right"/>
              <w:rPr>
                <w:rFonts w:ascii="Arial" w:hAnsi="Arial" w:cs="Arial" w:eastAsia="Arial" w:hint="default"/>
                <w:sz w:val="21"/>
                <w:szCs w:val="21"/>
              </w:rPr>
            </w:pPr>
            <w:r>
              <w:rPr>
                <w:rFonts w:ascii="Arial"/>
                <w:spacing w:val="-1"/>
                <w:sz w:val="21"/>
              </w:rPr>
              <w:t>59,333</w:t>
            </w:r>
          </w:p>
        </w:tc>
      </w:tr>
      <w:tr>
        <w:trPr>
          <w:trHeight w:val="274"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3"/>
              <w:jc w:val="right"/>
              <w:rPr>
                <w:rFonts w:ascii="Arial" w:hAnsi="Arial" w:cs="Arial" w:eastAsia="Arial" w:hint="default"/>
                <w:sz w:val="21"/>
                <w:szCs w:val="21"/>
              </w:rPr>
            </w:pPr>
            <w:r>
              <w:rPr>
                <w:rFonts w:ascii="Arial"/>
                <w:spacing w:val="-1"/>
                <w:sz w:val="21"/>
              </w:rPr>
              <w:t>300,593</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 w:right="0"/>
              <w:jc w:val="center"/>
              <w:rPr>
                <w:rFonts w:ascii="Arial" w:hAnsi="Arial" w:cs="Arial" w:eastAsia="Arial" w:hint="default"/>
                <w:sz w:val="21"/>
                <w:szCs w:val="21"/>
              </w:rPr>
            </w:pPr>
            <w:r>
              <w:rPr>
                <w:rFonts w:ascii="Arial"/>
                <w:spacing w:val="-4"/>
                <w:sz w:val="21"/>
              </w:rPr>
              <w:t>0.0811</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Arial" w:hAnsi="Arial" w:cs="Arial" w:eastAsia="Arial" w:hint="default"/>
                <w:sz w:val="21"/>
                <w:szCs w:val="21"/>
              </w:rPr>
            </w:pPr>
            <w:r>
              <w:rPr>
                <w:rFonts w:ascii="Arial"/>
                <w:spacing w:val="-1"/>
                <w:sz w:val="21"/>
              </w:rPr>
              <w:t>24,378</w:t>
            </w:r>
          </w:p>
        </w:tc>
        <w:tc>
          <w:tcPr>
            <w:tcW w:w="29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70"/>
              <w:jc w:val="right"/>
              <w:rPr>
                <w:rFonts w:ascii="Arial" w:hAnsi="Arial" w:cs="Arial" w:eastAsia="Arial" w:hint="default"/>
                <w:sz w:val="21"/>
                <w:szCs w:val="21"/>
              </w:rPr>
            </w:pPr>
            <w:r>
              <w:rPr>
                <w:rFonts w:ascii="Arial"/>
                <w:w w:val="100"/>
                <w:sz w:val="21"/>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2"/>
              <w:jc w:val="right"/>
              <w:rPr>
                <w:rFonts w:ascii="Arial" w:hAnsi="Arial" w:cs="Arial" w:eastAsia="Arial" w:hint="default"/>
                <w:sz w:val="21"/>
                <w:szCs w:val="21"/>
              </w:rPr>
            </w:pPr>
            <w:r>
              <w:rPr>
                <w:rFonts w:ascii="Arial"/>
                <w:w w:val="100"/>
                <w:sz w:val="21"/>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1"/>
                <w:szCs w:val="21"/>
              </w:rPr>
            </w:pPr>
            <w:r>
              <w:rPr>
                <w:rFonts w:ascii="Arial"/>
                <w:w w:val="100"/>
                <w:sz w:val="21"/>
              </w:rPr>
              <w:t>-</w:t>
            </w:r>
          </w:p>
        </w:tc>
      </w:tr>
      <w:tr>
        <w:trPr>
          <w:trHeight w:val="273"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4"/>
              <w:jc w:val="right"/>
              <w:rPr>
                <w:rFonts w:ascii="Arial" w:hAnsi="Arial" w:cs="Arial" w:eastAsia="Arial" w:hint="default"/>
                <w:sz w:val="21"/>
                <w:szCs w:val="21"/>
              </w:rPr>
            </w:pPr>
            <w:r>
              <w:rPr>
                <w:rFonts w:ascii="Arial"/>
                <w:w w:val="100"/>
                <w:sz w:val="21"/>
              </w:rPr>
              <w:t>5</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 w:right="0"/>
              <w:jc w:val="center"/>
              <w:rPr>
                <w:rFonts w:ascii="Arial" w:hAnsi="Arial" w:cs="Arial" w:eastAsia="Arial" w:hint="default"/>
                <w:sz w:val="21"/>
                <w:szCs w:val="21"/>
              </w:rPr>
            </w:pPr>
            <w:r>
              <w:rPr>
                <w:rFonts w:ascii="Arial"/>
                <w:sz w:val="21"/>
              </w:rPr>
              <w:t>6.3009</w:t>
            </w:r>
          </w:p>
        </w:tc>
        <w:tc>
          <w:tcPr>
            <w:tcW w:w="1289" w:type="dxa"/>
            <w:tcBorders>
              <w:top w:val="nil" w:sz="6" w:space="0" w:color="auto"/>
              <w:left w:val="nil" w:sz="6" w:space="0" w:color="auto"/>
              <w:bottom w:val="nil" w:sz="6" w:space="0" w:color="auto"/>
              <w:right w:val="nil" w:sz="6" w:space="0" w:color="auto"/>
            </w:tcBorders>
          </w:tcPr>
          <w:p>
            <w:pPr>
              <w:pStyle w:val="TableParagraph"/>
              <w:tabs>
                <w:tab w:pos="960" w:val="left" w:leader="none"/>
                <w:tab w:pos="1274" w:val="left" w:leader="none"/>
              </w:tabs>
              <w:spacing w:line="240" w:lineRule="auto" w:before="1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32</w:t>
              <w:tab/>
            </w:r>
            <w:r>
              <w:rPr>
                <w:rFonts w:ascii="Arial"/>
                <w:sz w:val="21"/>
              </w:rPr>
            </w:r>
          </w:p>
        </w:tc>
        <w:tc>
          <w:tcPr>
            <w:tcW w:w="29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0"/>
              <w:jc w:val="right"/>
              <w:rPr>
                <w:rFonts w:ascii="Arial" w:hAnsi="Arial" w:cs="Arial" w:eastAsia="Arial" w:hint="default"/>
                <w:sz w:val="21"/>
                <w:szCs w:val="21"/>
              </w:rPr>
            </w:pPr>
            <w:r>
              <w:rPr>
                <w:rFonts w:ascii="Arial"/>
                <w:w w:val="100"/>
                <w:sz w:val="21"/>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2"/>
              <w:jc w:val="right"/>
              <w:rPr>
                <w:rFonts w:ascii="Arial" w:hAnsi="Arial" w:cs="Arial" w:eastAsia="Arial" w:hint="default"/>
                <w:sz w:val="21"/>
                <w:szCs w:val="21"/>
              </w:rPr>
            </w:pPr>
            <w:r>
              <w:rPr>
                <w:rFonts w:ascii="Arial"/>
                <w:w w:val="100"/>
                <w:sz w:val="21"/>
              </w:rPr>
              <w:t>-</w:t>
            </w:r>
          </w:p>
        </w:tc>
        <w:tc>
          <w:tcPr>
            <w:tcW w:w="1255" w:type="dxa"/>
            <w:tcBorders>
              <w:top w:val="nil" w:sz="6" w:space="0" w:color="auto"/>
              <w:left w:val="nil" w:sz="6" w:space="0" w:color="auto"/>
              <w:bottom w:val="nil" w:sz="6" w:space="0" w:color="auto"/>
              <w:right w:val="nil" w:sz="6" w:space="0" w:color="auto"/>
            </w:tcBorders>
          </w:tcPr>
          <w:p>
            <w:pPr>
              <w:pStyle w:val="TableParagraph"/>
              <w:tabs>
                <w:tab w:pos="1051" w:val="left" w:leader="none"/>
                <w:tab w:pos="1240" w:val="left" w:leader="none"/>
              </w:tabs>
              <w:spacing w:line="240" w:lineRule="auto" w:before="1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256" w:hRule="exact"/>
        </w:trPr>
        <w:tc>
          <w:tcPr>
            <w:tcW w:w="1261"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36" w:lineRule="exact"/>
              <w:ind w:right="77"/>
              <w:jc w:val="right"/>
              <w:rPr>
                <w:rFonts w:ascii="Arial" w:hAnsi="Arial" w:cs="Arial" w:eastAsia="Arial" w:hint="default"/>
                <w:sz w:val="21"/>
                <w:szCs w:val="21"/>
              </w:rPr>
            </w:pPr>
            <w:r>
              <w:rPr>
                <w:rFonts w:ascii="Arial"/>
                <w:spacing w:val="-1"/>
                <w:sz w:val="21"/>
              </w:rPr>
              <w:t>122,492</w:t>
            </w:r>
          </w:p>
        </w:tc>
        <w:tc>
          <w:tcPr>
            <w:tcW w:w="29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12" w:space="0" w:color="000000"/>
              <w:right w:val="nil" w:sz="6" w:space="0" w:color="auto"/>
            </w:tcBorders>
          </w:tcPr>
          <w:p>
            <w:pPr>
              <w:pStyle w:val="TableParagraph"/>
              <w:spacing w:line="236" w:lineRule="exact"/>
              <w:ind w:right="116"/>
              <w:jc w:val="right"/>
              <w:rPr>
                <w:rFonts w:ascii="Arial" w:hAnsi="Arial" w:cs="Arial" w:eastAsia="Arial" w:hint="default"/>
                <w:sz w:val="21"/>
                <w:szCs w:val="21"/>
              </w:rPr>
            </w:pPr>
            <w:r>
              <w:rPr>
                <w:rFonts w:ascii="Arial"/>
                <w:spacing w:val="-1"/>
                <w:sz w:val="21"/>
              </w:rPr>
              <w:t>59,333</w:t>
            </w:r>
          </w:p>
        </w:tc>
      </w:tr>
    </w:tbl>
    <w:p>
      <w:pPr>
        <w:spacing w:line="240" w:lineRule="auto" w:before="9"/>
        <w:rPr>
          <w:rFonts w:ascii="宋体" w:hAnsi="宋体" w:cs="宋体" w:eastAsia="宋体"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70"/>
        <w:gridCol w:w="3324"/>
        <w:gridCol w:w="3530"/>
        <w:gridCol w:w="2664"/>
      </w:tblGrid>
      <w:tr>
        <w:trPr>
          <w:trHeight w:val="41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(21)</w:t>
            </w:r>
          </w:p>
        </w:tc>
        <w:tc>
          <w:tcPr>
            <w:tcW w:w="3324" w:type="dxa"/>
            <w:tcBorders>
              <w:top w:val="nil" w:sz="6" w:space="0" w:color="auto"/>
              <w:left w:val="nil" w:sz="6" w:space="0" w:color="auto"/>
              <w:bottom w:val="nil" w:sz="6" w:space="0" w:color="auto"/>
              <w:right w:val="nil" w:sz="6" w:space="0" w:color="auto"/>
            </w:tcBorders>
          </w:tcPr>
          <w:p>
            <w:pPr>
              <w:pStyle w:val="TableParagraph"/>
              <w:spacing w:line="245" w:lineRule="exact"/>
              <w:ind w:left="141" w:right="0"/>
              <w:jc w:val="left"/>
              <w:rPr>
                <w:rFonts w:ascii="宋体" w:hAnsi="宋体" w:cs="宋体" w:eastAsia="宋体" w:hint="default"/>
                <w:sz w:val="24"/>
                <w:szCs w:val="24"/>
              </w:rPr>
            </w:pPr>
            <w:r>
              <w:rPr>
                <w:rFonts w:ascii="宋体" w:hAnsi="宋体" w:cs="宋体" w:eastAsia="宋体" w:hint="default"/>
                <w:b/>
                <w:bCs/>
                <w:sz w:val="24"/>
                <w:szCs w:val="24"/>
              </w:rPr>
              <w:t>预收款项</w:t>
            </w:r>
            <w:r>
              <w:rPr>
                <w:rFonts w:ascii="宋体" w:hAnsi="宋体" w:cs="宋体" w:eastAsia="宋体" w:hint="default"/>
                <w:sz w:val="24"/>
                <w:szCs w:val="24"/>
              </w:rPr>
            </w:r>
          </w:p>
        </w:tc>
        <w:tc>
          <w:tcPr>
            <w:tcW w:w="3530"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
        </w:tc>
      </w:tr>
      <w:tr>
        <w:trPr>
          <w:trHeight w:val="604" w:hRule="exact"/>
        </w:trPr>
        <w:tc>
          <w:tcPr>
            <w:tcW w:w="770" w:type="dxa"/>
            <w:tcBorders>
              <w:top w:val="nil" w:sz="6" w:space="0" w:color="auto"/>
              <w:left w:val="nil" w:sz="6" w:space="0" w:color="auto"/>
              <w:bottom w:val="nil" w:sz="6" w:space="0" w:color="auto"/>
              <w:right w:val="nil" w:sz="6" w:space="0" w:color="auto"/>
            </w:tcBorders>
          </w:tcPr>
          <w:p>
            <w:pPr/>
          </w:p>
        </w:tc>
        <w:tc>
          <w:tcPr>
            <w:tcW w:w="3324" w:type="dxa"/>
            <w:tcBorders>
              <w:top w:val="nil" w:sz="6" w:space="0" w:color="auto"/>
              <w:left w:val="nil" w:sz="6" w:space="0" w:color="auto"/>
              <w:bottom w:val="nil" w:sz="6" w:space="0" w:color="auto"/>
              <w:right w:val="nil" w:sz="6" w:space="0" w:color="auto"/>
            </w:tcBorders>
          </w:tcPr>
          <w:p>
            <w:pP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1"/>
              <w:jc w:val="righ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8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tc>
      </w:tr>
      <w:tr>
        <w:trPr>
          <w:trHeight w:val="474" w:hRule="exact"/>
        </w:trPr>
        <w:tc>
          <w:tcPr>
            <w:tcW w:w="770" w:type="dxa"/>
            <w:tcBorders>
              <w:top w:val="nil" w:sz="6" w:space="0" w:color="auto"/>
              <w:left w:val="nil" w:sz="6" w:space="0" w:color="auto"/>
              <w:bottom w:val="nil" w:sz="6" w:space="0" w:color="auto"/>
              <w:right w:val="nil" w:sz="6" w:space="0" w:color="auto"/>
            </w:tcBorders>
          </w:tcPr>
          <w:p>
            <w:pPr/>
          </w:p>
        </w:tc>
        <w:tc>
          <w:tcPr>
            <w:tcW w:w="332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1" w:right="0"/>
              <w:jc w:val="left"/>
              <w:rPr>
                <w:rFonts w:ascii="宋体" w:hAnsi="宋体" w:cs="宋体" w:eastAsia="宋体" w:hint="default"/>
                <w:sz w:val="24"/>
                <w:szCs w:val="24"/>
              </w:rPr>
            </w:pPr>
            <w:r>
              <w:rPr>
                <w:rFonts w:ascii="宋体" w:hAnsi="宋体" w:cs="宋体" w:eastAsia="宋体" w:hint="default"/>
                <w:sz w:val="24"/>
                <w:szCs w:val="24"/>
              </w:rPr>
              <w:t>预收货款</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22" w:right="0"/>
              <w:jc w:val="left"/>
              <w:rPr>
                <w:rFonts w:ascii="Arial" w:hAnsi="Arial" w:cs="Arial" w:eastAsia="Arial" w:hint="default"/>
                <w:sz w:val="24"/>
                <w:szCs w:val="24"/>
              </w:rPr>
            </w:pPr>
            <w:r>
              <w:rPr>
                <w:rFonts w:ascii="Arial"/>
                <w:sz w:val="24"/>
              </w:rPr>
              <w:t>322,947</w:t>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549" w:right="0"/>
              <w:jc w:val="left"/>
              <w:rPr>
                <w:rFonts w:ascii="Arial" w:hAnsi="Arial" w:cs="Arial" w:eastAsia="Arial" w:hint="default"/>
                <w:sz w:val="24"/>
                <w:szCs w:val="24"/>
              </w:rPr>
            </w:pPr>
            <w:r>
              <w:rPr>
                <w:rFonts w:ascii="Arial"/>
                <w:sz w:val="24"/>
              </w:rPr>
              <w:t>356,143</w:t>
            </w:r>
          </w:p>
        </w:tc>
      </w:tr>
      <w:tr>
        <w:trPr>
          <w:trHeight w:val="319" w:hRule="exact"/>
        </w:trPr>
        <w:tc>
          <w:tcPr>
            <w:tcW w:w="770" w:type="dxa"/>
            <w:tcBorders>
              <w:top w:val="nil" w:sz="6" w:space="0" w:color="auto"/>
              <w:left w:val="nil" w:sz="6" w:space="0" w:color="auto"/>
              <w:bottom w:val="nil" w:sz="6" w:space="0" w:color="auto"/>
              <w:right w:val="nil" w:sz="6" w:space="0" w:color="auto"/>
            </w:tcBorders>
          </w:tcPr>
          <w:p>
            <w:pPr/>
          </w:p>
        </w:tc>
        <w:tc>
          <w:tcPr>
            <w:tcW w:w="3324" w:type="dxa"/>
            <w:tcBorders>
              <w:top w:val="nil" w:sz="6" w:space="0" w:color="auto"/>
              <w:left w:val="nil" w:sz="6" w:space="0" w:color="auto"/>
              <w:bottom w:val="nil" w:sz="6" w:space="0" w:color="auto"/>
              <w:right w:val="nil" w:sz="6" w:space="0" w:color="auto"/>
            </w:tcBorders>
          </w:tcPr>
          <w:p>
            <w:pPr>
              <w:pStyle w:val="TableParagraph"/>
              <w:spacing w:line="265" w:lineRule="exact"/>
              <w:ind w:left="141" w:right="0"/>
              <w:jc w:val="left"/>
              <w:rPr>
                <w:rFonts w:ascii="宋体" w:hAnsi="宋体" w:cs="宋体" w:eastAsia="宋体" w:hint="default"/>
                <w:sz w:val="24"/>
                <w:szCs w:val="24"/>
              </w:rPr>
            </w:pPr>
            <w:r>
              <w:rPr>
                <w:rFonts w:ascii="宋体" w:hAnsi="宋体" w:cs="宋体" w:eastAsia="宋体" w:hint="default"/>
                <w:sz w:val="24"/>
                <w:szCs w:val="24"/>
              </w:rPr>
              <w:t>预收房租</w:t>
            </w:r>
          </w:p>
        </w:tc>
        <w:tc>
          <w:tcPr>
            <w:tcW w:w="3530" w:type="dxa"/>
            <w:tcBorders>
              <w:top w:val="nil" w:sz="6" w:space="0" w:color="auto"/>
              <w:left w:val="nil" w:sz="6" w:space="0" w:color="auto"/>
              <w:bottom w:val="nil" w:sz="6" w:space="0" w:color="auto"/>
              <w:right w:val="nil" w:sz="6" w:space="0" w:color="auto"/>
            </w:tcBorders>
          </w:tcPr>
          <w:p>
            <w:pPr>
              <w:pStyle w:val="TableParagraph"/>
              <w:tabs>
                <w:tab w:pos="1394" w:val="left" w:leader="none"/>
                <w:tab w:pos="2265" w:val="left" w:leader="none"/>
              </w:tabs>
              <w:spacing w:line="240" w:lineRule="auto" w:before="25"/>
              <w:ind w:right="30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27,104</w:t>
              <w:tab/>
            </w:r>
            <w:r>
              <w:rPr>
                <w:rFonts w:ascii="Arial"/>
                <w:spacing w:val="-1"/>
                <w:sz w:val="24"/>
              </w:rPr>
            </w:r>
          </w:p>
        </w:tc>
        <w:tc>
          <w:tcPr>
            <w:tcW w:w="2664" w:type="dxa"/>
            <w:tcBorders>
              <w:top w:val="nil" w:sz="6" w:space="0" w:color="auto"/>
              <w:left w:val="nil" w:sz="6" w:space="0" w:color="auto"/>
              <w:bottom w:val="nil" w:sz="6" w:space="0" w:color="auto"/>
              <w:right w:val="nil" w:sz="6" w:space="0" w:color="auto"/>
            </w:tcBorders>
          </w:tcPr>
          <w:p>
            <w:pPr>
              <w:pStyle w:val="TableParagraph"/>
              <w:tabs>
                <w:tab w:pos="1408" w:val="left" w:leader="none"/>
                <w:tab w:pos="2270" w:val="left" w:leader="none"/>
              </w:tabs>
              <w:spacing w:line="240" w:lineRule="auto" w:before="25"/>
              <w:ind w:right="11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37,677</w:t>
              <w:tab/>
            </w:r>
            <w:r>
              <w:rPr>
                <w:rFonts w:ascii="Arial"/>
                <w:spacing w:val="-1"/>
                <w:sz w:val="24"/>
              </w:rPr>
            </w:r>
          </w:p>
        </w:tc>
      </w:tr>
      <w:tr>
        <w:trPr>
          <w:trHeight w:val="434" w:hRule="exact"/>
        </w:trPr>
        <w:tc>
          <w:tcPr>
            <w:tcW w:w="770" w:type="dxa"/>
            <w:tcBorders>
              <w:top w:val="nil" w:sz="6" w:space="0" w:color="auto"/>
              <w:left w:val="nil" w:sz="6" w:space="0" w:color="auto"/>
              <w:bottom w:val="nil" w:sz="6" w:space="0" w:color="auto"/>
              <w:right w:val="nil" w:sz="6" w:space="0" w:color="auto"/>
            </w:tcBorders>
          </w:tcPr>
          <w:p>
            <w:pPr/>
          </w:p>
        </w:tc>
        <w:tc>
          <w:tcPr>
            <w:tcW w:w="3324" w:type="dxa"/>
            <w:tcBorders>
              <w:top w:val="nil" w:sz="6" w:space="0" w:color="auto"/>
              <w:left w:val="nil" w:sz="6" w:space="0" w:color="auto"/>
              <w:bottom w:val="nil" w:sz="6" w:space="0" w:color="auto"/>
              <w:right w:val="nil" w:sz="6" w:space="0" w:color="auto"/>
            </w:tcBorders>
          </w:tcPr>
          <w:p>
            <w:pPr/>
          </w:p>
        </w:tc>
        <w:tc>
          <w:tcPr>
            <w:tcW w:w="3530" w:type="dxa"/>
            <w:tcBorders>
              <w:top w:val="nil" w:sz="6" w:space="0" w:color="auto"/>
              <w:left w:val="nil" w:sz="6" w:space="0" w:color="auto"/>
              <w:bottom w:val="nil" w:sz="6" w:space="0" w:color="auto"/>
              <w:right w:val="nil" w:sz="6" w:space="0" w:color="auto"/>
            </w:tcBorders>
          </w:tcPr>
          <w:p>
            <w:pPr>
              <w:pStyle w:val="TableParagraph"/>
              <w:tabs>
                <w:tab w:pos="1262" w:val="left" w:leader="none"/>
                <w:tab w:pos="2265" w:val="left" w:leader="none"/>
              </w:tabs>
              <w:spacing w:line="268" w:lineRule="exact"/>
              <w:ind w:right="30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350,051</w:t>
              <w:tab/>
            </w:r>
            <w:r>
              <w:rPr>
                <w:rFonts w:ascii="Arial"/>
                <w:spacing w:val="-1"/>
                <w:sz w:val="24"/>
              </w:rPr>
            </w:r>
          </w:p>
        </w:tc>
        <w:tc>
          <w:tcPr>
            <w:tcW w:w="2664" w:type="dxa"/>
            <w:tcBorders>
              <w:top w:val="nil" w:sz="6" w:space="0" w:color="auto"/>
              <w:left w:val="nil" w:sz="6" w:space="0" w:color="auto"/>
              <w:bottom w:val="nil" w:sz="6" w:space="0" w:color="auto"/>
              <w:right w:val="nil" w:sz="6" w:space="0" w:color="auto"/>
            </w:tcBorders>
          </w:tcPr>
          <w:p>
            <w:pPr>
              <w:pStyle w:val="TableParagraph"/>
              <w:tabs>
                <w:tab w:pos="1276" w:val="left" w:leader="none"/>
                <w:tab w:pos="2279" w:val="left" w:leader="none"/>
              </w:tabs>
              <w:spacing w:line="268" w:lineRule="exact"/>
              <w:ind w:right="10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393,820</w:t>
              <w:tab/>
            </w:r>
            <w:r>
              <w:rPr>
                <w:rFonts w:ascii="Arial"/>
                <w:spacing w:val="-1"/>
                <w:sz w:val="24"/>
              </w:rPr>
            </w:r>
          </w:p>
        </w:tc>
      </w:tr>
      <w:tr>
        <w:trPr>
          <w:trHeight w:val="900"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518"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2"/>
              <w:ind w:left="141"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Arial" w:hAnsi="Arial" w:cs="Arial" w:eastAsia="Arial" w:hint="default"/>
                <w:w w:val="99"/>
                <w:sz w:val="24"/>
                <w:szCs w:val="24"/>
              </w:rPr>
              <w:t>2</w:t>
            </w:r>
            <w:r>
              <w:rPr>
                <w:rFonts w:ascii="Arial" w:hAnsi="Arial" w:cs="Arial" w:eastAsia="Arial" w:hint="default"/>
                <w:spacing w:val="-2"/>
                <w:w w:val="99"/>
                <w:sz w:val="24"/>
                <w:szCs w:val="24"/>
              </w:rPr>
              <w:t>0</w:t>
            </w:r>
            <w:r>
              <w:rPr>
                <w:rFonts w:ascii="Arial" w:hAnsi="Arial" w:cs="Arial" w:eastAsia="Arial" w:hint="default"/>
                <w:spacing w:val="-16"/>
                <w:w w:val="99"/>
                <w:sz w:val="24"/>
                <w:szCs w:val="24"/>
              </w:rPr>
              <w:t>1</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Arial" w:hAnsi="Arial" w:cs="Arial" w:eastAsia="Arial" w:hint="default"/>
                <w:w w:val="99"/>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Arial" w:hAnsi="Arial" w:cs="Arial" w:eastAsia="Arial" w:hint="default"/>
                <w:w w:val="99"/>
                <w:sz w:val="24"/>
                <w:szCs w:val="24"/>
              </w:rPr>
              <w:t>31</w:t>
            </w:r>
            <w:r>
              <w:rPr>
                <w:rFonts w:ascii="Arial" w:hAnsi="Arial" w:cs="Arial" w:eastAsia="Arial" w:hint="default"/>
                <w:spacing w:val="-10"/>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及</w:t>
            </w:r>
            <w:r>
              <w:rPr>
                <w:rFonts w:ascii="宋体" w:hAnsi="宋体" w:cs="宋体" w:eastAsia="宋体" w:hint="default"/>
                <w:spacing w:val="-65"/>
                <w:sz w:val="24"/>
                <w:szCs w:val="24"/>
              </w:rPr>
              <w:t> </w:t>
            </w:r>
            <w:r>
              <w:rPr>
                <w:rFonts w:ascii="Arial" w:hAnsi="Arial" w:cs="Arial" w:eastAsia="Arial" w:hint="default"/>
                <w:w w:val="99"/>
                <w:sz w:val="24"/>
                <w:szCs w:val="24"/>
              </w:rPr>
              <w:t>20</w:t>
            </w:r>
            <w:r>
              <w:rPr>
                <w:rFonts w:ascii="Arial" w:hAnsi="Arial" w:cs="Arial" w:eastAsia="Arial" w:hint="default"/>
                <w:spacing w:val="-2"/>
                <w:w w:val="99"/>
                <w:sz w:val="24"/>
                <w:szCs w:val="24"/>
              </w:rPr>
              <w:t>1</w:t>
            </w:r>
            <w:r>
              <w:rPr>
                <w:rFonts w:ascii="Arial" w:hAnsi="Arial" w:cs="Arial" w:eastAsia="Arial" w:hint="default"/>
                <w:w w:val="99"/>
                <w:sz w:val="24"/>
                <w:szCs w:val="24"/>
              </w:rPr>
              <w:t>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pacing w:val="-2"/>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pacing w:val="-2"/>
                <w:w w:val="99"/>
                <w:sz w:val="24"/>
                <w:szCs w:val="24"/>
              </w:rPr>
              <w:t>3</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pacing w:val="-2"/>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预收款项中无预收持有本公司</w:t>
            </w:r>
            <w:r>
              <w:rPr>
                <w:rFonts w:ascii="宋体" w:hAnsi="宋体" w:cs="宋体" w:eastAsia="宋体" w:hint="default"/>
                <w:spacing w:val="-65"/>
                <w:sz w:val="24"/>
                <w:szCs w:val="24"/>
              </w:rPr>
              <w:t> </w:t>
            </w:r>
            <w:r>
              <w:rPr>
                <w:rFonts w:ascii="Arial" w:hAnsi="Arial" w:cs="Arial" w:eastAsia="Arial" w:hint="default"/>
                <w:w w:val="99"/>
                <w:sz w:val="24"/>
                <w:szCs w:val="24"/>
              </w:rPr>
              <w:t>5</w:t>
            </w:r>
            <w:r>
              <w:rPr>
                <w:rFonts w:ascii="Arial" w:hAnsi="Arial" w:cs="Arial" w:eastAsia="Arial" w:hint="default"/>
                <w:w w:val="99"/>
                <w:sz w:val="24"/>
                <w:szCs w:val="24"/>
              </w:rPr>
              <w:t>%</w:t>
            </w:r>
            <w:r>
              <w:rPr>
                <w:rFonts w:ascii="Arial" w:hAnsi="Arial" w:cs="Arial" w:eastAsia="Arial" w:hint="default"/>
                <w:spacing w:val="-1"/>
                <w:w w:val="99"/>
                <w:sz w:val="24"/>
                <w:szCs w:val="24"/>
              </w:rPr>
              <w:t>(</w:t>
            </w:r>
            <w:r>
              <w:rPr>
                <w:rFonts w:ascii="宋体" w:hAnsi="宋体" w:cs="宋体" w:eastAsia="宋体" w:hint="default"/>
                <w:sz w:val="24"/>
                <w:szCs w:val="24"/>
              </w:rPr>
              <w:t>含</w:t>
            </w:r>
            <w:r>
              <w:rPr>
                <w:rFonts w:ascii="宋体" w:hAnsi="宋体" w:cs="宋体" w:eastAsia="宋体" w:hint="default"/>
                <w:spacing w:val="-65"/>
                <w:sz w:val="24"/>
                <w:szCs w:val="24"/>
              </w:rPr>
              <w:t> </w:t>
            </w:r>
            <w:r>
              <w:rPr>
                <w:rFonts w:ascii="Arial" w:hAnsi="Arial" w:cs="Arial" w:eastAsia="Arial" w:hint="default"/>
                <w:w w:val="99"/>
                <w:sz w:val="24"/>
                <w:szCs w:val="24"/>
              </w:rPr>
              <w:t>5</w:t>
            </w:r>
            <w:r>
              <w:rPr>
                <w:rFonts w:ascii="Arial" w:hAnsi="Arial" w:cs="Arial" w:eastAsia="Arial" w:hint="default"/>
                <w:w w:val="99"/>
                <w:sz w:val="24"/>
                <w:szCs w:val="24"/>
              </w:rPr>
              <w:t>%)</w:t>
            </w:r>
            <w:r>
              <w:rPr>
                <w:rFonts w:ascii="Arial" w:hAnsi="Arial" w:cs="Arial" w:eastAsia="Arial" w:hint="default"/>
                <w:sz w:val="24"/>
                <w:szCs w:val="24"/>
              </w:rPr>
            </w:r>
          </w:p>
          <w:p>
            <w:pPr>
              <w:pStyle w:val="TableParagraph"/>
              <w:spacing w:line="304" w:lineRule="exact"/>
              <w:ind w:left="141" w:right="0"/>
              <w:jc w:val="left"/>
              <w:rPr>
                <w:rFonts w:ascii="宋体" w:hAnsi="宋体" w:cs="宋体" w:eastAsia="宋体" w:hint="default"/>
                <w:sz w:val="24"/>
                <w:szCs w:val="24"/>
              </w:rPr>
            </w:pPr>
            <w:r>
              <w:rPr>
                <w:rFonts w:ascii="宋体" w:hAnsi="宋体" w:cs="宋体" w:eastAsia="宋体" w:hint="default"/>
                <w:sz w:val="24"/>
                <w:szCs w:val="24"/>
              </w:rPr>
              <w:t>以上表决权股份的股东的款项。</w:t>
            </w:r>
          </w:p>
        </w:tc>
      </w:tr>
      <w:tr>
        <w:trPr>
          <w:trHeight w:val="428"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5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141"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日，预收账款中无预收关联方的款项。</w:t>
            </w:r>
          </w:p>
        </w:tc>
      </w:tr>
    </w:tbl>
    <w:p>
      <w:pPr>
        <w:spacing w:after="0" w:line="240" w:lineRule="auto"/>
        <w:jc w:val="left"/>
        <w:rPr>
          <w:rFonts w:ascii="宋体" w:hAnsi="宋体" w:cs="宋体" w:eastAsia="宋体" w:hint="default"/>
          <w:sz w:val="24"/>
          <w:szCs w:val="24"/>
        </w:rPr>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728" coordorigin="1700,2309" coordsize="8798,2">
            <v:shape style="position:absolute;left:1700;top:2309;width:8798;height:2" coordorigin="1700,2309" coordsize="8798,0" path="m1700,2309l10497,2309e" filled="false" stroked="true" strokeweight=".71999pt" strokecolor="#000000">
              <v:path arrowok="t"/>
            </v:shape>
            <w10:wrap type="none"/>
          </v:group>
        </w:pict>
      </w:r>
      <w:r>
        <w:rPr/>
        <w:pict>
          <v:group style="position:absolute;margin-left:149.779999pt;margin-top:286.969971pt;width:191.7pt;height:1.45pt;mso-position-horizontal-relative:page;mso-position-vertical-relative:page;z-index:-1358704" coordorigin="2996,5739" coordsize="3834,29">
            <v:group style="position:absolute;left:3010;top:5754;width:1163;height:2" coordorigin="3010,5754" coordsize="1163,2">
              <v:shape style="position:absolute;left:3010;top:5754;width:1163;height:2" coordorigin="3010,5754" coordsize="1163,0" path="m3010,5754l4172,5754e" filled="false" stroked="true" strokeweight="1.44pt" strokecolor="#000000">
                <v:path arrowok="t"/>
              </v:shape>
            </v:group>
            <v:group style="position:absolute;left:4172;top:5754;width:29;height:2" coordorigin="4172,5754" coordsize="29,2">
              <v:shape style="position:absolute;left:4172;top:5754;width:29;height:2" coordorigin="4172,5754" coordsize="29,0" path="m4172,5754l4201,5754e" filled="false" stroked="true" strokeweight="1.44pt" strokecolor="#000000">
                <v:path arrowok="t"/>
              </v:shape>
            </v:group>
            <v:group style="position:absolute;left:4201;top:5754;width:228;height:2" coordorigin="4201,5754" coordsize="228,2">
              <v:shape style="position:absolute;left:4201;top:5754;width:228;height:2" coordorigin="4201,5754" coordsize="228,0" path="m4201,5754l4429,5754e" filled="false" stroked="true" strokeweight="1.44pt" strokecolor="#000000">
                <v:path arrowok="t"/>
              </v:shape>
            </v:group>
            <v:group style="position:absolute;left:4429;top:5754;width:29;height:2" coordorigin="4429,5754" coordsize="29,2">
              <v:shape style="position:absolute;left:4429;top:5754;width:29;height:2" coordorigin="4429,5754" coordsize="29,0" path="m4429,5754l4458,5754e" filled="false" stroked="true" strokeweight="1.44pt" strokecolor="#000000">
                <v:path arrowok="t"/>
              </v:shape>
            </v:group>
            <v:group style="position:absolute;left:4458;top:5754;width:824;height:2" coordorigin="4458,5754" coordsize="824,2">
              <v:shape style="position:absolute;left:4458;top:5754;width:824;height:2" coordorigin="4458,5754" coordsize="824,0" path="m4458,5754l5281,5754e" filled="false" stroked="true" strokeweight="1.44pt" strokecolor="#000000">
                <v:path arrowok="t"/>
              </v:shape>
            </v:group>
            <v:group style="position:absolute;left:5281;top:5754;width:29;height:2" coordorigin="5281,5754" coordsize="29,2">
              <v:shape style="position:absolute;left:5281;top:5754;width:29;height:2" coordorigin="5281,5754" coordsize="29,0" path="m5281,5754l5310,5754e" filled="false" stroked="true" strokeweight="1.44pt" strokecolor="#000000">
                <v:path arrowok="t"/>
              </v:shape>
            </v:group>
            <v:group style="position:absolute;left:5310;top:5754;width:228;height:2" coordorigin="5310,5754" coordsize="228,2">
              <v:shape style="position:absolute;left:5310;top:5754;width:228;height:2" coordorigin="5310,5754" coordsize="228,0" path="m5310,5754l5538,5754e" filled="false" stroked="true" strokeweight="1.44pt" strokecolor="#000000">
                <v:path arrowok="t"/>
              </v:shape>
            </v:group>
            <v:group style="position:absolute;left:5538;top:5754;width:29;height:2" coordorigin="5538,5754" coordsize="29,2">
              <v:shape style="position:absolute;left:5538;top:5754;width:29;height:2" coordorigin="5538,5754" coordsize="29,0" path="m5538,5754l5567,5754e" filled="false" stroked="true" strokeweight="1.44pt" strokecolor="#000000">
                <v:path arrowok="t"/>
              </v:shape>
            </v:group>
            <v:group style="position:absolute;left:5567;top:5754;width:1249;height:2" coordorigin="5567,5754" coordsize="1249,2">
              <v:shape style="position:absolute;left:5567;top:5754;width:1249;height:2" coordorigin="5567,5754" coordsize="1249,0" path="m5567,5754l6815,5754e" filled="false" stroked="true" strokeweight="1.44pt" strokecolor="#000000">
                <v:path arrowok="t"/>
              </v:shape>
            </v:group>
            <w10:wrap type="none"/>
          </v:group>
        </w:pict>
      </w:r>
      <w:r>
        <w:rPr/>
        <w:pict>
          <v:group style="position:absolute;margin-left:354.670013pt;margin-top:286.969971pt;width:188.45pt;height:1.45pt;mso-position-horizontal-relative:page;mso-position-vertical-relative:page;z-index:-1358680" coordorigin="7093,5739" coordsize="3769,29">
            <v:group style="position:absolute;left:7108;top:5754;width:1126;height:2" coordorigin="7108,5754" coordsize="1126,2">
              <v:shape style="position:absolute;left:7108;top:5754;width:1126;height:2" coordorigin="7108,5754" coordsize="1126,0" path="m7108,5754l8233,5754e" filled="false" stroked="true" strokeweight="1.44pt" strokecolor="#000000">
                <v:path arrowok="t"/>
              </v:shape>
            </v:group>
            <v:group style="position:absolute;left:8233;top:5754;width:29;height:2" coordorigin="8233,5754" coordsize="29,2">
              <v:shape style="position:absolute;left:8233;top:5754;width:29;height:2" coordorigin="8233,5754" coordsize="29,0" path="m8233,5754l8262,5754e" filled="false" stroked="true" strokeweight="1.44pt" strokecolor="#000000">
                <v:path arrowok="t"/>
              </v:shape>
            </v:group>
            <v:group style="position:absolute;left:8262;top:5754;width:207;height:2" coordorigin="8262,5754" coordsize="207,2">
              <v:shape style="position:absolute;left:8262;top:5754;width:207;height:2" coordorigin="8262,5754" coordsize="207,0" path="m8262,5754l8469,5754e" filled="false" stroked="true" strokeweight="1.44pt" strokecolor="#000000">
                <v:path arrowok="t"/>
              </v:shape>
            </v:group>
            <v:group style="position:absolute;left:8469;top:5754;width:29;height:2" coordorigin="8469,5754" coordsize="29,2">
              <v:shape style="position:absolute;left:8469;top:5754;width:29;height:2" coordorigin="8469,5754" coordsize="29,0" path="m8469,5754l8497,5754e" filled="false" stroked="true" strokeweight="1.44pt" strokecolor="#000000">
                <v:path arrowok="t"/>
              </v:shape>
            </v:group>
            <v:group style="position:absolute;left:8497;top:5754;width:870;height:2" coordorigin="8497,5754" coordsize="870,2">
              <v:shape style="position:absolute;left:8497;top:5754;width:870;height:2" coordorigin="8497,5754" coordsize="870,0" path="m8497,5754l9367,5754e" filled="false" stroked="true" strokeweight="1.44pt" strokecolor="#000000">
                <v:path arrowok="t"/>
              </v:shape>
            </v:group>
            <v:group style="position:absolute;left:9367;top:5754;width:29;height:2" coordorigin="9367,5754" coordsize="29,2">
              <v:shape style="position:absolute;left:9367;top:5754;width:29;height:2" coordorigin="9367,5754" coordsize="29,0" path="m9367,5754l9396,5754e" filled="false" stroked="true" strokeweight="1.44pt" strokecolor="#000000">
                <v:path arrowok="t"/>
              </v:shape>
            </v:group>
            <v:group style="position:absolute;left:9396;top:5754;width:209;height:2" coordorigin="9396,5754" coordsize="209,2">
              <v:shape style="position:absolute;left:9396;top:5754;width:209;height:2" coordorigin="9396,5754" coordsize="209,0" path="m9396,5754l9604,5754e" filled="false" stroked="true" strokeweight="1.44pt" strokecolor="#000000">
                <v:path arrowok="t"/>
              </v:shape>
            </v:group>
            <v:group style="position:absolute;left:9604;top:5754;width:29;height:2" coordorigin="9604,5754" coordsize="29,2">
              <v:shape style="position:absolute;left:9604;top:5754;width:29;height:2" coordorigin="9604,5754" coordsize="29,0" path="m9604,5754l9633,5754e" filled="false" stroked="true" strokeweight="1.44pt" strokecolor="#000000">
                <v:path arrowok="t"/>
              </v:shape>
            </v:group>
            <v:group style="position:absolute;left:9633;top:5754;width:1215;height:2" coordorigin="9633,5754" coordsize="1215,2">
              <v:shape style="position:absolute;left:9633;top:5754;width:1215;height:2" coordorigin="9633,5754" coordsize="1215,0" path="m9633,5754l10848,5754e" filled="false" stroked="true" strokeweight="1.44pt" strokecolor="#000000">
                <v:path arrowok="t"/>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764"/>
        <w:gridCol w:w="3141"/>
      </w:tblGrid>
      <w:tr>
        <w:trPr>
          <w:trHeight w:val="533"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70"/>
        <w:gridCol w:w="1705"/>
      </w:tblGrid>
      <w:tr>
        <w:trPr>
          <w:trHeight w:val="257"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(21)</w:t>
            </w:r>
          </w:p>
        </w:tc>
        <w:tc>
          <w:tcPr>
            <w:tcW w:w="1705" w:type="dxa"/>
            <w:tcBorders>
              <w:top w:val="nil" w:sz="6" w:space="0" w:color="auto"/>
              <w:left w:val="nil" w:sz="6" w:space="0" w:color="auto"/>
              <w:bottom w:val="nil" w:sz="6" w:space="0" w:color="auto"/>
              <w:right w:val="nil" w:sz="6" w:space="0" w:color="auto"/>
            </w:tcBorders>
          </w:tcPr>
          <w:p>
            <w:pPr>
              <w:pStyle w:val="TableParagraph"/>
              <w:spacing w:line="262" w:lineRule="exact"/>
              <w:ind w:left="141" w:right="0"/>
              <w:jc w:val="left"/>
              <w:rPr>
                <w:rFonts w:ascii="Arial" w:hAnsi="Arial" w:cs="Arial" w:eastAsia="Arial" w:hint="default"/>
                <w:sz w:val="24"/>
                <w:szCs w:val="24"/>
              </w:rPr>
            </w:pPr>
            <w:r>
              <w:rPr>
                <w:rFonts w:ascii="宋体" w:hAnsi="宋体" w:cs="宋体" w:eastAsia="宋体" w:hint="default"/>
                <w:b/>
                <w:bCs/>
                <w:sz w:val="24"/>
                <w:szCs w:val="24"/>
              </w:rPr>
              <w:t>预收款项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8"/>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03"/>
        <w:gridCol w:w="2833"/>
        <w:gridCol w:w="1560"/>
        <w:gridCol w:w="284"/>
        <w:gridCol w:w="360"/>
        <w:gridCol w:w="917"/>
        <w:gridCol w:w="283"/>
        <w:gridCol w:w="1275"/>
        <w:gridCol w:w="348"/>
        <w:gridCol w:w="1505"/>
      </w:tblGrid>
      <w:tr>
        <w:trPr>
          <w:trHeight w:val="1047"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9364" w:type="dxa"/>
            <w:gridSpan w:val="9"/>
            <w:tcBorders>
              <w:top w:val="nil" w:sz="6" w:space="0" w:color="auto"/>
              <w:left w:val="nil" w:sz="6" w:space="0" w:color="auto"/>
              <w:bottom w:val="nil" w:sz="6" w:space="0" w:color="auto"/>
              <w:right w:val="nil" w:sz="6" w:space="0" w:color="auto"/>
            </w:tcBorders>
          </w:tcPr>
          <w:p>
            <w:pPr>
              <w:pStyle w:val="TableParagraph"/>
              <w:spacing w:line="253" w:lineRule="exact"/>
              <w:ind w:left="11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日，账龄超过一年的预收款项约人民币</w:t>
            </w:r>
            <w:r>
              <w:rPr>
                <w:rFonts w:ascii="宋体" w:hAnsi="宋体" w:cs="宋体" w:eastAsia="宋体" w:hint="default"/>
                <w:spacing w:val="-47"/>
                <w:sz w:val="24"/>
                <w:szCs w:val="24"/>
              </w:rPr>
              <w:t> </w:t>
            </w:r>
            <w:r>
              <w:rPr>
                <w:rFonts w:ascii="Arial" w:hAnsi="Arial" w:cs="Arial" w:eastAsia="Arial" w:hint="default"/>
                <w:sz w:val="24"/>
                <w:szCs w:val="24"/>
              </w:rPr>
              <w:t>9,799</w:t>
            </w:r>
            <w:r>
              <w:rPr>
                <w:rFonts w:ascii="Arial" w:hAnsi="Arial" w:cs="Arial" w:eastAsia="Arial" w:hint="default"/>
                <w:spacing w:val="52"/>
                <w:sz w:val="24"/>
                <w:szCs w:val="24"/>
              </w:rPr>
              <w:t> </w:t>
            </w:r>
            <w:r>
              <w:rPr>
                <w:rFonts w:ascii="宋体" w:hAnsi="宋体" w:cs="宋体" w:eastAsia="宋体" w:hint="default"/>
                <w:sz w:val="24"/>
                <w:szCs w:val="24"/>
              </w:rPr>
              <w:t>万元</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p>
          <w:p>
            <w:pPr>
              <w:pStyle w:val="TableParagraph"/>
              <w:spacing w:line="312" w:lineRule="exact"/>
              <w:ind w:left="110" w:right="0"/>
              <w:jc w:val="left"/>
              <w:rPr>
                <w:rFonts w:ascii="宋体" w:hAnsi="宋体" w:cs="宋体" w:eastAsia="宋体" w:hint="default"/>
                <w:sz w:val="24"/>
                <w:szCs w:val="24"/>
              </w:rPr>
            </w:pPr>
            <w:r>
              <w:rPr>
                <w:rFonts w:ascii="Arial" w:hAnsi="Arial" w:cs="Arial" w:eastAsia="Arial" w:hint="default"/>
                <w:sz w:val="24"/>
                <w:szCs w:val="24"/>
              </w:rPr>
              <w:t>31 </w:t>
            </w:r>
            <w:r>
              <w:rPr>
                <w:rFonts w:ascii="宋体" w:hAnsi="宋体" w:cs="宋体" w:eastAsia="宋体" w:hint="default"/>
                <w:sz w:val="24"/>
                <w:szCs w:val="24"/>
              </w:rPr>
              <w:t>日：约人民币 </w:t>
            </w:r>
            <w:r>
              <w:rPr>
                <w:rFonts w:ascii="Arial" w:hAnsi="Arial" w:cs="Arial" w:eastAsia="Arial" w:hint="default"/>
                <w:sz w:val="24"/>
                <w:szCs w:val="24"/>
              </w:rPr>
              <w:t>2,056</w:t>
            </w:r>
            <w:r>
              <w:rPr>
                <w:rFonts w:ascii="Arial" w:hAnsi="Arial" w:cs="Arial" w:eastAsia="Arial" w:hint="default"/>
                <w:spacing w:val="36"/>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，主要为尚未与客户结算的尾款。截至财务报告批准报出</w:t>
            </w:r>
          </w:p>
          <w:p>
            <w:pPr>
              <w:pStyle w:val="TableParagraph"/>
              <w:spacing w:line="322" w:lineRule="exact"/>
              <w:ind w:left="110" w:right="0"/>
              <w:jc w:val="left"/>
              <w:rPr>
                <w:rFonts w:ascii="宋体" w:hAnsi="宋体" w:cs="宋体" w:eastAsia="宋体" w:hint="default"/>
                <w:sz w:val="24"/>
                <w:szCs w:val="24"/>
              </w:rPr>
            </w:pPr>
            <w:r>
              <w:rPr>
                <w:rFonts w:ascii="宋体" w:hAnsi="宋体" w:cs="宋体" w:eastAsia="宋体" w:hint="default"/>
                <w:sz w:val="24"/>
                <w:szCs w:val="24"/>
              </w:rPr>
              <w:t>日止，已结转收入约人民币</w:t>
            </w:r>
            <w:r>
              <w:rPr>
                <w:rFonts w:ascii="宋体" w:hAnsi="宋体" w:cs="宋体" w:eastAsia="宋体" w:hint="default"/>
                <w:spacing w:val="-63"/>
                <w:sz w:val="24"/>
                <w:szCs w:val="24"/>
              </w:rPr>
              <w:t> </w:t>
            </w:r>
            <w:r>
              <w:rPr>
                <w:rFonts w:ascii="Arial" w:hAnsi="Arial" w:cs="Arial" w:eastAsia="Arial" w:hint="default"/>
                <w:sz w:val="24"/>
                <w:szCs w:val="24"/>
              </w:rPr>
              <w:t>7,556</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(1))</w:t>
            </w:r>
            <w:r>
              <w:rPr>
                <w:rFonts w:ascii="宋体" w:hAnsi="宋体" w:cs="宋体" w:eastAsia="宋体" w:hint="default"/>
                <w:sz w:val="24"/>
                <w:szCs w:val="24"/>
              </w:rPr>
              <w:t>。</w:t>
            </w:r>
          </w:p>
        </w:tc>
      </w:tr>
      <w:tr>
        <w:trPr>
          <w:trHeight w:val="583"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(d)</w:t>
            </w:r>
          </w:p>
        </w:tc>
        <w:tc>
          <w:tcPr>
            <w:tcW w:w="43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24"/>
                <w:szCs w:val="24"/>
              </w:rPr>
            </w:pPr>
            <w:r>
              <w:rPr>
                <w:rFonts w:ascii="宋体" w:hAnsi="宋体" w:cs="宋体" w:eastAsia="宋体" w:hint="default"/>
                <w:sz w:val="24"/>
                <w:szCs w:val="24"/>
              </w:rPr>
              <w:t>预收账款中包括以下外币余额：</w:t>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1777" w:hRule="exact"/>
        </w:trPr>
        <w:tc>
          <w:tcPr>
            <w:tcW w:w="10167" w:type="dxa"/>
            <w:gridSpan w:val="10"/>
            <w:tcBorders>
              <w:top w:val="nil" w:sz="6" w:space="0" w:color="auto"/>
              <w:left w:val="nil" w:sz="6" w:space="0" w:color="auto"/>
              <w:bottom w:val="nil" w:sz="6" w:space="0" w:color="auto"/>
              <w:right w:val="nil" w:sz="6" w:space="0" w:color="auto"/>
            </w:tcBorders>
          </w:tcPr>
          <w:p>
            <w:pPr>
              <w:pStyle w:val="TableParagraph"/>
              <w:tabs>
                <w:tab w:pos="7134" w:val="left" w:leader="none"/>
              </w:tabs>
              <w:spacing w:line="240" w:lineRule="auto" w:before="108"/>
              <w:ind w:left="3078"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pStyle w:val="TableParagraph"/>
              <w:tabs>
                <w:tab w:pos="3846" w:val="left" w:leader="none"/>
                <w:tab w:pos="4748" w:val="left" w:leader="none"/>
                <w:tab w:pos="6376" w:val="left" w:leader="none"/>
                <w:tab w:pos="7932" w:val="left" w:leader="none"/>
                <w:tab w:pos="8781" w:val="left" w:leader="none"/>
              </w:tabs>
              <w:spacing w:line="240" w:lineRule="auto" w:before="17"/>
              <w:ind w:left="1021" w:right="0" w:firstLine="1295"/>
              <w:jc w:val="left"/>
              <w:rPr>
                <w:rFonts w:ascii="宋体" w:hAnsi="宋体" w:cs="宋体" w:eastAsia="宋体" w:hint="default"/>
                <w:sz w:val="21"/>
                <w:szCs w:val="21"/>
              </w:rPr>
            </w:pP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tab/>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p>
            <w:pPr>
              <w:pStyle w:val="TableParagraph"/>
              <w:tabs>
                <w:tab w:pos="2948" w:val="left" w:leader="none"/>
                <w:tab w:pos="3656" w:val="left" w:leader="none"/>
                <w:tab w:pos="5543" w:val="left" w:leader="none"/>
                <w:tab w:pos="6983" w:val="left" w:leader="none"/>
                <w:tab w:pos="7708" w:val="left" w:leader="none"/>
                <w:tab w:pos="9813" w:val="right" w:leader="none"/>
              </w:tabs>
              <w:spacing w:line="287" w:lineRule="exact" w:before="240"/>
              <w:ind w:left="1021" w:right="0"/>
              <w:jc w:val="left"/>
              <w:rPr>
                <w:rFonts w:ascii="Arial" w:hAnsi="Arial" w:cs="Arial" w:eastAsia="Arial" w:hint="default"/>
                <w:sz w:val="21"/>
                <w:szCs w:val="21"/>
              </w:rPr>
            </w:pPr>
            <w:r>
              <w:rPr>
                <w:rFonts w:ascii="宋体" w:hAnsi="宋体" w:cs="宋体" w:eastAsia="宋体" w:hint="default"/>
                <w:position w:val="1"/>
                <w:sz w:val="21"/>
                <w:szCs w:val="21"/>
              </w:rPr>
              <w:t>港币</w:t>
              <w:tab/>
            </w:r>
            <w:r>
              <w:rPr>
                <w:rFonts w:ascii="Arial" w:hAnsi="Arial" w:cs="Arial" w:eastAsia="Arial" w:hint="default"/>
                <w:sz w:val="21"/>
                <w:szCs w:val="21"/>
              </w:rPr>
              <w:t>86</w:t>
              <w:tab/>
            </w:r>
            <w:r>
              <w:rPr>
                <w:rFonts w:ascii="Arial" w:hAnsi="Arial" w:cs="Arial" w:eastAsia="Arial" w:hint="default"/>
                <w:spacing w:val="-1"/>
                <w:sz w:val="21"/>
                <w:szCs w:val="21"/>
              </w:rPr>
              <w:t>0.8213</w:t>
              <w:tab/>
            </w:r>
            <w:r>
              <w:rPr>
                <w:rFonts w:ascii="Arial" w:hAnsi="Arial" w:cs="Arial" w:eastAsia="Arial" w:hint="default"/>
                <w:sz w:val="21"/>
                <w:szCs w:val="21"/>
              </w:rPr>
              <w:t>71</w:t>
              <w:tab/>
              <w:t>79</w:t>
              <w:tab/>
            </w:r>
            <w:r>
              <w:rPr>
                <w:rFonts w:ascii="Arial" w:hAnsi="Arial" w:cs="Arial" w:eastAsia="Arial" w:hint="default"/>
                <w:spacing w:val="-1"/>
                <w:sz w:val="21"/>
                <w:szCs w:val="21"/>
              </w:rPr>
              <w:t>0.8509</w:t>
              <w:tab/>
            </w:r>
            <w:r>
              <w:rPr>
                <w:rFonts w:ascii="Arial" w:hAnsi="Arial" w:cs="Arial" w:eastAsia="Arial" w:hint="default"/>
                <w:sz w:val="21"/>
                <w:szCs w:val="21"/>
              </w:rPr>
              <w:t>67</w:t>
            </w:r>
          </w:p>
          <w:p>
            <w:pPr>
              <w:pStyle w:val="TableParagraph"/>
              <w:tabs>
                <w:tab w:pos="2422" w:val="left" w:leader="none"/>
                <w:tab w:pos="3656" w:val="left" w:leader="none"/>
                <w:tab w:pos="4609" w:val="left" w:leader="none"/>
                <w:tab w:pos="5132" w:val="left" w:leader="none"/>
                <w:tab w:pos="8676" w:val="left" w:leader="none"/>
                <w:tab w:pos="9741" w:val="left" w:leader="none"/>
                <w:tab w:pos="9919" w:val="left" w:leader="none"/>
              </w:tabs>
              <w:spacing w:line="287" w:lineRule="exact"/>
              <w:ind w:left="1021" w:right="0"/>
              <w:jc w:val="left"/>
              <w:rPr>
                <w:rFonts w:ascii="Arial" w:hAnsi="Arial" w:cs="Arial" w:eastAsia="Arial" w:hint="default"/>
                <w:sz w:val="21"/>
                <w:szCs w:val="21"/>
              </w:rPr>
            </w:pPr>
            <w:r>
              <w:rPr>
                <w:rFonts w:ascii="宋体" w:hAnsi="宋体" w:cs="宋体" w:eastAsia="宋体" w:hint="default"/>
                <w:position w:val="1"/>
                <w:sz w:val="21"/>
                <w:szCs w:val="21"/>
              </w:rPr>
              <w:t>日元</w:t>
              <w:tab/>
            </w:r>
            <w:r>
              <w:rPr>
                <w:rFonts w:ascii="Arial" w:hAnsi="Arial" w:cs="Arial" w:eastAsia="Arial" w:hint="default"/>
                <w:spacing w:val="-1"/>
                <w:sz w:val="21"/>
                <w:szCs w:val="21"/>
              </w:rPr>
              <w:t>125,533</w:t>
              <w:tab/>
              <w:t>0.0826</w:t>
              <w:tab/>
            </w:r>
            <w:r>
              <w:rPr>
                <w:rFonts w:ascii="Arial" w:hAnsi="Arial" w:cs="Arial" w:eastAsia="Arial" w:hint="default"/>
                <w:spacing w:val="-1"/>
                <w:sz w:val="21"/>
                <w:szCs w:val="21"/>
                <w:u w:val="single" w:color="000000"/>
              </w:rPr>
              <w:t> </w:t>
              <w:tab/>
              <w:t>10,369</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 </w:t>
              <w:tab/>
            </w:r>
            <w:r>
              <w:rPr>
                <w:rFonts w:ascii="Arial" w:hAnsi="Arial" w:cs="Arial" w:eastAsia="Arial" w:hint="default"/>
                <w:sz w:val="21"/>
                <w:szCs w:val="21"/>
                <w:u w:val="single" w:color="000000"/>
              </w:rPr>
              <w:t>-</w:t>
              <w:tab/>
            </w:r>
            <w:r>
              <w:rPr>
                <w:rFonts w:ascii="Arial" w:hAnsi="Arial" w:cs="Arial" w:eastAsia="Arial" w:hint="default"/>
                <w:sz w:val="21"/>
                <w:szCs w:val="21"/>
              </w:rPr>
            </w:r>
          </w:p>
          <w:p>
            <w:pPr>
              <w:pStyle w:val="TableParagraph"/>
              <w:tabs>
                <w:tab w:pos="9578" w:val="left" w:leader="none"/>
              </w:tabs>
              <w:spacing w:line="240" w:lineRule="auto" w:before="10"/>
              <w:ind w:left="5130" w:right="0"/>
              <w:jc w:val="left"/>
              <w:rPr>
                <w:rFonts w:ascii="Arial" w:hAnsi="Arial" w:cs="Arial" w:eastAsia="Arial" w:hint="default"/>
                <w:sz w:val="21"/>
                <w:szCs w:val="21"/>
              </w:rPr>
            </w:pPr>
            <w:r>
              <w:rPr>
                <w:rFonts w:ascii="Arial"/>
                <w:spacing w:val="-1"/>
                <w:sz w:val="21"/>
              </w:rPr>
              <w:t>10,440</w:t>
              <w:tab/>
            </w:r>
            <w:r>
              <w:rPr>
                <w:rFonts w:ascii="Arial"/>
                <w:sz w:val="21"/>
              </w:rPr>
              <w:t>67</w:t>
            </w:r>
          </w:p>
        </w:tc>
      </w:tr>
      <w:tr>
        <w:trPr>
          <w:trHeight w:val="741"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(22)</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宋体" w:hAnsi="宋体" w:cs="宋体" w:eastAsia="宋体" w:hint="default"/>
                <w:sz w:val="24"/>
                <w:szCs w:val="24"/>
              </w:rPr>
            </w:pPr>
            <w:r>
              <w:rPr>
                <w:rFonts w:ascii="宋体" w:hAnsi="宋体" w:cs="宋体" w:eastAsia="宋体" w:hint="default"/>
                <w:b/>
                <w:bCs/>
                <w:sz w:val="24"/>
                <w:szCs w:val="24"/>
              </w:rPr>
              <w:t>应付职工薪酬</w:t>
            </w:r>
            <w:r>
              <w:rPr>
                <w:rFonts w:ascii="宋体" w:hAnsi="宋体" w:cs="宋体" w:eastAsia="宋体" w:hint="default"/>
                <w:sz w:val="24"/>
                <w:szCs w:val="24"/>
              </w:rPr>
            </w:r>
          </w:p>
        </w:tc>
        <w:tc>
          <w:tcPr>
            <w:tcW w:w="1560"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360" w:type="dxa"/>
            <w:tcBorders>
              <w:top w:val="single" w:sz="12" w:space="0" w:color="000000"/>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single" w:sz="12" w:space="0" w:color="000000"/>
              <w:left w:val="nil" w:sz="6" w:space="0" w:color="auto"/>
              <w:bottom w:val="nil" w:sz="6" w:space="0" w:color="auto"/>
              <w:right w:val="nil" w:sz="6" w:space="0" w:color="auto"/>
            </w:tcBorders>
          </w:tcPr>
          <w:p>
            <w:pPr/>
          </w:p>
        </w:tc>
      </w:tr>
      <w:tr>
        <w:trPr>
          <w:trHeight w:val="730"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2" w:lineRule="exact" w:before="114"/>
              <w:ind w:left="79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55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9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44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2" w:lineRule="exact" w:before="114"/>
              <w:ind w:left="75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46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59"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72" w:right="0"/>
              <w:jc w:val="left"/>
              <w:rPr>
                <w:rFonts w:ascii="Arial" w:hAnsi="Arial" w:cs="Arial" w:eastAsia="Arial" w:hint="default"/>
                <w:sz w:val="18"/>
                <w:szCs w:val="18"/>
              </w:rPr>
            </w:pPr>
            <w:r>
              <w:rPr>
                <w:rFonts w:ascii="Arial"/>
                <w:sz w:val="18"/>
              </w:rPr>
              <w:t>182,364</w:t>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0"/>
              <w:jc w:val="left"/>
              <w:rPr>
                <w:rFonts w:ascii="Arial" w:hAnsi="Arial" w:cs="Arial" w:eastAsia="Arial" w:hint="default"/>
                <w:sz w:val="18"/>
                <w:szCs w:val="18"/>
              </w:rPr>
            </w:pPr>
            <w:r>
              <w:rPr>
                <w:rFonts w:ascii="Arial"/>
                <w:sz w:val="18"/>
              </w:rPr>
              <w:t>2,924,884</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47" w:right="0"/>
              <w:jc w:val="left"/>
              <w:rPr>
                <w:rFonts w:ascii="Arial" w:hAnsi="Arial" w:cs="Arial" w:eastAsia="Arial" w:hint="default"/>
                <w:sz w:val="18"/>
                <w:szCs w:val="18"/>
              </w:rPr>
            </w:pPr>
            <w:r>
              <w:rPr>
                <w:rFonts w:ascii="Arial"/>
                <w:sz w:val="18"/>
              </w:rPr>
              <w:t>(2,852,476)</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86" w:right="0"/>
              <w:jc w:val="left"/>
              <w:rPr>
                <w:rFonts w:ascii="Arial" w:hAnsi="Arial" w:cs="Arial" w:eastAsia="Arial" w:hint="default"/>
                <w:sz w:val="18"/>
                <w:szCs w:val="18"/>
              </w:rPr>
            </w:pPr>
            <w:r>
              <w:rPr>
                <w:rFonts w:ascii="Arial"/>
                <w:sz w:val="18"/>
              </w:rPr>
              <w:t>254,772</w:t>
            </w:r>
          </w:p>
        </w:tc>
      </w:tr>
      <w:tr>
        <w:trPr>
          <w:trHeight w:val="245"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18"/>
                <w:szCs w:val="18"/>
              </w:rPr>
            </w:pPr>
            <w:r>
              <w:rPr>
                <w:rFonts w:ascii="Arial"/>
                <w:w w:val="95"/>
                <w:sz w:val="18"/>
              </w:rPr>
              <w:t>40</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1" w:right="0"/>
              <w:jc w:val="left"/>
              <w:rPr>
                <w:rFonts w:ascii="Arial" w:hAnsi="Arial" w:cs="Arial" w:eastAsia="Arial" w:hint="default"/>
                <w:sz w:val="18"/>
                <w:szCs w:val="18"/>
              </w:rPr>
            </w:pPr>
            <w:r>
              <w:rPr>
                <w:rFonts w:ascii="Arial"/>
                <w:sz w:val="18"/>
              </w:rPr>
              <w:t>164,777</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8" w:right="0"/>
              <w:jc w:val="left"/>
              <w:rPr>
                <w:rFonts w:ascii="Arial" w:hAnsi="Arial" w:cs="Arial" w:eastAsia="Arial" w:hint="default"/>
                <w:sz w:val="18"/>
                <w:szCs w:val="18"/>
              </w:rPr>
            </w:pPr>
            <w:r>
              <w:rPr>
                <w:rFonts w:ascii="Arial"/>
                <w:sz w:val="18"/>
              </w:rPr>
              <w:t>(164,801)</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18"/>
                <w:szCs w:val="18"/>
              </w:rPr>
            </w:pPr>
            <w:r>
              <w:rPr>
                <w:rFonts w:ascii="Arial"/>
                <w:w w:val="95"/>
                <w:sz w:val="18"/>
              </w:rPr>
              <w:t>16</w:t>
            </w:r>
            <w:r>
              <w:rPr>
                <w:rFonts w:ascii="Arial"/>
                <w:sz w:val="18"/>
              </w:rPr>
            </w:r>
          </w:p>
        </w:tc>
      </w:tr>
      <w:tr>
        <w:trPr>
          <w:trHeight w:val="234"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single" w:sz="4" w:space="0" w:color="000000"/>
              <w:right w:val="nil" w:sz="6" w:space="0" w:color="auto"/>
            </w:tcBorders>
          </w:tcPr>
          <w:p>
            <w:pPr>
              <w:pStyle w:val="TableParagraph"/>
              <w:spacing w:line="200" w:lineRule="exact"/>
              <w:ind w:left="11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32"/>
              <w:jc w:val="right"/>
              <w:rPr>
                <w:rFonts w:ascii="Arial" w:hAnsi="Arial" w:cs="Arial" w:eastAsia="Arial" w:hint="default"/>
                <w:sz w:val="18"/>
                <w:szCs w:val="18"/>
              </w:rPr>
            </w:pPr>
            <w:r>
              <w:rPr>
                <w:rFonts w:ascii="Arial"/>
                <w:w w:val="95"/>
                <w:sz w:val="18"/>
              </w:rPr>
              <w:t>566</w:t>
            </w:r>
            <w:r>
              <w:rPr>
                <w:rFonts w:ascii="Arial"/>
                <w:sz w:val="18"/>
              </w:rPr>
            </w:r>
          </w:p>
        </w:tc>
        <w:tc>
          <w:tcPr>
            <w:tcW w:w="284" w:type="dxa"/>
            <w:tcBorders>
              <w:top w:val="nil" w:sz="6" w:space="0" w:color="auto"/>
              <w:left w:val="nil" w:sz="6" w:space="0" w:color="auto"/>
              <w:bottom w:val="single" w:sz="4" w:space="0" w:color="000000"/>
              <w:right w:val="nil" w:sz="6" w:space="0" w:color="auto"/>
            </w:tcBorders>
          </w:tcPr>
          <w:p>
            <w:pPr/>
          </w:p>
        </w:tc>
        <w:tc>
          <w:tcPr>
            <w:tcW w:w="360" w:type="dxa"/>
            <w:tcBorders>
              <w:top w:val="nil" w:sz="6" w:space="0" w:color="auto"/>
              <w:left w:val="nil" w:sz="6" w:space="0" w:color="auto"/>
              <w:bottom w:val="single" w:sz="4" w:space="0" w:color="000000"/>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51" w:right="0"/>
              <w:jc w:val="left"/>
              <w:rPr>
                <w:rFonts w:ascii="Arial" w:hAnsi="Arial" w:cs="Arial" w:eastAsia="Arial" w:hint="default"/>
                <w:sz w:val="18"/>
                <w:szCs w:val="18"/>
              </w:rPr>
            </w:pPr>
            <w:r>
              <w:rPr>
                <w:rFonts w:ascii="Arial"/>
                <w:sz w:val="18"/>
              </w:rPr>
              <w:t>455,502</w:t>
            </w:r>
          </w:p>
        </w:tc>
        <w:tc>
          <w:tcPr>
            <w:tcW w:w="283"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398" w:right="0"/>
              <w:jc w:val="left"/>
              <w:rPr>
                <w:rFonts w:ascii="Arial" w:hAnsi="Arial" w:cs="Arial" w:eastAsia="Arial" w:hint="default"/>
                <w:sz w:val="18"/>
                <w:szCs w:val="18"/>
              </w:rPr>
            </w:pPr>
            <w:r>
              <w:rPr>
                <w:rFonts w:ascii="Arial"/>
                <w:sz w:val="18"/>
              </w:rPr>
              <w:t>(455,357)</w:t>
            </w:r>
          </w:p>
        </w:tc>
        <w:tc>
          <w:tcPr>
            <w:tcW w:w="348"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66"/>
              <w:jc w:val="right"/>
              <w:rPr>
                <w:rFonts w:ascii="Arial" w:hAnsi="Arial" w:cs="Arial" w:eastAsia="Arial" w:hint="default"/>
                <w:sz w:val="18"/>
                <w:szCs w:val="18"/>
              </w:rPr>
            </w:pPr>
            <w:r>
              <w:rPr>
                <w:rFonts w:ascii="Arial"/>
                <w:spacing w:val="-5"/>
                <w:sz w:val="18"/>
              </w:rPr>
              <w:t>711</w:t>
            </w:r>
          </w:p>
        </w:tc>
      </w:tr>
      <w:tr>
        <w:trPr>
          <w:trHeight w:val="253" w:hRule="exact"/>
        </w:trPr>
        <w:tc>
          <w:tcPr>
            <w:tcW w:w="803" w:type="dxa"/>
            <w:tcBorders>
              <w:top w:val="nil" w:sz="6" w:space="0" w:color="auto"/>
              <w:left w:val="nil" w:sz="6" w:space="0" w:color="auto"/>
              <w:bottom w:val="nil" w:sz="6" w:space="0" w:color="auto"/>
              <w:right w:val="single" w:sz="4" w:space="0" w:color="000000"/>
            </w:tcBorders>
          </w:tcPr>
          <w:p>
            <w:pPr/>
          </w:p>
        </w:tc>
        <w:tc>
          <w:tcPr>
            <w:tcW w:w="2833"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32"/>
              <w:jc w:val="right"/>
              <w:rPr>
                <w:rFonts w:ascii="Arial" w:hAnsi="Arial" w:cs="Arial" w:eastAsia="Arial" w:hint="default"/>
                <w:sz w:val="18"/>
                <w:szCs w:val="18"/>
              </w:rPr>
            </w:pPr>
            <w:r>
              <w:rPr>
                <w:rFonts w:ascii="Arial"/>
                <w:w w:val="95"/>
                <w:sz w:val="18"/>
              </w:rPr>
              <w:t>207</w:t>
            </w:r>
            <w:r>
              <w:rPr>
                <w:rFonts w:ascii="Arial"/>
                <w:sz w:val="18"/>
              </w:rPr>
            </w:r>
          </w:p>
        </w:tc>
        <w:tc>
          <w:tcPr>
            <w:tcW w:w="284"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151" w:right="0"/>
              <w:jc w:val="left"/>
              <w:rPr>
                <w:rFonts w:ascii="Arial" w:hAnsi="Arial" w:cs="Arial" w:eastAsia="Arial" w:hint="default"/>
                <w:sz w:val="18"/>
                <w:szCs w:val="18"/>
              </w:rPr>
            </w:pPr>
            <w:r>
              <w:rPr>
                <w:rFonts w:ascii="Arial"/>
                <w:sz w:val="18"/>
              </w:rPr>
              <w:t>166,998</w:t>
            </w:r>
          </w:p>
        </w:tc>
        <w:tc>
          <w:tcPr>
            <w:tcW w:w="283"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398" w:right="0"/>
              <w:jc w:val="left"/>
              <w:rPr>
                <w:rFonts w:ascii="Arial" w:hAnsi="Arial" w:cs="Arial" w:eastAsia="Arial" w:hint="default"/>
                <w:sz w:val="18"/>
                <w:szCs w:val="18"/>
              </w:rPr>
            </w:pPr>
            <w:r>
              <w:rPr>
                <w:rFonts w:ascii="Arial"/>
                <w:sz w:val="18"/>
              </w:rPr>
              <w:t>(166,944)</w:t>
            </w:r>
          </w:p>
        </w:tc>
        <w:tc>
          <w:tcPr>
            <w:tcW w:w="348"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w w:val="95"/>
                <w:sz w:val="18"/>
              </w:rPr>
              <w:t>261</w:t>
            </w:r>
            <w:r>
              <w:rPr>
                <w:rFonts w:ascii="Arial"/>
                <w:sz w:val="18"/>
              </w:rPr>
            </w:r>
          </w:p>
        </w:tc>
      </w:tr>
      <w:tr>
        <w:trPr>
          <w:trHeight w:val="245" w:hRule="exact"/>
        </w:trPr>
        <w:tc>
          <w:tcPr>
            <w:tcW w:w="803" w:type="dxa"/>
            <w:tcBorders>
              <w:top w:val="nil" w:sz="6" w:space="0" w:color="auto"/>
              <w:left w:val="nil" w:sz="6" w:space="0" w:color="auto"/>
              <w:bottom w:val="nil" w:sz="6" w:space="0" w:color="auto"/>
              <w:right w:val="single" w:sz="4" w:space="0" w:color="000000"/>
            </w:tcBorders>
          </w:tcPr>
          <w:p>
            <w:pPr/>
          </w:p>
        </w:tc>
        <w:tc>
          <w:tcPr>
            <w:tcW w:w="2833" w:type="dxa"/>
            <w:tcBorders>
              <w:top w:val="nil" w:sz="6" w:space="0" w:color="auto"/>
              <w:left w:val="single" w:sz="4" w:space="0" w:color="000000"/>
              <w:bottom w:val="nil" w:sz="6" w:space="0" w:color="auto"/>
              <w:right w:val="nil" w:sz="6" w:space="0" w:color="auto"/>
            </w:tcBorders>
          </w:tcPr>
          <w:p>
            <w:pPr>
              <w:pStyle w:val="TableParagraph"/>
              <w:spacing w:line="200" w:lineRule="exact"/>
              <w:ind w:left="667"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18"/>
                <w:szCs w:val="18"/>
              </w:rPr>
            </w:pPr>
            <w:r>
              <w:rPr>
                <w:rFonts w:ascii="Arial"/>
                <w:w w:val="95"/>
                <w:sz w:val="18"/>
              </w:rPr>
              <w:t>273</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1" w:right="0"/>
              <w:jc w:val="left"/>
              <w:rPr>
                <w:rFonts w:ascii="Arial" w:hAnsi="Arial" w:cs="Arial" w:eastAsia="Arial" w:hint="default"/>
                <w:sz w:val="18"/>
                <w:szCs w:val="18"/>
              </w:rPr>
            </w:pPr>
            <w:r>
              <w:rPr>
                <w:rFonts w:ascii="Arial"/>
                <w:sz w:val="18"/>
              </w:rPr>
              <w:t>219,533</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8" w:right="0"/>
              <w:jc w:val="left"/>
              <w:rPr>
                <w:rFonts w:ascii="Arial" w:hAnsi="Arial" w:cs="Arial" w:eastAsia="Arial" w:hint="default"/>
                <w:sz w:val="18"/>
                <w:szCs w:val="18"/>
              </w:rPr>
            </w:pPr>
            <w:r>
              <w:rPr>
                <w:rFonts w:ascii="Arial"/>
                <w:sz w:val="18"/>
              </w:rPr>
              <w:t>(219,463)</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right="158"/>
              <w:jc w:val="right"/>
              <w:rPr>
                <w:rFonts w:ascii="Arial" w:hAnsi="Arial" w:cs="Arial" w:eastAsia="Arial" w:hint="default"/>
                <w:sz w:val="18"/>
                <w:szCs w:val="18"/>
              </w:rPr>
            </w:pPr>
            <w:r>
              <w:rPr>
                <w:rFonts w:ascii="Arial"/>
                <w:w w:val="95"/>
                <w:sz w:val="18"/>
              </w:rPr>
              <w:t>343</w:t>
            </w:r>
            <w:r>
              <w:rPr>
                <w:rFonts w:ascii="Arial"/>
                <w:sz w:val="18"/>
              </w:rPr>
            </w:r>
          </w:p>
        </w:tc>
      </w:tr>
      <w:tr>
        <w:trPr>
          <w:trHeight w:val="242" w:hRule="exact"/>
        </w:trPr>
        <w:tc>
          <w:tcPr>
            <w:tcW w:w="803" w:type="dxa"/>
            <w:tcBorders>
              <w:top w:val="nil" w:sz="6" w:space="0" w:color="auto"/>
              <w:left w:val="nil" w:sz="6" w:space="0" w:color="auto"/>
              <w:bottom w:val="nil" w:sz="6" w:space="0" w:color="auto"/>
              <w:right w:val="single" w:sz="4" w:space="0" w:color="000000"/>
            </w:tcBorders>
          </w:tcPr>
          <w:p>
            <w:pPr/>
          </w:p>
        </w:tc>
        <w:tc>
          <w:tcPr>
            <w:tcW w:w="2833" w:type="dxa"/>
            <w:tcBorders>
              <w:top w:val="nil" w:sz="6" w:space="0" w:color="auto"/>
              <w:left w:val="single" w:sz="4" w:space="0" w:color="000000"/>
              <w:bottom w:val="nil" w:sz="6" w:space="0" w:color="auto"/>
              <w:right w:val="nil" w:sz="6" w:space="0" w:color="auto"/>
            </w:tcBorders>
          </w:tcPr>
          <w:p>
            <w:pPr>
              <w:pStyle w:val="TableParagraph"/>
              <w:spacing w:line="200" w:lineRule="exact"/>
              <w:ind w:left="667"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18"/>
                <w:szCs w:val="18"/>
              </w:rPr>
            </w:pPr>
            <w:r>
              <w:rPr>
                <w:rFonts w:ascii="Arial"/>
                <w:w w:val="95"/>
                <w:sz w:val="18"/>
              </w:rPr>
              <w:t>49</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1" w:right="0"/>
              <w:jc w:val="left"/>
              <w:rPr>
                <w:rFonts w:ascii="Arial" w:hAnsi="Arial" w:cs="Arial" w:eastAsia="Arial" w:hint="default"/>
                <w:sz w:val="18"/>
                <w:szCs w:val="18"/>
              </w:rPr>
            </w:pPr>
            <w:r>
              <w:rPr>
                <w:rFonts w:ascii="Arial"/>
                <w:sz w:val="18"/>
              </w:rPr>
              <w:t>39,328</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9" w:right="0"/>
              <w:jc w:val="left"/>
              <w:rPr>
                <w:rFonts w:ascii="Arial" w:hAnsi="Arial" w:cs="Arial" w:eastAsia="Arial" w:hint="default"/>
                <w:sz w:val="18"/>
                <w:szCs w:val="18"/>
              </w:rPr>
            </w:pPr>
            <w:r>
              <w:rPr>
                <w:rFonts w:ascii="Arial"/>
                <w:sz w:val="18"/>
              </w:rPr>
              <w:t>(39,316)</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58"/>
              <w:jc w:val="right"/>
              <w:rPr>
                <w:rFonts w:ascii="Arial" w:hAnsi="Arial" w:cs="Arial" w:eastAsia="Arial" w:hint="default"/>
                <w:sz w:val="18"/>
                <w:szCs w:val="18"/>
              </w:rPr>
            </w:pPr>
            <w:r>
              <w:rPr>
                <w:rFonts w:ascii="Arial"/>
                <w:w w:val="95"/>
                <w:sz w:val="18"/>
              </w:rPr>
              <w:t>61</w:t>
            </w:r>
            <w:r>
              <w:rPr>
                <w:rFonts w:ascii="Arial"/>
                <w:sz w:val="18"/>
              </w:rPr>
            </w:r>
          </w:p>
        </w:tc>
      </w:tr>
      <w:tr>
        <w:trPr>
          <w:trHeight w:val="241" w:hRule="exact"/>
        </w:trPr>
        <w:tc>
          <w:tcPr>
            <w:tcW w:w="803" w:type="dxa"/>
            <w:tcBorders>
              <w:top w:val="nil" w:sz="6" w:space="0" w:color="auto"/>
              <w:left w:val="nil" w:sz="6" w:space="0" w:color="auto"/>
              <w:bottom w:val="nil" w:sz="6" w:space="0" w:color="auto"/>
              <w:right w:val="single" w:sz="4" w:space="0" w:color="000000"/>
            </w:tcBorders>
          </w:tcPr>
          <w:p>
            <w:pPr/>
          </w:p>
        </w:tc>
        <w:tc>
          <w:tcPr>
            <w:tcW w:w="2833" w:type="dxa"/>
            <w:tcBorders>
              <w:top w:val="nil" w:sz="6" w:space="0" w:color="auto"/>
              <w:left w:val="single" w:sz="4" w:space="0" w:color="000000"/>
              <w:bottom w:val="nil" w:sz="6" w:space="0" w:color="auto"/>
              <w:right w:val="nil" w:sz="6" w:space="0" w:color="auto"/>
            </w:tcBorders>
          </w:tcPr>
          <w:p>
            <w:pPr>
              <w:pStyle w:val="TableParagraph"/>
              <w:spacing w:line="200" w:lineRule="exact"/>
              <w:ind w:left="66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2"/>
              <w:jc w:val="right"/>
              <w:rPr>
                <w:rFonts w:ascii="Arial" w:hAnsi="Arial" w:cs="Arial" w:eastAsia="Arial" w:hint="default"/>
                <w:sz w:val="18"/>
                <w:szCs w:val="18"/>
              </w:rPr>
            </w:pPr>
            <w:r>
              <w:rPr>
                <w:rFonts w:ascii="Arial"/>
                <w:w w:val="95"/>
                <w:sz w:val="18"/>
              </w:rPr>
              <w:t>14</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1" w:right="0"/>
              <w:jc w:val="left"/>
              <w:rPr>
                <w:rFonts w:ascii="Arial" w:hAnsi="Arial" w:cs="Arial" w:eastAsia="Arial" w:hint="default"/>
                <w:sz w:val="18"/>
                <w:szCs w:val="18"/>
              </w:rPr>
            </w:pPr>
            <w:r>
              <w:rPr>
                <w:rFonts w:ascii="Arial"/>
                <w:sz w:val="18"/>
              </w:rPr>
              <w:t>10,859</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9" w:right="0"/>
              <w:jc w:val="left"/>
              <w:rPr>
                <w:rFonts w:ascii="Arial" w:hAnsi="Arial" w:cs="Arial" w:eastAsia="Arial" w:hint="default"/>
                <w:sz w:val="18"/>
                <w:szCs w:val="18"/>
              </w:rPr>
            </w:pPr>
            <w:r>
              <w:rPr>
                <w:rFonts w:ascii="Arial"/>
                <w:sz w:val="18"/>
              </w:rPr>
              <w:t>(10,856)</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58"/>
              <w:jc w:val="right"/>
              <w:rPr>
                <w:rFonts w:ascii="Arial" w:hAnsi="Arial" w:cs="Arial" w:eastAsia="Arial" w:hint="default"/>
                <w:sz w:val="18"/>
                <w:szCs w:val="18"/>
              </w:rPr>
            </w:pPr>
            <w:r>
              <w:rPr>
                <w:rFonts w:ascii="Arial"/>
                <w:w w:val="95"/>
                <w:sz w:val="18"/>
              </w:rPr>
              <w:t>17</w:t>
            </w:r>
            <w:r>
              <w:rPr>
                <w:rFonts w:ascii="Arial"/>
                <w:sz w:val="18"/>
              </w:rPr>
            </w:r>
          </w:p>
        </w:tc>
      </w:tr>
      <w:tr>
        <w:trPr>
          <w:trHeight w:val="233" w:hRule="exact"/>
        </w:trPr>
        <w:tc>
          <w:tcPr>
            <w:tcW w:w="803" w:type="dxa"/>
            <w:tcBorders>
              <w:top w:val="nil" w:sz="6" w:space="0" w:color="auto"/>
              <w:left w:val="nil" w:sz="6" w:space="0" w:color="auto"/>
              <w:bottom w:val="nil" w:sz="6" w:space="0" w:color="auto"/>
              <w:right w:val="single" w:sz="4" w:space="0" w:color="000000"/>
            </w:tcBorders>
          </w:tcPr>
          <w:p>
            <w:pPr/>
          </w:p>
        </w:tc>
        <w:tc>
          <w:tcPr>
            <w:tcW w:w="2833" w:type="dxa"/>
            <w:tcBorders>
              <w:top w:val="nil" w:sz="6" w:space="0" w:color="auto"/>
              <w:left w:val="single" w:sz="4" w:space="0" w:color="000000"/>
              <w:bottom w:val="single" w:sz="4" w:space="0" w:color="000000"/>
              <w:right w:val="nil" w:sz="6" w:space="0" w:color="auto"/>
            </w:tcBorders>
          </w:tcPr>
          <w:p>
            <w:pPr>
              <w:pStyle w:val="TableParagraph"/>
              <w:spacing w:line="198" w:lineRule="exact"/>
              <w:ind w:left="66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32"/>
              <w:jc w:val="right"/>
              <w:rPr>
                <w:rFonts w:ascii="Arial" w:hAnsi="Arial" w:cs="Arial" w:eastAsia="Arial" w:hint="default"/>
                <w:sz w:val="18"/>
                <w:szCs w:val="18"/>
              </w:rPr>
            </w:pPr>
            <w:r>
              <w:rPr>
                <w:rFonts w:ascii="Arial"/>
                <w:w w:val="95"/>
                <w:sz w:val="18"/>
              </w:rPr>
              <w:t>23</w:t>
            </w:r>
            <w:r>
              <w:rPr>
                <w:rFonts w:ascii="Arial"/>
                <w:sz w:val="18"/>
              </w:rPr>
            </w:r>
          </w:p>
        </w:tc>
        <w:tc>
          <w:tcPr>
            <w:tcW w:w="284" w:type="dxa"/>
            <w:tcBorders>
              <w:top w:val="nil" w:sz="6" w:space="0" w:color="auto"/>
              <w:left w:val="nil" w:sz="6" w:space="0" w:color="auto"/>
              <w:bottom w:val="single" w:sz="4" w:space="0" w:color="000000"/>
              <w:right w:val="nil" w:sz="6" w:space="0" w:color="auto"/>
            </w:tcBorders>
          </w:tcPr>
          <w:p>
            <w:pPr/>
          </w:p>
        </w:tc>
        <w:tc>
          <w:tcPr>
            <w:tcW w:w="360" w:type="dxa"/>
            <w:tcBorders>
              <w:top w:val="nil" w:sz="6" w:space="0" w:color="auto"/>
              <w:left w:val="nil" w:sz="6" w:space="0" w:color="auto"/>
              <w:bottom w:val="single" w:sz="4" w:space="0" w:color="000000"/>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51" w:right="0"/>
              <w:jc w:val="left"/>
              <w:rPr>
                <w:rFonts w:ascii="Arial" w:hAnsi="Arial" w:cs="Arial" w:eastAsia="Arial" w:hint="default"/>
                <w:sz w:val="18"/>
                <w:szCs w:val="18"/>
              </w:rPr>
            </w:pPr>
            <w:r>
              <w:rPr>
                <w:rFonts w:ascii="Arial"/>
                <w:sz w:val="18"/>
              </w:rPr>
              <w:t>18,784</w:t>
            </w:r>
          </w:p>
        </w:tc>
        <w:tc>
          <w:tcPr>
            <w:tcW w:w="283"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99" w:right="0"/>
              <w:jc w:val="left"/>
              <w:rPr>
                <w:rFonts w:ascii="Arial" w:hAnsi="Arial" w:cs="Arial" w:eastAsia="Arial" w:hint="default"/>
                <w:sz w:val="18"/>
                <w:szCs w:val="18"/>
              </w:rPr>
            </w:pPr>
            <w:r>
              <w:rPr>
                <w:rFonts w:ascii="Arial"/>
                <w:sz w:val="18"/>
              </w:rPr>
              <w:t>(18,778)</w:t>
            </w:r>
          </w:p>
        </w:tc>
        <w:tc>
          <w:tcPr>
            <w:tcW w:w="348"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single" w:sz="4" w:space="0" w:color="000000"/>
            </w:tcBorders>
          </w:tcPr>
          <w:p>
            <w:pPr>
              <w:pStyle w:val="TableParagraph"/>
              <w:spacing w:line="240" w:lineRule="auto" w:before="21"/>
              <w:ind w:right="158"/>
              <w:jc w:val="right"/>
              <w:rPr>
                <w:rFonts w:ascii="Arial" w:hAnsi="Arial" w:cs="Arial" w:eastAsia="Arial" w:hint="default"/>
                <w:sz w:val="18"/>
                <w:szCs w:val="18"/>
              </w:rPr>
            </w:pPr>
            <w:r>
              <w:rPr>
                <w:rFonts w:ascii="Arial"/>
                <w:w w:val="95"/>
                <w:sz w:val="18"/>
              </w:rPr>
              <w:t>29</w:t>
            </w:r>
            <w:r>
              <w:rPr>
                <w:rFonts w:ascii="Arial"/>
                <w:sz w:val="18"/>
              </w:rPr>
            </w:r>
          </w:p>
        </w:tc>
      </w:tr>
      <w:tr>
        <w:trPr>
          <w:trHeight w:val="260"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single" w:sz="4" w:space="0" w:color="000000"/>
              <w:left w:val="nil" w:sz="6" w:space="0" w:color="auto"/>
              <w:bottom w:val="nil" w:sz="6" w:space="0" w:color="auto"/>
              <w:right w:val="nil" w:sz="6" w:space="0" w:color="auto"/>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971" w:right="0"/>
              <w:jc w:val="left"/>
              <w:rPr>
                <w:rFonts w:ascii="Arial" w:hAnsi="Arial" w:cs="Arial" w:eastAsia="Arial" w:hint="default"/>
                <w:sz w:val="18"/>
                <w:szCs w:val="18"/>
              </w:rPr>
            </w:pPr>
            <w:r>
              <w:rPr>
                <w:rFonts w:ascii="Arial"/>
                <w:sz w:val="18"/>
              </w:rPr>
              <w:t>1,362</w:t>
            </w:r>
          </w:p>
        </w:tc>
        <w:tc>
          <w:tcPr>
            <w:tcW w:w="284"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51" w:right="0"/>
              <w:jc w:val="left"/>
              <w:rPr>
                <w:rFonts w:ascii="Arial" w:hAnsi="Arial" w:cs="Arial" w:eastAsia="Arial" w:hint="default"/>
                <w:sz w:val="18"/>
                <w:szCs w:val="18"/>
              </w:rPr>
            </w:pPr>
            <w:r>
              <w:rPr>
                <w:rFonts w:ascii="Arial"/>
                <w:sz w:val="18"/>
              </w:rPr>
              <w:t>83,698</w:t>
            </w:r>
          </w:p>
        </w:tc>
        <w:tc>
          <w:tcPr>
            <w:tcW w:w="283"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9" w:right="0"/>
              <w:jc w:val="left"/>
              <w:rPr>
                <w:rFonts w:ascii="Arial" w:hAnsi="Arial" w:cs="Arial" w:eastAsia="Arial" w:hint="default"/>
                <w:sz w:val="18"/>
                <w:szCs w:val="18"/>
              </w:rPr>
            </w:pPr>
            <w:r>
              <w:rPr>
                <w:rFonts w:ascii="Arial"/>
                <w:sz w:val="18"/>
              </w:rPr>
              <w:t>(83,348)</w:t>
            </w:r>
          </w:p>
        </w:tc>
        <w:tc>
          <w:tcPr>
            <w:tcW w:w="348" w:type="dxa"/>
            <w:tcBorders>
              <w:top w:val="single" w:sz="4" w:space="0" w:color="000000"/>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885" w:right="0"/>
              <w:jc w:val="left"/>
              <w:rPr>
                <w:rFonts w:ascii="Arial" w:hAnsi="Arial" w:cs="Arial" w:eastAsia="Arial" w:hint="default"/>
                <w:sz w:val="18"/>
                <w:szCs w:val="18"/>
              </w:rPr>
            </w:pPr>
            <w:r>
              <w:rPr>
                <w:rFonts w:ascii="Arial"/>
                <w:sz w:val="18"/>
              </w:rPr>
              <w:t>1,712</w:t>
            </w:r>
          </w:p>
        </w:tc>
      </w:tr>
      <w:tr>
        <w:trPr>
          <w:trHeight w:val="241"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73" w:right="0"/>
              <w:jc w:val="left"/>
              <w:rPr>
                <w:rFonts w:ascii="Arial" w:hAnsi="Arial" w:cs="Arial" w:eastAsia="Arial" w:hint="default"/>
                <w:sz w:val="18"/>
                <w:szCs w:val="18"/>
              </w:rPr>
            </w:pPr>
            <w:r>
              <w:rPr>
                <w:rFonts w:ascii="Arial"/>
                <w:sz w:val="18"/>
              </w:rPr>
              <w:t>16,658</w:t>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1" w:right="0"/>
              <w:jc w:val="left"/>
              <w:rPr>
                <w:rFonts w:ascii="Arial" w:hAnsi="Arial" w:cs="Arial" w:eastAsia="Arial" w:hint="default"/>
                <w:sz w:val="18"/>
                <w:szCs w:val="18"/>
              </w:rPr>
            </w:pPr>
            <w:r>
              <w:rPr>
                <w:rFonts w:ascii="Arial"/>
                <w:sz w:val="18"/>
              </w:rPr>
              <w:t>18,521</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99" w:right="0"/>
              <w:jc w:val="left"/>
              <w:rPr>
                <w:rFonts w:ascii="Arial" w:hAnsi="Arial" w:cs="Arial" w:eastAsia="Arial" w:hint="default"/>
                <w:sz w:val="18"/>
                <w:szCs w:val="18"/>
              </w:rPr>
            </w:pPr>
            <w:r>
              <w:rPr>
                <w:rFonts w:ascii="Arial"/>
                <w:sz w:val="18"/>
              </w:rPr>
              <w:t>(18,838)</w:t>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87" w:right="0"/>
              <w:jc w:val="left"/>
              <w:rPr>
                <w:rFonts w:ascii="Arial" w:hAnsi="Arial" w:cs="Arial" w:eastAsia="Arial" w:hint="default"/>
                <w:sz w:val="18"/>
                <w:szCs w:val="18"/>
              </w:rPr>
            </w:pPr>
            <w:r>
              <w:rPr>
                <w:rFonts w:ascii="Arial"/>
                <w:sz w:val="18"/>
              </w:rPr>
              <w:t>16,341</w:t>
            </w:r>
          </w:p>
        </w:tc>
      </w:tr>
      <w:tr>
        <w:trPr>
          <w:trHeight w:val="256"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198" w:lineRule="exact"/>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nil" w:sz="6" w:space="0" w:color="auto"/>
              <w:left w:val="nil" w:sz="6" w:space="0" w:color="auto"/>
              <w:bottom w:val="nil" w:sz="6" w:space="0" w:color="auto"/>
              <w:right w:val="nil" w:sz="6" w:space="0" w:color="auto"/>
            </w:tcBorders>
          </w:tcPr>
          <w:p>
            <w:pPr>
              <w:pStyle w:val="TableParagraph"/>
              <w:tabs>
                <w:tab w:pos="1123" w:val="left" w:leader="none"/>
                <w:tab w:pos="1559" w:val="left" w:leader="none"/>
              </w:tabs>
              <w:spacing w:line="240" w:lineRule="auto" w:before="21"/>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305</w:t>
              <w:tab/>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tabs>
                <w:tab w:pos="151" w:val="left" w:leader="none"/>
                <w:tab w:pos="916" w:val="left" w:leader="none"/>
              </w:tabs>
              <w:spacing w:line="240" w:lineRule="auto" w:before="21"/>
              <w:ind w:left="-36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329,091</w:t>
              <w:tab/>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398" w:val="left" w:leader="none"/>
                <w:tab w:pos="1274" w:val="left" w:leader="none"/>
              </w:tabs>
              <w:spacing w:line="240" w:lineRule="auto" w:before="21"/>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(329,390)</w:t>
              <w:tab/>
            </w:r>
            <w:r>
              <w:rPr>
                <w:rFonts w:ascii="Arial"/>
                <w:sz w:val="18"/>
              </w:rPr>
            </w:r>
          </w:p>
        </w:tc>
        <w:tc>
          <w:tcPr>
            <w:tcW w:w="348"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tabs>
                <w:tab w:pos="1235" w:val="left" w:leader="none"/>
                <w:tab w:pos="1504" w:val="left" w:leader="none"/>
              </w:tabs>
              <w:spacing w:line="240" w:lineRule="auto" w:before="21"/>
              <w:ind w:left="-63" w:right="-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6</w:t>
              <w:tab/>
            </w:r>
            <w:r>
              <w:rPr>
                <w:rFonts w:ascii="Arial"/>
                <w:sz w:val="18"/>
              </w:rPr>
            </w:r>
          </w:p>
        </w:tc>
      </w:tr>
      <w:tr>
        <w:trPr>
          <w:trHeight w:val="233" w:hRule="exact"/>
        </w:trPr>
        <w:tc>
          <w:tcPr>
            <w:tcW w:w="803"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772" w:right="0"/>
              <w:jc w:val="left"/>
              <w:rPr>
                <w:rFonts w:ascii="Arial" w:hAnsi="Arial" w:cs="Arial" w:eastAsia="Arial" w:hint="default"/>
                <w:sz w:val="18"/>
                <w:szCs w:val="18"/>
              </w:rPr>
            </w:pPr>
            <w:r>
              <w:rPr>
                <w:rFonts w:ascii="Arial"/>
                <w:sz w:val="18"/>
              </w:rPr>
              <w:t>201,295</w:t>
            </w:r>
          </w:p>
        </w:tc>
        <w:tc>
          <w:tcPr>
            <w:tcW w:w="284"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single" w:sz="12" w:space="0" w:color="000000"/>
              <w:right w:val="nil" w:sz="6" w:space="0" w:color="auto"/>
            </w:tcBorders>
          </w:tcPr>
          <w:p>
            <w:pPr/>
          </w:p>
        </w:tc>
        <w:tc>
          <w:tcPr>
            <w:tcW w:w="91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Arial" w:hAnsi="Arial" w:cs="Arial" w:eastAsia="Arial" w:hint="default"/>
                <w:sz w:val="18"/>
                <w:szCs w:val="18"/>
              </w:rPr>
            </w:pPr>
            <w:r>
              <w:rPr>
                <w:rFonts w:ascii="Arial"/>
                <w:sz w:val="18"/>
              </w:rPr>
              <w:t>3,976,473</w:t>
            </w:r>
          </w:p>
        </w:tc>
        <w:tc>
          <w:tcPr>
            <w:tcW w:w="28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304" w:right="0"/>
              <w:jc w:val="left"/>
              <w:rPr>
                <w:rFonts w:ascii="Arial" w:hAnsi="Arial" w:cs="Arial" w:eastAsia="Arial" w:hint="default"/>
                <w:sz w:val="18"/>
                <w:szCs w:val="18"/>
              </w:rPr>
            </w:pPr>
            <w:r>
              <w:rPr>
                <w:rFonts w:ascii="Arial"/>
                <w:sz w:val="18"/>
              </w:rPr>
              <w:t>(3,904,210)</w:t>
            </w:r>
          </w:p>
        </w:tc>
        <w:tc>
          <w:tcPr>
            <w:tcW w:w="348" w:type="dxa"/>
            <w:tcBorders>
              <w:top w:val="nil" w:sz="6" w:space="0" w:color="auto"/>
              <w:left w:val="nil" w:sz="6" w:space="0" w:color="auto"/>
              <w:bottom w:val="single" w:sz="12" w:space="0" w:color="000000"/>
              <w:right w:val="nil" w:sz="6" w:space="0" w:color="auto"/>
            </w:tcBorders>
          </w:tcPr>
          <w:p>
            <w:pPr/>
          </w:p>
        </w:tc>
        <w:tc>
          <w:tcPr>
            <w:tcW w:w="150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674" w:right="0"/>
              <w:jc w:val="left"/>
              <w:rPr>
                <w:rFonts w:ascii="Arial" w:hAnsi="Arial" w:cs="Arial" w:eastAsia="Arial" w:hint="default"/>
                <w:sz w:val="18"/>
                <w:szCs w:val="18"/>
              </w:rPr>
            </w:pPr>
            <w:r>
              <w:rPr>
                <w:rFonts w:ascii="Arial"/>
                <w:sz w:val="18"/>
              </w:rPr>
              <w:t>273,558</w:t>
            </w:r>
          </w:p>
        </w:tc>
      </w:tr>
      <w:tr>
        <w:trPr>
          <w:trHeight w:val="819" w:hRule="exact"/>
        </w:trPr>
        <w:tc>
          <w:tcPr>
            <w:tcW w:w="803" w:type="dxa"/>
            <w:tcBorders>
              <w:top w:val="nil" w:sz="6" w:space="0" w:color="auto"/>
              <w:left w:val="nil" w:sz="6" w:space="0" w:color="auto"/>
              <w:bottom w:val="nil" w:sz="6" w:space="0" w:color="auto"/>
              <w:right w:val="nil" w:sz="6" w:space="0" w:color="auto"/>
            </w:tcBorders>
          </w:tcPr>
          <w:p>
            <w:pPr/>
          </w:p>
        </w:tc>
        <w:tc>
          <w:tcPr>
            <w:tcW w:w="9364" w:type="dxa"/>
            <w:gridSpan w:val="9"/>
            <w:tcBorders>
              <w:top w:val="nil" w:sz="6" w:space="0" w:color="auto"/>
              <w:left w:val="nil" w:sz="6" w:space="0" w:color="auto"/>
              <w:bottom w:val="nil" w:sz="6" w:space="0" w:color="auto"/>
              <w:right w:val="nil" w:sz="6" w:space="0" w:color="auto"/>
            </w:tcBorders>
          </w:tcPr>
          <w:p>
            <w:pPr>
              <w:pStyle w:val="TableParagraph"/>
              <w:spacing w:line="322" w:lineRule="exact" w:before="181"/>
              <w:ind w:left="11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pacing w:val="-5"/>
                <w:sz w:val="24"/>
                <w:szCs w:val="24"/>
              </w:rPr>
              <w:t>2011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日，应付职工薪酬中没有属于拖欠性质的应付款，且该余额预计将</w:t>
            </w:r>
          </w:p>
          <w:p>
            <w:pPr>
              <w:pStyle w:val="TableParagraph"/>
              <w:spacing w:line="322" w:lineRule="exact"/>
              <w:ind w:left="11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2012</w:t>
            </w:r>
            <w:r>
              <w:rPr>
                <w:rFonts w:ascii="Arial" w:hAnsi="Arial" w:cs="Arial" w:eastAsia="Arial" w:hint="default"/>
                <w:spacing w:val="-9"/>
                <w:sz w:val="24"/>
                <w:szCs w:val="24"/>
              </w:rPr>
              <w:t> </w:t>
            </w:r>
            <w:r>
              <w:rPr>
                <w:rFonts w:ascii="宋体" w:hAnsi="宋体" w:cs="宋体" w:eastAsia="宋体" w:hint="default"/>
                <w:sz w:val="24"/>
                <w:szCs w:val="24"/>
              </w:rPr>
              <w:t>年度全部发放和使用完毕。</w:t>
            </w:r>
          </w:p>
        </w:tc>
      </w:tr>
    </w:tbl>
    <w:p>
      <w:pPr>
        <w:spacing w:after="0" w:line="322" w:lineRule="exact"/>
        <w:jc w:val="left"/>
        <w:rPr>
          <w:rFonts w:ascii="宋体" w:hAnsi="宋体" w:cs="宋体" w:eastAsia="宋体" w:hint="default"/>
          <w:sz w:val="24"/>
          <w:szCs w:val="24"/>
        </w:rPr>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656"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28" w:type="dxa"/>
        <w:tblLayout w:type="fixed"/>
        <w:tblCellMar>
          <w:top w:w="0" w:type="dxa"/>
          <w:left w:w="0" w:type="dxa"/>
          <w:bottom w:w="0" w:type="dxa"/>
          <w:right w:w="0" w:type="dxa"/>
        </w:tblCellMar>
        <w:tblLook w:val="01E0"/>
      </w:tblPr>
      <w:tblGrid>
        <w:gridCol w:w="772"/>
        <w:gridCol w:w="3144"/>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28" w:type="dxa"/>
        <w:tblLayout w:type="fixed"/>
        <w:tblCellMar>
          <w:top w:w="0" w:type="dxa"/>
          <w:left w:w="0" w:type="dxa"/>
          <w:bottom w:w="0" w:type="dxa"/>
          <w:right w:w="0" w:type="dxa"/>
        </w:tblCellMar>
        <w:tblLook w:val="01E0"/>
      </w:tblPr>
      <w:tblGrid>
        <w:gridCol w:w="771"/>
        <w:gridCol w:w="3841"/>
        <w:gridCol w:w="2918"/>
        <w:gridCol w:w="2767"/>
      </w:tblGrid>
      <w:tr>
        <w:trPr>
          <w:trHeight w:val="419"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(23)</w:t>
            </w:r>
          </w:p>
        </w:tc>
        <w:tc>
          <w:tcPr>
            <w:tcW w:w="3841" w:type="dxa"/>
            <w:tcBorders>
              <w:top w:val="nil" w:sz="6" w:space="0" w:color="auto"/>
              <w:left w:val="nil" w:sz="6" w:space="0" w:color="auto"/>
              <w:bottom w:val="nil" w:sz="6" w:space="0" w:color="auto"/>
              <w:right w:val="nil" w:sz="6" w:space="0" w:color="auto"/>
            </w:tcBorders>
          </w:tcPr>
          <w:p>
            <w:pPr>
              <w:pStyle w:val="TableParagraph"/>
              <w:spacing w:line="245" w:lineRule="exact"/>
              <w:ind w:left="142" w:right="0"/>
              <w:jc w:val="left"/>
              <w:rPr>
                <w:rFonts w:ascii="宋体" w:hAnsi="宋体" w:cs="宋体" w:eastAsia="宋体" w:hint="default"/>
                <w:sz w:val="24"/>
                <w:szCs w:val="24"/>
              </w:rPr>
            </w:pPr>
            <w:r>
              <w:rPr>
                <w:rFonts w:ascii="宋体" w:hAnsi="宋体" w:cs="宋体" w:eastAsia="宋体" w:hint="default"/>
                <w:b/>
                <w:bCs/>
                <w:sz w:val="24"/>
                <w:szCs w:val="24"/>
              </w:rPr>
              <w:t>应交税费</w:t>
            </w:r>
            <w:r>
              <w:rPr>
                <w:rFonts w:ascii="宋体" w:hAnsi="宋体" w:cs="宋体" w:eastAsia="宋体" w:hint="default"/>
                <w:sz w:val="24"/>
                <w:szCs w:val="24"/>
              </w:rPr>
            </w:r>
          </w:p>
        </w:tc>
        <w:tc>
          <w:tcPr>
            <w:tcW w:w="291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r>
      <w:tr>
        <w:trPr>
          <w:trHeight w:val="594"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84"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3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2"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538" w:right="0"/>
              <w:jc w:val="left"/>
              <w:rPr>
                <w:rFonts w:ascii="Arial" w:hAnsi="Arial" w:cs="Arial" w:eastAsia="Arial" w:hint="default"/>
                <w:sz w:val="24"/>
                <w:szCs w:val="24"/>
              </w:rPr>
            </w:pPr>
            <w:r>
              <w:rPr>
                <w:rFonts w:ascii="Arial"/>
                <w:sz w:val="24"/>
              </w:rPr>
              <w:t>671,619</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621" w:right="0"/>
              <w:jc w:val="left"/>
              <w:rPr>
                <w:rFonts w:ascii="Arial" w:hAnsi="Arial" w:cs="Arial" w:eastAsia="Arial" w:hint="default"/>
                <w:sz w:val="24"/>
                <w:szCs w:val="24"/>
              </w:rPr>
            </w:pPr>
            <w:r>
              <w:rPr>
                <w:rFonts w:ascii="Arial"/>
                <w:sz w:val="24"/>
              </w:rPr>
              <w:t>478,764</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70" w:right="0"/>
              <w:jc w:val="left"/>
              <w:rPr>
                <w:rFonts w:ascii="Arial" w:hAnsi="Arial" w:cs="Arial" w:eastAsia="Arial" w:hint="default"/>
                <w:sz w:val="24"/>
                <w:szCs w:val="24"/>
              </w:rPr>
            </w:pPr>
            <w:r>
              <w:rPr>
                <w:rFonts w:ascii="Arial"/>
                <w:sz w:val="24"/>
              </w:rPr>
              <w:t>35,470</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53" w:right="0"/>
              <w:jc w:val="left"/>
              <w:rPr>
                <w:rFonts w:ascii="Arial" w:hAnsi="Arial" w:cs="Arial" w:eastAsia="Arial" w:hint="default"/>
                <w:sz w:val="24"/>
                <w:szCs w:val="24"/>
              </w:rPr>
            </w:pPr>
            <w:r>
              <w:rPr>
                <w:rFonts w:ascii="Arial"/>
                <w:sz w:val="24"/>
              </w:rPr>
              <w:t>24,157</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38" w:right="0"/>
              <w:jc w:val="left"/>
              <w:rPr>
                <w:rFonts w:ascii="Arial" w:hAnsi="Arial" w:cs="Arial" w:eastAsia="Arial" w:hint="default"/>
                <w:sz w:val="24"/>
                <w:szCs w:val="24"/>
              </w:rPr>
            </w:pPr>
            <w:r>
              <w:rPr>
                <w:rFonts w:ascii="Arial"/>
                <w:sz w:val="24"/>
              </w:rPr>
              <w:t>120,131</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6"/>
              <w:jc w:val="right"/>
              <w:rPr>
                <w:rFonts w:ascii="Arial" w:hAnsi="Arial" w:cs="Arial" w:eastAsia="Arial" w:hint="default"/>
                <w:sz w:val="24"/>
                <w:szCs w:val="24"/>
              </w:rPr>
            </w:pPr>
            <w:r>
              <w:rPr>
                <w:rFonts w:ascii="Arial"/>
                <w:spacing w:val="-1"/>
                <w:sz w:val="24"/>
              </w:rPr>
              <w:t>2,783</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70" w:right="0"/>
              <w:jc w:val="left"/>
              <w:rPr>
                <w:rFonts w:ascii="Arial" w:hAnsi="Arial" w:cs="Arial" w:eastAsia="Arial" w:hint="default"/>
                <w:sz w:val="24"/>
                <w:szCs w:val="24"/>
              </w:rPr>
            </w:pPr>
            <w:r>
              <w:rPr>
                <w:rFonts w:ascii="Arial"/>
                <w:sz w:val="24"/>
              </w:rPr>
              <w:t>24,481</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53" w:right="0"/>
              <w:jc w:val="left"/>
              <w:rPr>
                <w:rFonts w:ascii="Arial" w:hAnsi="Arial" w:cs="Arial" w:eastAsia="Arial" w:hint="default"/>
                <w:sz w:val="24"/>
                <w:szCs w:val="24"/>
              </w:rPr>
            </w:pPr>
            <w:r>
              <w:rPr>
                <w:rFonts w:ascii="Arial"/>
                <w:sz w:val="24"/>
              </w:rPr>
              <w:t>13,153</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70" w:right="0"/>
              <w:jc w:val="left"/>
              <w:rPr>
                <w:rFonts w:ascii="Arial" w:hAnsi="Arial" w:cs="Arial" w:eastAsia="Arial" w:hint="default"/>
                <w:sz w:val="24"/>
                <w:szCs w:val="24"/>
              </w:rPr>
            </w:pPr>
            <w:r>
              <w:rPr>
                <w:rFonts w:ascii="Arial"/>
                <w:sz w:val="24"/>
              </w:rPr>
              <w:t>14,523</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6"/>
              <w:jc w:val="right"/>
              <w:rPr>
                <w:rFonts w:ascii="Arial" w:hAnsi="Arial" w:cs="Arial" w:eastAsia="Arial" w:hint="default"/>
                <w:sz w:val="24"/>
                <w:szCs w:val="24"/>
              </w:rPr>
            </w:pPr>
            <w:r>
              <w:rPr>
                <w:rFonts w:ascii="Arial"/>
                <w:spacing w:val="-1"/>
                <w:sz w:val="24"/>
              </w:rPr>
              <w:t>9,791</w:t>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待抵扣增值税</w:t>
            </w:r>
          </w:p>
        </w:tc>
        <w:tc>
          <w:tcPr>
            <w:tcW w:w="291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1"/>
              <w:jc w:val="right"/>
              <w:rPr>
                <w:rFonts w:ascii="Arial" w:hAnsi="Arial" w:cs="Arial" w:eastAsia="Arial" w:hint="default"/>
                <w:sz w:val="24"/>
                <w:szCs w:val="24"/>
              </w:rPr>
            </w:pPr>
            <w:r>
              <w:rPr>
                <w:rFonts w:ascii="Arial"/>
                <w:spacing w:val="-1"/>
                <w:sz w:val="24"/>
              </w:rPr>
              <w:t>(64,795)</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03" w:right="0"/>
              <w:jc w:val="left"/>
              <w:rPr>
                <w:rFonts w:ascii="Arial" w:hAnsi="Arial" w:cs="Arial" w:eastAsia="Arial" w:hint="default"/>
                <w:sz w:val="24"/>
                <w:szCs w:val="24"/>
              </w:rPr>
            </w:pPr>
            <w:r>
              <w:rPr>
                <w:rFonts w:ascii="Arial"/>
                <w:sz w:val="24"/>
              </w:rPr>
              <w:t>(6,321)</w:t>
            </w:r>
          </w:p>
        </w:tc>
      </w:tr>
      <w:tr>
        <w:trPr>
          <w:trHeight w:val="314"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18" w:type="dxa"/>
            <w:tcBorders>
              <w:top w:val="nil" w:sz="6" w:space="0" w:color="auto"/>
              <w:left w:val="nil" w:sz="6" w:space="0" w:color="auto"/>
              <w:bottom w:val="nil" w:sz="6" w:space="0" w:color="auto"/>
              <w:right w:val="nil" w:sz="6" w:space="0" w:color="auto"/>
            </w:tcBorders>
          </w:tcPr>
          <w:p>
            <w:pPr>
              <w:pStyle w:val="TableParagraph"/>
              <w:tabs>
                <w:tab w:pos="1435" w:val="left" w:leader="none"/>
                <w:tab w:pos="2407" w:val="left" w:leader="none"/>
              </w:tabs>
              <w:spacing w:line="240" w:lineRule="auto" w:before="21"/>
              <w:ind w:right="3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(10,673)</w:t>
              <w:tab/>
            </w:r>
            <w:r>
              <w:rPr>
                <w:rFonts w:ascii="Arial"/>
                <w:spacing w:val="-1"/>
                <w:sz w:val="24"/>
              </w:rPr>
            </w:r>
          </w:p>
        </w:tc>
        <w:tc>
          <w:tcPr>
            <w:tcW w:w="2767" w:type="dxa"/>
            <w:tcBorders>
              <w:top w:val="nil" w:sz="6" w:space="0" w:color="auto"/>
              <w:left w:val="nil" w:sz="6" w:space="0" w:color="auto"/>
              <w:bottom w:val="nil" w:sz="6" w:space="0" w:color="auto"/>
              <w:right w:val="nil" w:sz="6" w:space="0" w:color="auto"/>
            </w:tcBorders>
          </w:tcPr>
          <w:p>
            <w:pPr>
              <w:pStyle w:val="TableParagraph"/>
              <w:tabs>
                <w:tab w:pos="1668" w:val="left" w:leader="none"/>
                <w:tab w:pos="2407" w:val="left" w:leader="none"/>
              </w:tabs>
              <w:spacing w:line="240" w:lineRule="auto" w:before="21"/>
              <w:ind w:right="13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3,423</w:t>
              <w:tab/>
            </w:r>
            <w:r>
              <w:rPr>
                <w:rFonts w:ascii="Arial"/>
                <w:spacing w:val="-1"/>
                <w:sz w:val="24"/>
              </w:rPr>
            </w:r>
          </w:p>
        </w:tc>
      </w:tr>
      <w:tr>
        <w:trPr>
          <w:trHeight w:val="263" w:hRule="exact"/>
        </w:trPr>
        <w:tc>
          <w:tcPr>
            <w:tcW w:w="771"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18" w:type="dxa"/>
            <w:tcBorders>
              <w:top w:val="nil" w:sz="6" w:space="0" w:color="auto"/>
              <w:left w:val="nil" w:sz="6" w:space="0" w:color="auto"/>
              <w:bottom w:val="nil" w:sz="6" w:space="0" w:color="auto"/>
              <w:right w:val="nil" w:sz="6" w:space="0" w:color="auto"/>
            </w:tcBorders>
          </w:tcPr>
          <w:p>
            <w:pPr>
              <w:pStyle w:val="TableParagraph"/>
              <w:tabs>
                <w:tab w:pos="1399" w:val="left" w:leader="none"/>
                <w:tab w:pos="2421" w:val="left" w:leader="none"/>
              </w:tabs>
              <w:spacing w:line="268" w:lineRule="exact"/>
              <w:ind w:right="3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790,756</w:t>
              <w:tab/>
            </w:r>
            <w:r>
              <w:rPr>
                <w:rFonts w:ascii="Arial"/>
                <w:spacing w:val="-1"/>
                <w:sz w:val="24"/>
              </w:rPr>
            </w:r>
          </w:p>
        </w:tc>
        <w:tc>
          <w:tcPr>
            <w:tcW w:w="2767" w:type="dxa"/>
            <w:tcBorders>
              <w:top w:val="nil" w:sz="6" w:space="0" w:color="auto"/>
              <w:left w:val="nil" w:sz="6" w:space="0" w:color="auto"/>
              <w:bottom w:val="nil" w:sz="6" w:space="0" w:color="auto"/>
              <w:right w:val="nil" w:sz="6" w:space="0" w:color="auto"/>
            </w:tcBorders>
          </w:tcPr>
          <w:p>
            <w:pPr>
              <w:pStyle w:val="TableParagraph"/>
              <w:tabs>
                <w:tab w:pos="1416" w:val="left" w:leader="none"/>
                <w:tab w:pos="2421" w:val="left" w:leader="none"/>
              </w:tabs>
              <w:spacing w:line="268" w:lineRule="exact"/>
              <w:ind w:right="13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525,750</w:t>
              <w:tab/>
            </w:r>
            <w:r>
              <w:rPr>
                <w:rFonts w:ascii="Arial"/>
                <w:spacing w:val="-1"/>
                <w:sz w:val="24"/>
              </w:rPr>
            </w:r>
          </w:p>
        </w:tc>
      </w:tr>
    </w:tbl>
    <w:p>
      <w:pPr>
        <w:spacing w:line="240" w:lineRule="auto" w:before="8"/>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782"/>
        <w:gridCol w:w="3840"/>
        <w:gridCol w:w="2916"/>
        <w:gridCol w:w="2755"/>
      </w:tblGrid>
      <w:tr>
        <w:trPr>
          <w:trHeight w:val="419"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5" w:lineRule="exact"/>
              <w:ind w:right="151"/>
              <w:jc w:val="right"/>
              <w:rPr>
                <w:rFonts w:ascii="Arial" w:hAnsi="Arial" w:cs="Arial" w:eastAsia="Arial" w:hint="default"/>
                <w:sz w:val="24"/>
                <w:szCs w:val="24"/>
              </w:rPr>
            </w:pPr>
            <w:r>
              <w:rPr>
                <w:rFonts w:ascii="Arial"/>
                <w:w w:val="95"/>
                <w:sz w:val="24"/>
              </w:rPr>
              <w:t>(24)</w:t>
            </w:r>
            <w:r>
              <w:rPr>
                <w:rFonts w:ascii="Arial"/>
                <w:sz w:val="24"/>
              </w:rPr>
            </w:r>
          </w:p>
        </w:tc>
        <w:tc>
          <w:tcPr>
            <w:tcW w:w="3840" w:type="dxa"/>
            <w:tcBorders>
              <w:top w:val="nil" w:sz="6" w:space="0" w:color="auto"/>
              <w:left w:val="nil" w:sz="6" w:space="0" w:color="auto"/>
              <w:bottom w:val="nil" w:sz="6" w:space="0" w:color="auto"/>
              <w:right w:val="nil" w:sz="6" w:space="0" w:color="auto"/>
            </w:tcBorders>
          </w:tcPr>
          <w:p>
            <w:pPr>
              <w:pStyle w:val="TableParagraph"/>
              <w:spacing w:line="245" w:lineRule="exact"/>
              <w:ind w:left="141" w:right="0"/>
              <w:jc w:val="left"/>
              <w:rPr>
                <w:rFonts w:ascii="宋体" w:hAnsi="宋体" w:cs="宋体" w:eastAsia="宋体" w:hint="default"/>
                <w:sz w:val="24"/>
                <w:szCs w:val="24"/>
              </w:rPr>
            </w:pPr>
            <w:r>
              <w:rPr>
                <w:rFonts w:ascii="宋体" w:hAnsi="宋体" w:cs="宋体" w:eastAsia="宋体" w:hint="default"/>
                <w:b/>
                <w:bCs/>
                <w:sz w:val="24"/>
                <w:szCs w:val="24"/>
              </w:rPr>
              <w:t>应付利息</w:t>
            </w:r>
            <w:r>
              <w:rPr>
                <w:rFonts w:ascii="宋体" w:hAnsi="宋体" w:cs="宋体" w:eastAsia="宋体" w:hint="default"/>
                <w:sz w:val="24"/>
                <w:szCs w:val="24"/>
              </w:rPr>
            </w:r>
          </w:p>
        </w:tc>
        <w:tc>
          <w:tcPr>
            <w:tcW w:w="2916"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604" w:hRule="exact"/>
        </w:trPr>
        <w:tc>
          <w:tcPr>
            <w:tcW w:w="782" w:type="dxa"/>
            <w:tcBorders>
              <w:top w:val="nil" w:sz="6" w:space="0" w:color="auto"/>
              <w:left w:val="nil" w:sz="6" w:space="0" w:color="auto"/>
              <w:bottom w:val="nil" w:sz="6" w:space="0" w:color="auto"/>
              <w:right w:val="nil" w:sz="6" w:space="0" w:color="auto"/>
            </w:tcBorders>
          </w:tcPr>
          <w:p>
            <w:pPr/>
          </w:p>
        </w:tc>
        <w:tc>
          <w:tcPr>
            <w:tcW w:w="3840"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3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20" w:hRule="exact"/>
        </w:trPr>
        <w:tc>
          <w:tcPr>
            <w:tcW w:w="782" w:type="dxa"/>
            <w:tcBorders>
              <w:top w:val="nil" w:sz="6" w:space="0" w:color="auto"/>
              <w:left w:val="nil" w:sz="6" w:space="0" w:color="auto"/>
              <w:bottom w:val="nil" w:sz="6" w:space="0" w:color="auto"/>
              <w:right w:val="nil" w:sz="6" w:space="0" w:color="auto"/>
            </w:tcBorders>
          </w:tcPr>
          <w:p>
            <w:pPr/>
          </w:p>
        </w:tc>
        <w:tc>
          <w:tcPr>
            <w:tcW w:w="384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1" w:right="0"/>
              <w:jc w:val="left"/>
              <w:rPr>
                <w:rFonts w:ascii="宋体" w:hAnsi="宋体" w:cs="宋体" w:eastAsia="宋体" w:hint="default"/>
                <w:sz w:val="24"/>
                <w:szCs w:val="24"/>
              </w:rPr>
            </w:pPr>
            <w:r>
              <w:rPr>
                <w:rFonts w:ascii="宋体" w:hAnsi="宋体" w:cs="宋体" w:eastAsia="宋体" w:hint="default"/>
                <w:sz w:val="24"/>
                <w:szCs w:val="24"/>
              </w:rPr>
              <w:t>短期借款应付利息</w:t>
            </w:r>
          </w:p>
        </w:tc>
        <w:tc>
          <w:tcPr>
            <w:tcW w:w="2916" w:type="dxa"/>
            <w:tcBorders>
              <w:top w:val="nil" w:sz="6" w:space="0" w:color="auto"/>
              <w:left w:val="nil" w:sz="6" w:space="0" w:color="auto"/>
              <w:bottom w:val="nil" w:sz="6" w:space="0" w:color="auto"/>
              <w:right w:val="nil" w:sz="6" w:space="0" w:color="auto"/>
            </w:tcBorders>
          </w:tcPr>
          <w:p>
            <w:pPr>
              <w:pStyle w:val="TableParagraph"/>
              <w:tabs>
                <w:tab w:pos="1778" w:val="left" w:leader="none"/>
                <w:tab w:pos="2556" w:val="left" w:leader="none"/>
              </w:tabs>
              <w:spacing w:line="240" w:lineRule="auto" w:before="178"/>
              <w:ind w:left="12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5,305</w:t>
              <w:tab/>
            </w:r>
            <w:r>
              <w:rPr>
                <w:rFonts w:ascii="Arial"/>
                <w:sz w:val="24"/>
              </w:rPr>
            </w:r>
          </w:p>
        </w:tc>
        <w:tc>
          <w:tcPr>
            <w:tcW w:w="2755" w:type="dxa"/>
            <w:tcBorders>
              <w:top w:val="nil" w:sz="6" w:space="0" w:color="auto"/>
              <w:left w:val="nil" w:sz="6" w:space="0" w:color="auto"/>
              <w:bottom w:val="nil" w:sz="6" w:space="0" w:color="auto"/>
              <w:right w:val="nil" w:sz="6" w:space="0" w:color="auto"/>
            </w:tcBorders>
          </w:tcPr>
          <w:p>
            <w:pPr>
              <w:pStyle w:val="TableParagraph"/>
              <w:tabs>
                <w:tab w:pos="2189" w:val="left" w:leader="none"/>
                <w:tab w:pos="2402" w:val="left" w:leader="none"/>
              </w:tabs>
              <w:spacing w:line="240" w:lineRule="auto" w:before="178"/>
              <w:ind w:right="14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r>
        <w:trPr>
          <w:trHeight w:val="591"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39"/>
              <w:jc w:val="right"/>
              <w:rPr>
                <w:rFonts w:ascii="Arial" w:hAnsi="Arial" w:cs="Arial" w:eastAsia="Arial" w:hint="default"/>
                <w:sz w:val="24"/>
                <w:szCs w:val="24"/>
              </w:rPr>
            </w:pPr>
            <w:r>
              <w:rPr>
                <w:rFonts w:ascii="Arial"/>
                <w:w w:val="95"/>
                <w:sz w:val="24"/>
              </w:rPr>
              <w:t>(25)</w:t>
            </w:r>
            <w:r>
              <w:rPr>
                <w:rFonts w:ascii="Arial"/>
                <w:sz w:val="24"/>
              </w:rPr>
            </w:r>
          </w:p>
        </w:tc>
        <w:tc>
          <w:tcPr>
            <w:tcW w:w="384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1" w:right="0"/>
              <w:jc w:val="left"/>
              <w:rPr>
                <w:rFonts w:ascii="宋体" w:hAnsi="宋体" w:cs="宋体" w:eastAsia="宋体" w:hint="default"/>
                <w:sz w:val="24"/>
                <w:szCs w:val="24"/>
              </w:rPr>
            </w:pPr>
            <w:r>
              <w:rPr>
                <w:rFonts w:ascii="宋体" w:hAnsi="宋体" w:cs="宋体" w:eastAsia="宋体" w:hint="default"/>
                <w:b/>
                <w:bCs/>
                <w:sz w:val="24"/>
                <w:szCs w:val="24"/>
              </w:rPr>
              <w:t>应付股利</w:t>
            </w:r>
            <w:r>
              <w:rPr>
                <w:rFonts w:ascii="宋体" w:hAnsi="宋体" w:cs="宋体" w:eastAsia="宋体" w:hint="default"/>
                <w:sz w:val="24"/>
                <w:szCs w:val="24"/>
              </w:rPr>
            </w:r>
          </w:p>
        </w:tc>
        <w:tc>
          <w:tcPr>
            <w:tcW w:w="2916"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594" w:hRule="exact"/>
        </w:trPr>
        <w:tc>
          <w:tcPr>
            <w:tcW w:w="782" w:type="dxa"/>
            <w:tcBorders>
              <w:top w:val="nil" w:sz="6" w:space="0" w:color="auto"/>
              <w:left w:val="nil" w:sz="6" w:space="0" w:color="auto"/>
              <w:bottom w:val="nil" w:sz="6" w:space="0" w:color="auto"/>
              <w:right w:val="nil" w:sz="6" w:space="0" w:color="auto"/>
            </w:tcBorders>
          </w:tcPr>
          <w:p>
            <w:pPr/>
          </w:p>
        </w:tc>
        <w:tc>
          <w:tcPr>
            <w:tcW w:w="3840" w:type="dxa"/>
            <w:tcBorders>
              <w:top w:val="nil" w:sz="6" w:space="0" w:color="auto"/>
              <w:left w:val="nil" w:sz="6" w:space="0" w:color="auto"/>
              <w:bottom w:val="nil" w:sz="6" w:space="0" w:color="auto"/>
              <w:right w:val="nil" w:sz="6" w:space="0" w:color="auto"/>
            </w:tcBorders>
          </w:tcPr>
          <w:p>
            <w:pP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3"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39" w:hRule="exact"/>
        </w:trPr>
        <w:tc>
          <w:tcPr>
            <w:tcW w:w="782" w:type="dxa"/>
            <w:tcBorders>
              <w:top w:val="nil" w:sz="6" w:space="0" w:color="auto"/>
              <w:left w:val="nil" w:sz="6" w:space="0" w:color="auto"/>
              <w:bottom w:val="nil" w:sz="6" w:space="0" w:color="auto"/>
              <w:right w:val="nil" w:sz="6" w:space="0" w:color="auto"/>
            </w:tcBorders>
          </w:tcPr>
          <w:p>
            <w:pPr/>
          </w:p>
        </w:tc>
        <w:tc>
          <w:tcPr>
            <w:tcW w:w="384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应付淮安热电公司</w:t>
            </w:r>
          </w:p>
        </w:tc>
        <w:tc>
          <w:tcPr>
            <w:tcW w:w="2916" w:type="dxa"/>
            <w:tcBorders>
              <w:top w:val="nil" w:sz="6" w:space="0" w:color="auto"/>
              <w:left w:val="nil" w:sz="6" w:space="0" w:color="auto"/>
              <w:bottom w:val="nil" w:sz="6" w:space="0" w:color="auto"/>
              <w:right w:val="nil" w:sz="6" w:space="0" w:color="auto"/>
            </w:tcBorders>
          </w:tcPr>
          <w:p>
            <w:pPr>
              <w:pStyle w:val="TableParagraph"/>
              <w:tabs>
                <w:tab w:pos="2299" w:val="left" w:leader="none"/>
                <w:tab w:pos="2556" w:val="left" w:leader="none"/>
              </w:tabs>
              <w:spacing w:line="240" w:lineRule="auto" w:before="168"/>
              <w:ind w:left="1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2755" w:type="dxa"/>
            <w:tcBorders>
              <w:top w:val="nil" w:sz="6" w:space="0" w:color="auto"/>
              <w:left w:val="nil" w:sz="6" w:space="0" w:color="auto"/>
              <w:bottom w:val="nil" w:sz="6" w:space="0" w:color="auto"/>
              <w:right w:val="nil" w:sz="6" w:space="0" w:color="auto"/>
            </w:tcBorders>
          </w:tcPr>
          <w:p>
            <w:pPr>
              <w:pStyle w:val="TableParagraph"/>
              <w:tabs>
                <w:tab w:pos="1685" w:val="left" w:leader="none"/>
                <w:tab w:pos="2424" w:val="left" w:leader="none"/>
              </w:tabs>
              <w:spacing w:line="240" w:lineRule="auto" w:before="168"/>
              <w:ind w:right="12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9,397</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50"/>
          <w:pgMar w:header="754" w:footer="956" w:top="2240" w:bottom="1140" w:left="800" w:right="0"/>
        </w:sectPr>
      </w:pPr>
    </w:p>
    <w:p>
      <w:pPr>
        <w:spacing w:line="240" w:lineRule="auto" w:before="11"/>
        <w:rPr>
          <w:rFonts w:ascii="Times New Roman" w:hAnsi="Times New Roman" w:cs="Times New Roman" w:eastAsia="Times New Roman" w:hint="default"/>
          <w:sz w:val="3"/>
          <w:szCs w:val="3"/>
        </w:rPr>
      </w:pPr>
      <w:r>
        <w:rPr/>
        <w:pict>
          <v:group style="position:absolute;margin-left:149.660004pt;margin-top:631.659973pt;width:199.65pt;height:1.45pt;mso-position-horizontal-relative:page;mso-position-vertical-relative:page;z-index:-1358608" coordorigin="2993,12633" coordsize="3993,29">
            <v:group style="position:absolute;left:3008;top:12648;width:1163;height:2" coordorigin="3008,12648" coordsize="1163,2">
              <v:shape style="position:absolute;left:3008;top:12648;width:1163;height:2" coordorigin="3008,12648" coordsize="1163,0" path="m3008,12648l4170,12648e" filled="false" stroked="true" strokeweight="1.44pt" strokecolor="#000000">
                <v:path arrowok="t"/>
              </v:shape>
            </v:group>
            <v:group style="position:absolute;left:4170;top:12648;width:29;height:2" coordorigin="4170,12648" coordsize="29,2">
              <v:shape style="position:absolute;left:4170;top:12648;width:29;height:2" coordorigin="4170,12648" coordsize="29,0" path="m4170,12648l4199,12648e" filled="false" stroked="true" strokeweight="1.44pt" strokecolor="#000000">
                <v:path arrowok="t"/>
              </v:shape>
            </v:group>
            <v:group style="position:absolute;left:4199;top:12648;width:228;height:2" coordorigin="4199,12648" coordsize="228,2">
              <v:shape style="position:absolute;left:4199;top:12648;width:228;height:2" coordorigin="4199,12648" coordsize="228,0" path="m4199,12648l4427,12648e" filled="false" stroked="true" strokeweight="1.44pt" strokecolor="#000000">
                <v:path arrowok="t"/>
              </v:shape>
            </v:group>
            <v:group style="position:absolute;left:4427;top:12648;width:29;height:2" coordorigin="4427,12648" coordsize="29,2">
              <v:shape style="position:absolute;left:4427;top:12648;width:29;height:2" coordorigin="4427,12648" coordsize="29,0" path="m4427,12648l4455,12648e" filled="false" stroked="true" strokeweight="1.44pt" strokecolor="#000000">
                <v:path arrowok="t"/>
              </v:shape>
            </v:group>
            <v:group style="position:absolute;left:4455;top:12648;width:960;height:2" coordorigin="4455,12648" coordsize="960,2">
              <v:shape style="position:absolute;left:4455;top:12648;width:960;height:2" coordorigin="4455,12648" coordsize="960,0" path="m4455,12648l5415,12648e" filled="false" stroked="true" strokeweight="1.44pt" strokecolor="#000000">
                <v:path arrowok="t"/>
              </v:shape>
            </v:group>
            <v:group style="position:absolute;left:5415;top:12648;width:29;height:2" coordorigin="5415,12648" coordsize="29,2">
              <v:shape style="position:absolute;left:5415;top:12648;width:29;height:2" coordorigin="5415,12648" coordsize="29,0" path="m5415,12648l5444,12648e" filled="false" stroked="true" strokeweight="1.44pt" strokecolor="#000000">
                <v:path arrowok="t"/>
              </v:shape>
            </v:group>
            <v:group style="position:absolute;left:5444;top:12648;width:250;height:2" coordorigin="5444,12648" coordsize="250,2">
              <v:shape style="position:absolute;left:5444;top:12648;width:250;height:2" coordorigin="5444,12648" coordsize="250,0" path="m5444,12648l5694,12648e" filled="false" stroked="true" strokeweight="1.44pt" strokecolor="#000000">
                <v:path arrowok="t"/>
              </v:shape>
            </v:group>
            <v:group style="position:absolute;left:5694;top:12648;width:29;height:2" coordorigin="5694,12648" coordsize="29,2">
              <v:shape style="position:absolute;left:5694;top:12648;width:29;height:2" coordorigin="5694,12648" coordsize="29,0" path="m5694,12648l5723,12648e" filled="false" stroked="true" strokeweight="1.44pt" strokecolor="#000000">
                <v:path arrowok="t"/>
              </v:shape>
            </v:group>
            <v:group style="position:absolute;left:5723;top:12648;width:1249;height:2" coordorigin="5723,12648" coordsize="1249,2">
              <v:shape style="position:absolute;left:5723;top:12648;width:1249;height:2" coordorigin="5723,12648" coordsize="1249,0" path="m5723,12648l6971,12648e" filled="false" stroked="true" strokeweight="1.44pt" strokecolor="#000000">
                <v:path arrowok="t"/>
              </v:shape>
            </v:group>
            <w10:wrap type="none"/>
          </v:group>
        </w:pict>
      </w:r>
      <w:r>
        <w:rPr/>
        <w:pict>
          <v:group style="position:absolute;margin-left:362.470001pt;margin-top:631.659973pt;width:188.45pt;height:1.45pt;mso-position-horizontal-relative:page;mso-position-vertical-relative:page;z-index:-1358584" coordorigin="7249,12633" coordsize="3769,29">
            <v:group style="position:absolute;left:7264;top:12648;width:1124;height:2" coordorigin="7264,12648" coordsize="1124,2">
              <v:shape style="position:absolute;left:7264;top:12648;width:1124;height:2" coordorigin="7264,12648" coordsize="1124,0" path="m7264,12648l8387,12648e" filled="false" stroked="true" strokeweight="1.44pt" strokecolor="#000000">
                <v:path arrowok="t"/>
              </v:shape>
            </v:group>
            <v:group style="position:absolute;left:8387;top:12648;width:29;height:2" coordorigin="8387,12648" coordsize="29,2">
              <v:shape style="position:absolute;left:8387;top:12648;width:29;height:2" coordorigin="8387,12648" coordsize="29,0" path="m8387,12648l8416,12648e" filled="false" stroked="true" strokeweight="1.44pt" strokecolor="#000000">
                <v:path arrowok="t"/>
              </v:shape>
            </v:group>
            <v:group style="position:absolute;left:8416;top:12648;width:209;height:2" coordorigin="8416,12648" coordsize="209,2">
              <v:shape style="position:absolute;left:8416;top:12648;width:209;height:2" coordorigin="8416,12648" coordsize="209,0" path="m8416,12648l8625,12648e" filled="false" stroked="true" strokeweight="1.44pt" strokecolor="#000000">
                <v:path arrowok="t"/>
              </v:shape>
            </v:group>
            <v:group style="position:absolute;left:8625;top:12648;width:29;height:2" coordorigin="8625,12648" coordsize="29,2">
              <v:shape style="position:absolute;left:8625;top:12648;width:29;height:2" coordorigin="8625,12648" coordsize="29,0" path="m8625,12648l8653,12648e" filled="false" stroked="true" strokeweight="1.44pt" strokecolor="#000000">
                <v:path arrowok="t"/>
              </v:shape>
            </v:group>
            <v:group style="position:absolute;left:8653;top:12648;width:870;height:2" coordorigin="8653,12648" coordsize="870,2">
              <v:shape style="position:absolute;left:8653;top:12648;width:870;height:2" coordorigin="8653,12648" coordsize="870,0" path="m8653,12648l9523,12648e" filled="false" stroked="true" strokeweight="1.44pt" strokecolor="#000000">
                <v:path arrowok="t"/>
              </v:shape>
            </v:group>
            <v:group style="position:absolute;left:9523;top:12648;width:29;height:2" coordorigin="9523,12648" coordsize="29,2">
              <v:shape style="position:absolute;left:9523;top:12648;width:29;height:2" coordorigin="9523,12648" coordsize="29,0" path="m9523,12648l9552,12648e" filled="false" stroked="true" strokeweight="1.44pt" strokecolor="#000000">
                <v:path arrowok="t"/>
              </v:shape>
            </v:group>
            <v:group style="position:absolute;left:9552;top:12648;width:209;height:2" coordorigin="9552,12648" coordsize="209,2">
              <v:shape style="position:absolute;left:9552;top:12648;width:209;height:2" coordorigin="9552,12648" coordsize="209,0" path="m9552,12648l9760,12648e" filled="false" stroked="true" strokeweight="1.44pt" strokecolor="#000000">
                <v:path arrowok="t"/>
              </v:shape>
            </v:group>
            <v:group style="position:absolute;left:9760;top:12648;width:29;height:2" coordorigin="9760,12648" coordsize="29,2">
              <v:shape style="position:absolute;left:9760;top:12648;width:29;height:2" coordorigin="9760,12648" coordsize="29,0" path="m9760,12648l9789,12648e" filled="false" stroked="true" strokeweight="1.44pt" strokecolor="#000000">
                <v:path arrowok="t"/>
              </v:shape>
            </v:group>
            <v:group style="position:absolute;left:9789;top:12648;width:1215;height:2" coordorigin="9789,12648" coordsize="1215,2">
              <v:shape style="position:absolute;left:9789;top:12648;width:1215;height:2" coordorigin="9789,12648" coordsize="1215,0" path="m9789,12648l11004,12648e" filled="false" stroked="true" strokeweight="1.44pt" strokecolor="#000000">
                <v:path arrowok="t"/>
              </v:shape>
            </v:group>
            <w10:wrap type="none"/>
          </v:group>
        </w:pict>
      </w:r>
      <w:r>
        <w:rPr/>
        <w:pict>
          <v:group style="position:absolute;margin-left:283.970001pt;margin-top:699.579956pt;width:64.6pt;height:.1pt;mso-position-horizontal-relative:page;mso-position-vertical-relative:page;z-index:-1358560" coordorigin="5679,13992" coordsize="1292,2">
            <v:shape style="position:absolute;left:5679;top:13992;width:1292;height:2" coordorigin="5679,13992" coordsize="1292,0" path="m5679,13992l6971,13992e" filled="false" stroked="true" strokeweight="1.44pt" strokecolor="#000000">
              <v:path arrowok="t"/>
            </v:shape>
            <w10:wrap type="none"/>
          </v:group>
        </w:pict>
      </w:r>
    </w:p>
    <w:p>
      <w:pPr>
        <w:spacing w:line="20" w:lineRule="exact"/>
        <w:ind w:left="87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77"/>
        <w:gridCol w:w="3241"/>
      </w:tblGrid>
      <w:tr>
        <w:trPr>
          <w:trHeight w:val="252"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241" w:type="dxa"/>
            <w:tcBorders>
              <w:top w:val="nil" w:sz="6" w:space="0" w:color="auto"/>
              <w:left w:val="nil" w:sz="6" w:space="0" w:color="auto"/>
              <w:bottom w:val="nil" w:sz="6" w:space="0" w:color="auto"/>
              <w:right w:val="nil" w:sz="6" w:space="0" w:color="auto"/>
            </w:tcBorders>
          </w:tcPr>
          <w:p>
            <w:pPr>
              <w:pStyle w:val="TableParagraph"/>
              <w:spacing w:line="257" w:lineRule="exact"/>
              <w:ind w:left="2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70"/>
        <w:gridCol w:w="5187"/>
        <w:gridCol w:w="1289"/>
        <w:gridCol w:w="504"/>
        <w:gridCol w:w="2408"/>
      </w:tblGrid>
      <w:tr>
        <w:trPr>
          <w:trHeight w:val="41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(26)</w:t>
            </w:r>
          </w:p>
        </w:tc>
        <w:tc>
          <w:tcPr>
            <w:tcW w:w="5187" w:type="dxa"/>
            <w:tcBorders>
              <w:top w:val="nil" w:sz="6" w:space="0" w:color="auto"/>
              <w:left w:val="nil" w:sz="6" w:space="0" w:color="auto"/>
              <w:bottom w:val="nil" w:sz="6" w:space="0" w:color="auto"/>
              <w:right w:val="nil" w:sz="6" w:space="0" w:color="auto"/>
            </w:tcBorders>
          </w:tcPr>
          <w:p>
            <w:pPr>
              <w:pStyle w:val="TableParagraph"/>
              <w:spacing w:line="245" w:lineRule="exact"/>
              <w:ind w:left="141" w:right="0"/>
              <w:jc w:val="left"/>
              <w:rPr>
                <w:rFonts w:ascii="宋体" w:hAnsi="宋体" w:cs="宋体" w:eastAsia="宋体" w:hint="default"/>
                <w:sz w:val="24"/>
                <w:szCs w:val="24"/>
              </w:rPr>
            </w:pP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1289" w:type="dxa"/>
            <w:tcBorders>
              <w:top w:val="nil" w:sz="6" w:space="0" w:color="auto"/>
              <w:left w:val="nil" w:sz="6" w:space="0" w:color="auto"/>
              <w:bottom w:val="nil" w:sz="6" w:space="0" w:color="auto"/>
              <w:right w:val="nil" w:sz="6" w:space="0" w:color="auto"/>
            </w:tcBorders>
          </w:tcPr>
          <w:p>
            <w:pP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r>
      <w:tr>
        <w:trPr>
          <w:trHeight w:val="591" w:hRule="exact"/>
        </w:trPr>
        <w:tc>
          <w:tcPr>
            <w:tcW w:w="770" w:type="dxa"/>
            <w:tcBorders>
              <w:top w:val="nil" w:sz="6" w:space="0" w:color="auto"/>
              <w:left w:val="nil" w:sz="6" w:space="0" w:color="auto"/>
              <w:bottom w:val="nil" w:sz="6" w:space="0" w:color="auto"/>
              <w:right w:val="nil" w:sz="6" w:space="0" w:color="auto"/>
            </w:tcBorders>
          </w:tcPr>
          <w:p>
            <w:pPr/>
          </w:p>
        </w:tc>
        <w:tc>
          <w:tcPr>
            <w:tcW w:w="698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422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44"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1" w:right="0"/>
              <w:jc w:val="left"/>
              <w:rPr>
                <w:rFonts w:ascii="宋体" w:hAnsi="宋体" w:cs="宋体" w:eastAsia="宋体" w:hint="default"/>
                <w:sz w:val="24"/>
                <w:szCs w:val="24"/>
              </w:rPr>
            </w:pPr>
            <w:r>
              <w:rPr>
                <w:rFonts w:ascii="宋体" w:hAnsi="宋体" w:cs="宋体" w:eastAsia="宋体" w:hint="default"/>
                <w:sz w:val="24"/>
                <w:szCs w:val="24"/>
              </w:rPr>
              <w:t>收取的保证金及押金</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1" w:right="0"/>
              <w:jc w:val="left"/>
              <w:rPr>
                <w:rFonts w:ascii="Arial" w:hAnsi="Arial" w:cs="Arial" w:eastAsia="Arial" w:hint="default"/>
                <w:sz w:val="24"/>
                <w:szCs w:val="24"/>
              </w:rPr>
            </w:pPr>
            <w:r>
              <w:rPr>
                <w:rFonts w:ascii="Arial"/>
                <w:sz w:val="24"/>
              </w:rPr>
              <w:t>395,101</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431" w:right="0"/>
              <w:jc w:val="left"/>
              <w:rPr>
                <w:rFonts w:ascii="Arial" w:hAnsi="Arial" w:cs="Arial" w:eastAsia="Arial" w:hint="default"/>
                <w:sz w:val="24"/>
                <w:szCs w:val="24"/>
              </w:rPr>
            </w:pPr>
            <w:r>
              <w:rPr>
                <w:rFonts w:ascii="Arial"/>
                <w:spacing w:val="-3"/>
                <w:sz w:val="24"/>
              </w:rPr>
              <w:t>411,697</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79" w:lineRule="exact"/>
              <w:ind w:left="141" w:right="0"/>
              <w:jc w:val="left"/>
              <w:rPr>
                <w:rFonts w:ascii="宋体" w:hAnsi="宋体" w:cs="宋体" w:eastAsia="宋体" w:hint="default"/>
                <w:sz w:val="24"/>
                <w:szCs w:val="24"/>
              </w:rPr>
            </w:pPr>
            <w:r>
              <w:rPr>
                <w:rFonts w:ascii="宋体" w:hAnsi="宋体" w:cs="宋体" w:eastAsia="宋体" w:hint="default"/>
                <w:sz w:val="24"/>
                <w:szCs w:val="24"/>
              </w:rPr>
              <w:t>应付广告费</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3" w:right="0"/>
              <w:jc w:val="left"/>
              <w:rPr>
                <w:rFonts w:ascii="Arial" w:hAnsi="Arial" w:cs="Arial" w:eastAsia="Arial" w:hint="default"/>
                <w:sz w:val="24"/>
                <w:szCs w:val="24"/>
              </w:rPr>
            </w:pPr>
            <w:r>
              <w:rPr>
                <w:rFonts w:ascii="Arial"/>
                <w:sz w:val="24"/>
              </w:rPr>
              <w:t>415,598</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14" w:right="0"/>
              <w:jc w:val="left"/>
              <w:rPr>
                <w:rFonts w:ascii="Arial" w:hAnsi="Arial" w:cs="Arial" w:eastAsia="Arial" w:hint="default"/>
                <w:sz w:val="24"/>
                <w:szCs w:val="24"/>
              </w:rPr>
            </w:pPr>
            <w:r>
              <w:rPr>
                <w:rFonts w:ascii="Arial"/>
                <w:sz w:val="24"/>
              </w:rPr>
              <w:t>210,095</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79" w:lineRule="exact"/>
              <w:ind w:left="141"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4"/>
                <w:szCs w:val="24"/>
              </w:rPr>
            </w:pPr>
            <w:r>
              <w:rPr>
                <w:rFonts w:ascii="Arial"/>
                <w:sz w:val="24"/>
              </w:rPr>
              <w:t>1,255,490</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14" w:right="0"/>
              <w:jc w:val="left"/>
              <w:rPr>
                <w:rFonts w:ascii="Arial" w:hAnsi="Arial" w:cs="Arial" w:eastAsia="Arial" w:hint="default"/>
                <w:sz w:val="24"/>
                <w:szCs w:val="24"/>
              </w:rPr>
            </w:pPr>
            <w:r>
              <w:rPr>
                <w:rFonts w:ascii="Arial"/>
                <w:sz w:val="24"/>
              </w:rPr>
              <w:t>672,784</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79" w:lineRule="exact"/>
              <w:ind w:left="141" w:right="0"/>
              <w:jc w:val="left"/>
              <w:rPr>
                <w:rFonts w:ascii="宋体" w:hAnsi="宋体" w:cs="宋体" w:eastAsia="宋体" w:hint="default"/>
                <w:sz w:val="24"/>
                <w:szCs w:val="24"/>
              </w:rPr>
            </w:pPr>
            <w:r>
              <w:rPr>
                <w:rFonts w:ascii="宋体" w:hAnsi="宋体" w:cs="宋体" w:eastAsia="宋体" w:hint="default"/>
                <w:sz w:val="24"/>
                <w:szCs w:val="24"/>
              </w:rPr>
              <w:t>应付市场推广费</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20" w:right="0"/>
              <w:jc w:val="left"/>
              <w:rPr>
                <w:rFonts w:ascii="Arial" w:hAnsi="Arial" w:cs="Arial" w:eastAsia="Arial" w:hint="default"/>
                <w:sz w:val="24"/>
                <w:szCs w:val="24"/>
              </w:rPr>
            </w:pPr>
            <w:r>
              <w:rPr>
                <w:rFonts w:ascii="Arial"/>
                <w:spacing w:val="-3"/>
                <w:sz w:val="24"/>
              </w:rPr>
              <w:t>229,112</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46" w:right="0"/>
              <w:jc w:val="left"/>
              <w:rPr>
                <w:rFonts w:ascii="Arial" w:hAnsi="Arial" w:cs="Arial" w:eastAsia="Arial" w:hint="default"/>
                <w:sz w:val="24"/>
                <w:szCs w:val="24"/>
              </w:rPr>
            </w:pPr>
            <w:r>
              <w:rPr>
                <w:rFonts w:ascii="Arial"/>
                <w:sz w:val="24"/>
              </w:rPr>
              <w:t>64,085</w:t>
            </w:r>
          </w:p>
        </w:tc>
      </w:tr>
      <w:tr>
        <w:trPr>
          <w:trHeight w:val="319"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single" w:sz="2" w:space="0" w:color="000000"/>
              <w:right w:val="nil" w:sz="6" w:space="0" w:color="auto"/>
            </w:tcBorders>
          </w:tcPr>
          <w:p>
            <w:pPr>
              <w:pStyle w:val="TableParagraph"/>
              <w:spacing w:line="279" w:lineRule="exact"/>
              <w:ind w:left="141"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89" w:type="dxa"/>
            <w:tcBorders>
              <w:top w:val="nil" w:sz="6" w:space="0" w:color="auto"/>
              <w:left w:val="nil" w:sz="6" w:space="0" w:color="auto"/>
              <w:bottom w:val="single" w:sz="2" w:space="0" w:color="000000"/>
              <w:right w:val="nil" w:sz="6" w:space="0" w:color="auto"/>
            </w:tcBorders>
          </w:tcPr>
          <w:p>
            <w:pPr>
              <w:pStyle w:val="TableParagraph"/>
              <w:spacing w:line="240" w:lineRule="auto" w:before="3"/>
              <w:ind w:left="203" w:right="0"/>
              <w:jc w:val="left"/>
              <w:rPr>
                <w:rFonts w:ascii="Arial" w:hAnsi="Arial" w:cs="Arial" w:eastAsia="Arial" w:hint="default"/>
                <w:sz w:val="24"/>
                <w:szCs w:val="24"/>
              </w:rPr>
            </w:pPr>
            <w:r>
              <w:rPr>
                <w:rFonts w:ascii="Arial"/>
                <w:sz w:val="24"/>
              </w:rPr>
              <w:t>448,624</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2" w:space="0" w:color="000000"/>
              <w:right w:val="nil" w:sz="6" w:space="0" w:color="auto"/>
            </w:tcBorders>
          </w:tcPr>
          <w:p>
            <w:pPr>
              <w:pStyle w:val="TableParagraph"/>
              <w:spacing w:line="240" w:lineRule="auto" w:before="3"/>
              <w:ind w:left="1414" w:right="0"/>
              <w:jc w:val="left"/>
              <w:rPr>
                <w:rFonts w:ascii="Arial" w:hAnsi="Arial" w:cs="Arial" w:eastAsia="Arial" w:hint="default"/>
                <w:sz w:val="24"/>
                <w:szCs w:val="24"/>
              </w:rPr>
            </w:pPr>
            <w:r>
              <w:rPr>
                <w:rFonts w:ascii="Arial"/>
                <w:sz w:val="24"/>
              </w:rPr>
              <w:t>180,359</w:t>
            </w:r>
          </w:p>
        </w:tc>
      </w:tr>
      <w:tr>
        <w:trPr>
          <w:trHeight w:val="293"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single" w:sz="2" w:space="0" w:color="000000"/>
              <w:left w:val="nil" w:sz="6" w:space="0" w:color="auto"/>
              <w:bottom w:val="single" w:sz="12" w:space="0" w:color="000000"/>
              <w:right w:val="nil" w:sz="6" w:space="0" w:color="auto"/>
            </w:tcBorders>
          </w:tcPr>
          <w:p>
            <w:pPr/>
          </w:p>
        </w:tc>
        <w:tc>
          <w:tcPr>
            <w:tcW w:w="1289"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0"/>
              <w:jc w:val="left"/>
              <w:rPr>
                <w:rFonts w:ascii="Arial" w:hAnsi="Arial" w:cs="Arial" w:eastAsia="Arial" w:hint="default"/>
                <w:sz w:val="24"/>
                <w:szCs w:val="24"/>
              </w:rPr>
            </w:pPr>
            <w:r>
              <w:rPr>
                <w:rFonts w:ascii="Arial"/>
                <w:sz w:val="24"/>
              </w:rPr>
              <w:t>2,743,925</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single" w:sz="2" w:space="0" w:color="000000"/>
              <w:left w:val="nil" w:sz="6" w:space="0" w:color="auto"/>
              <w:bottom w:val="single" w:sz="12" w:space="0" w:color="000000"/>
              <w:right w:val="nil" w:sz="6" w:space="0" w:color="auto"/>
            </w:tcBorders>
          </w:tcPr>
          <w:p>
            <w:pPr>
              <w:pStyle w:val="TableParagraph"/>
              <w:spacing w:line="274" w:lineRule="exact"/>
              <w:ind w:left="1212" w:right="0"/>
              <w:jc w:val="left"/>
              <w:rPr>
                <w:rFonts w:ascii="Arial" w:hAnsi="Arial" w:cs="Arial" w:eastAsia="Arial" w:hint="default"/>
                <w:sz w:val="24"/>
                <w:szCs w:val="24"/>
              </w:rPr>
            </w:pPr>
            <w:r>
              <w:rPr>
                <w:rFonts w:ascii="Arial"/>
                <w:sz w:val="24"/>
              </w:rPr>
              <w:t>1,539,020</w:t>
            </w:r>
          </w:p>
        </w:tc>
      </w:tr>
      <w:tr>
        <w:trPr>
          <w:trHeight w:val="1054"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938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2" w:lineRule="exact"/>
              <w:ind w:left="141" w:right="7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pacing w:val="-6"/>
                <w:sz w:val="24"/>
                <w:szCs w:val="24"/>
              </w:rPr>
              <w:t>2011</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 </w:t>
            </w:r>
            <w:r>
              <w:rPr>
                <w:rFonts w:ascii="宋体" w:hAnsi="宋体" w:cs="宋体" w:eastAsia="宋体" w:hint="default"/>
                <w:sz w:val="24"/>
                <w:szCs w:val="24"/>
              </w:rPr>
              <w:t>日及</w:t>
            </w:r>
            <w:r>
              <w:rPr>
                <w:rFonts w:ascii="宋体" w:hAnsi="宋体" w:cs="宋体" w:eastAsia="宋体" w:hint="default"/>
                <w:spacing w:val="-55"/>
                <w:sz w:val="24"/>
                <w:szCs w:val="24"/>
              </w:rPr>
              <w:t> </w:t>
            </w:r>
            <w:r>
              <w:rPr>
                <w:rFonts w:ascii="Arial" w:hAnsi="Arial" w:cs="Arial" w:eastAsia="Arial" w:hint="default"/>
                <w:sz w:val="24"/>
                <w:szCs w:val="24"/>
              </w:rPr>
              <w:t>2010</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日，其他应付款中无应付持有本公司</w:t>
            </w:r>
            <w:r>
              <w:rPr>
                <w:rFonts w:ascii="宋体" w:hAnsi="宋体" w:cs="宋体" w:eastAsia="宋体" w:hint="default"/>
                <w:spacing w:val="-55"/>
                <w:sz w:val="24"/>
                <w:szCs w:val="24"/>
              </w:rPr>
              <w:t> </w:t>
            </w:r>
            <w:r>
              <w:rPr>
                <w:rFonts w:ascii="Arial" w:hAnsi="Arial" w:cs="Arial" w:eastAsia="Arial" w:hint="default"/>
                <w:sz w:val="24"/>
                <w:szCs w:val="24"/>
              </w:rPr>
              <w:t>5%(</w:t>
            </w:r>
            <w:r>
              <w:rPr>
                <w:rFonts w:ascii="宋体" w:hAnsi="宋体" w:cs="宋体" w:eastAsia="宋体" w:hint="default"/>
                <w:sz w:val="24"/>
                <w:szCs w:val="24"/>
              </w:rPr>
              <w:t>含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r>
        <w:trPr>
          <w:trHeight w:val="447"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518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1" w:right="0"/>
              <w:jc w:val="left"/>
              <w:rPr>
                <w:rFonts w:ascii="宋体" w:hAnsi="宋体" w:cs="宋体" w:eastAsia="宋体" w:hint="default"/>
                <w:sz w:val="24"/>
                <w:szCs w:val="24"/>
              </w:rPr>
            </w:pPr>
            <w:r>
              <w:rPr>
                <w:rFonts w:ascii="宋体" w:hAnsi="宋体" w:cs="宋体" w:eastAsia="宋体" w:hint="default"/>
                <w:sz w:val="24"/>
                <w:szCs w:val="24"/>
              </w:rPr>
              <w:t>应付关联方的其他应付款：</w:t>
            </w:r>
          </w:p>
        </w:tc>
        <w:tc>
          <w:tcPr>
            <w:tcW w:w="1289" w:type="dxa"/>
            <w:tcBorders>
              <w:top w:val="nil" w:sz="6" w:space="0" w:color="auto"/>
              <w:left w:val="nil" w:sz="6" w:space="0" w:color="auto"/>
              <w:bottom w:val="nil" w:sz="6" w:space="0" w:color="auto"/>
              <w:right w:val="nil" w:sz="6" w:space="0" w:color="auto"/>
            </w:tcBorders>
          </w:tcPr>
          <w:p>
            <w:pP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r>
      <w:tr>
        <w:trPr>
          <w:trHeight w:val="456" w:hRule="exact"/>
        </w:trPr>
        <w:tc>
          <w:tcPr>
            <w:tcW w:w="770" w:type="dxa"/>
            <w:tcBorders>
              <w:top w:val="nil" w:sz="6" w:space="0" w:color="auto"/>
              <w:left w:val="nil" w:sz="6" w:space="0" w:color="auto"/>
              <w:bottom w:val="nil" w:sz="6" w:space="0" w:color="auto"/>
              <w:right w:val="nil" w:sz="6" w:space="0" w:color="auto"/>
            </w:tcBorders>
          </w:tcPr>
          <w:p>
            <w:pPr/>
          </w:p>
        </w:tc>
        <w:tc>
          <w:tcPr>
            <w:tcW w:w="6980" w:type="dxa"/>
            <w:gridSpan w:val="3"/>
            <w:tcBorders>
              <w:top w:val="nil" w:sz="6" w:space="0" w:color="auto"/>
              <w:left w:val="nil" w:sz="6" w:space="0" w:color="auto"/>
              <w:bottom w:val="nil" w:sz="6" w:space="0" w:color="auto"/>
              <w:right w:val="nil" w:sz="6" w:space="0" w:color="auto"/>
            </w:tcBorders>
          </w:tcPr>
          <w:p>
            <w:pPr>
              <w:pStyle w:val="TableParagraph"/>
              <w:spacing w:line="293" w:lineRule="exact"/>
              <w:ind w:left="4404"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408" w:type="dxa"/>
            <w:tcBorders>
              <w:top w:val="nil" w:sz="6" w:space="0" w:color="auto"/>
              <w:left w:val="nil" w:sz="6" w:space="0" w:color="auto"/>
              <w:bottom w:val="nil" w:sz="6" w:space="0" w:color="auto"/>
              <w:right w:val="nil" w:sz="6" w:space="0" w:color="auto"/>
            </w:tcBorders>
          </w:tcPr>
          <w:p>
            <w:pPr>
              <w:pStyle w:val="TableParagraph"/>
              <w:spacing w:line="293" w:lineRule="exact"/>
              <w:ind w:left="247"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Arial" w:hAnsi="Arial" w:cs="Arial" w:eastAsia="Arial" w:hint="default"/>
                <w:sz w:val="24"/>
                <w:szCs w:val="24"/>
              </w:rPr>
            </w:pPr>
            <w:r>
              <w:rPr>
                <w:rFonts w:ascii="宋体" w:hAnsi="宋体" w:cs="宋体" w:eastAsia="宋体" w:hint="default"/>
                <w:sz w:val="24"/>
                <w:szCs w:val="24"/>
              </w:rPr>
              <w:t>成都鸿业置业有限公司</w:t>
            </w:r>
            <w:r>
              <w:rPr>
                <w:rFonts w:ascii="Arial" w:hAnsi="Arial" w:cs="Arial" w:eastAsia="Arial" w:hint="default"/>
                <w:sz w:val="24"/>
                <w:szCs w:val="24"/>
              </w:rPr>
              <w:t>(</w:t>
            </w:r>
            <w:r>
              <w:rPr>
                <w:rFonts w:ascii="宋体" w:hAnsi="宋体" w:cs="宋体" w:eastAsia="宋体" w:hint="default"/>
                <w:sz w:val="24"/>
                <w:szCs w:val="24"/>
              </w:rPr>
              <w:t>附注六</w:t>
            </w:r>
            <w:r>
              <w:rPr>
                <w:rFonts w:ascii="Arial" w:hAnsi="Arial" w:cs="Arial" w:eastAsia="Arial" w:hint="default"/>
                <w:sz w:val="24"/>
                <w:szCs w:val="24"/>
              </w:rPr>
              <w:t>(6))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
              <w:jc w:val="right"/>
              <w:rPr>
                <w:rFonts w:ascii="Arial" w:hAnsi="Arial" w:cs="Arial" w:eastAsia="Arial" w:hint="default"/>
                <w:sz w:val="24"/>
                <w:szCs w:val="24"/>
              </w:rPr>
            </w:pPr>
            <w:r>
              <w:rPr>
                <w:rFonts w:ascii="Arial"/>
                <w:spacing w:val="-1"/>
                <w:sz w:val="24"/>
              </w:rPr>
              <w:t>2,010</w:t>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6"/>
              <w:jc w:val="right"/>
              <w:rPr>
                <w:rFonts w:ascii="Arial" w:hAnsi="Arial" w:cs="Arial" w:eastAsia="Arial" w:hint="default"/>
                <w:sz w:val="24"/>
                <w:szCs w:val="24"/>
              </w:rPr>
            </w:pPr>
            <w:r>
              <w:rPr>
                <w:rFonts w:ascii="Arial"/>
                <w:w w:val="99"/>
                <w:sz w:val="24"/>
              </w:rPr>
              <w:t>-</w:t>
            </w:r>
            <w:r>
              <w:rPr>
                <w:rFonts w:ascii="Arial"/>
                <w:sz w:val="24"/>
              </w:rPr>
            </w:r>
          </w:p>
        </w:tc>
      </w:tr>
      <w:tr>
        <w:trPr>
          <w:trHeight w:val="624"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spacing w:line="259" w:lineRule="exact"/>
              <w:ind w:left="141" w:right="0"/>
              <w:jc w:val="left"/>
              <w:rPr>
                <w:rFonts w:ascii="宋体" w:hAnsi="宋体" w:cs="宋体" w:eastAsia="宋体" w:hint="default"/>
                <w:sz w:val="24"/>
                <w:szCs w:val="24"/>
              </w:rPr>
            </w:pPr>
            <w:r>
              <w:rPr>
                <w:rFonts w:ascii="宋体" w:hAnsi="宋体" w:cs="宋体" w:eastAsia="宋体" w:hint="default"/>
                <w:spacing w:val="13"/>
                <w:sz w:val="24"/>
                <w:szCs w:val="24"/>
              </w:rPr>
              <w:t>江苏苏宁银河国际购物广场有限公司</w:t>
            </w:r>
            <w:r>
              <w:rPr>
                <w:rFonts w:ascii="宋体" w:hAnsi="宋体" w:cs="宋体" w:eastAsia="宋体" w:hint="default"/>
                <w:sz w:val="24"/>
                <w:szCs w:val="24"/>
              </w:rPr>
            </w:r>
          </w:p>
          <w:p>
            <w:pPr>
              <w:pStyle w:val="TableParagraph"/>
              <w:spacing w:line="330" w:lineRule="exact"/>
              <w:ind w:left="141"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附注六</w:t>
            </w:r>
            <w:r>
              <w:rPr>
                <w:rFonts w:ascii="Arial" w:hAnsi="Arial" w:cs="Arial" w:eastAsia="Arial" w:hint="default"/>
                <w:sz w:val="24"/>
                <w:szCs w:val="24"/>
              </w:rPr>
              <w:t>(6))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0"/>
              <w:jc w:val="right"/>
              <w:rPr>
                <w:rFonts w:ascii="Arial" w:hAnsi="Arial" w:cs="Arial" w:eastAsia="Arial" w:hint="default"/>
                <w:sz w:val="24"/>
                <w:szCs w:val="24"/>
              </w:rPr>
            </w:pPr>
            <w:r>
              <w:rPr>
                <w:rFonts w:ascii="Arial"/>
                <w:w w:val="95"/>
                <w:sz w:val="24"/>
              </w:rPr>
              <w:t>304</w:t>
            </w:r>
            <w:r>
              <w:rPr>
                <w:rFonts w:ascii="Arial"/>
                <w:sz w:val="24"/>
              </w:rPr>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26"/>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70" w:type="dxa"/>
            <w:tcBorders>
              <w:top w:val="nil" w:sz="6" w:space="0" w:color="auto"/>
              <w:left w:val="nil" w:sz="6" w:space="0" w:color="auto"/>
              <w:bottom w:val="nil" w:sz="6" w:space="0" w:color="auto"/>
              <w:right w:val="nil" w:sz="6" w:space="0" w:color="auto"/>
            </w:tcBorders>
          </w:tcPr>
          <w:p>
            <w:pPr/>
          </w:p>
        </w:tc>
        <w:tc>
          <w:tcPr>
            <w:tcW w:w="5187" w:type="dxa"/>
            <w:tcBorders>
              <w:top w:val="nil" w:sz="6" w:space="0" w:color="auto"/>
              <w:left w:val="nil" w:sz="6" w:space="0" w:color="auto"/>
              <w:bottom w:val="nil" w:sz="6" w:space="0" w:color="auto"/>
              <w:right w:val="nil" w:sz="6" w:space="0" w:color="auto"/>
            </w:tcBorders>
          </w:tcPr>
          <w:p>
            <w:pPr>
              <w:pStyle w:val="TableParagraph"/>
              <w:tabs>
                <w:tab w:pos="4274" w:val="left" w:leader="none"/>
                <w:tab w:pos="6394" w:val="left" w:leader="none"/>
              </w:tabs>
              <w:spacing w:line="277" w:lineRule="exact"/>
              <w:ind w:left="141" w:right="-1208"/>
              <w:jc w:val="left"/>
              <w:rPr>
                <w:rFonts w:ascii="Arial" w:hAnsi="Arial" w:cs="Arial" w:eastAsia="Arial" w:hint="default"/>
                <w:sz w:val="24"/>
                <w:szCs w:val="24"/>
              </w:rPr>
            </w:pPr>
            <w:r>
              <w:rPr>
                <w:rFonts w:ascii="宋体" w:hAnsi="宋体" w:cs="宋体" w:eastAsia="宋体" w:hint="default"/>
                <w:position w:val="2"/>
                <w:sz w:val="24"/>
                <w:szCs w:val="24"/>
              </w:rPr>
              <w:t>索菲特银河大酒店</w:t>
            </w:r>
            <w:r>
              <w:rPr>
                <w:rFonts w:ascii="Arial" w:hAnsi="Arial" w:cs="Arial" w:eastAsia="Arial" w:hint="default"/>
                <w:position w:val="2"/>
                <w:sz w:val="24"/>
                <w:szCs w:val="24"/>
              </w:rPr>
              <w:t>(</w:t>
            </w:r>
            <w:r>
              <w:rPr>
                <w:rFonts w:ascii="宋体" w:hAnsi="宋体" w:cs="宋体" w:eastAsia="宋体" w:hint="default"/>
                <w:position w:val="2"/>
                <w:sz w:val="24"/>
                <w:szCs w:val="24"/>
              </w:rPr>
              <w:t>附注六</w:t>
            </w:r>
            <w:r>
              <w:rPr>
                <w:rFonts w:ascii="Arial" w:hAnsi="Arial" w:cs="Arial" w:eastAsia="Arial" w:hint="default"/>
                <w:position w:val="2"/>
                <w:sz w:val="24"/>
                <w:szCs w:val="24"/>
              </w:rPr>
              <w:t>(6))</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289" w:type="dxa"/>
            <w:tcBorders>
              <w:top w:val="nil" w:sz="6" w:space="0" w:color="auto"/>
              <w:left w:val="nil" w:sz="6" w:space="0" w:color="auto"/>
              <w:bottom w:val="nil" w:sz="6" w:space="0" w:color="auto"/>
              <w:right w:val="nil" w:sz="6" w:space="0" w:color="auto"/>
            </w:tcBorders>
          </w:tcPr>
          <w:p>
            <w:pPr>
              <w:pStyle w:val="TableParagraph"/>
              <w:tabs>
                <w:tab w:pos="160" w:val="left" w:leader="none"/>
              </w:tabs>
              <w:spacing w:line="240" w:lineRule="auto" w:before="21"/>
              <w:ind w:right="-80"/>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504"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tabs>
                <w:tab w:pos="1543" w:val="left" w:leader="none"/>
                <w:tab w:pos="2282" w:val="left" w:leader="none"/>
              </w:tabs>
              <w:spacing w:line="240" w:lineRule="auto" w:before="21"/>
              <w:ind w:right="-1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1,503</w:t>
              <w:tab/>
            </w:r>
            <w:r>
              <w:rPr>
                <w:rFonts w:ascii="Arial"/>
                <w:spacing w:val="-1"/>
                <w:sz w:val="24"/>
              </w:rPr>
            </w:r>
          </w:p>
        </w:tc>
      </w:tr>
      <w:tr>
        <w:trPr>
          <w:trHeight w:val="434" w:hRule="exact"/>
        </w:trPr>
        <w:tc>
          <w:tcPr>
            <w:tcW w:w="770" w:type="dxa"/>
            <w:tcBorders>
              <w:top w:val="nil" w:sz="6" w:space="0" w:color="auto"/>
              <w:left w:val="nil" w:sz="6" w:space="0" w:color="auto"/>
              <w:bottom w:val="nil" w:sz="6" w:space="0" w:color="auto"/>
              <w:right w:val="nil" w:sz="6" w:space="0" w:color="auto"/>
            </w:tcBorders>
          </w:tcPr>
          <w:p>
            <w:pPr/>
          </w:p>
        </w:tc>
        <w:tc>
          <w:tcPr>
            <w:tcW w:w="6980" w:type="dxa"/>
            <w:gridSpan w:val="3"/>
            <w:tcBorders>
              <w:top w:val="nil" w:sz="6" w:space="0" w:color="auto"/>
              <w:left w:val="nil" w:sz="6" w:space="0" w:color="auto"/>
              <w:bottom w:val="nil" w:sz="6" w:space="0" w:color="auto"/>
              <w:right w:val="nil" w:sz="6" w:space="0" w:color="auto"/>
            </w:tcBorders>
          </w:tcPr>
          <w:p>
            <w:pPr>
              <w:pStyle w:val="TableParagraph"/>
              <w:tabs>
                <w:tab w:pos="5873" w:val="left" w:leader="none"/>
                <w:tab w:pos="6554" w:val="left" w:leader="none"/>
              </w:tabs>
              <w:spacing w:line="268" w:lineRule="exact"/>
              <w:ind w:left="427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2,314</w:t>
              <w:tab/>
            </w:r>
            <w:r>
              <w:rPr>
                <w:rFonts w:ascii="Arial"/>
                <w:sz w:val="24"/>
              </w:rPr>
            </w:r>
          </w:p>
        </w:tc>
        <w:tc>
          <w:tcPr>
            <w:tcW w:w="2408" w:type="dxa"/>
            <w:tcBorders>
              <w:top w:val="nil" w:sz="6" w:space="0" w:color="auto"/>
              <w:left w:val="nil" w:sz="6" w:space="0" w:color="auto"/>
              <w:bottom w:val="nil" w:sz="6" w:space="0" w:color="auto"/>
              <w:right w:val="nil" w:sz="6" w:space="0" w:color="auto"/>
            </w:tcBorders>
          </w:tcPr>
          <w:p>
            <w:pPr>
              <w:pStyle w:val="TableParagraph"/>
              <w:tabs>
                <w:tab w:pos="1543" w:val="left" w:leader="none"/>
                <w:tab w:pos="2302" w:val="left" w:leader="none"/>
              </w:tabs>
              <w:spacing w:line="268" w:lineRule="exact"/>
              <w:ind w:right="-3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1,503</w:t>
              <w:tab/>
            </w:r>
            <w:r>
              <w:rPr>
                <w:rFonts w:ascii="Arial"/>
                <w:spacing w:val="-1"/>
                <w:sz w:val="24"/>
              </w:rPr>
            </w:r>
          </w:p>
        </w:tc>
      </w:tr>
      <w:tr>
        <w:trPr>
          <w:trHeight w:val="1218"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9387"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02"/>
              <w:ind w:left="141"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3"/>
                <w:sz w:val="24"/>
                <w:szCs w:val="24"/>
              </w:rPr>
              <w:t> </w:t>
            </w:r>
            <w:r>
              <w:rPr>
                <w:rFonts w:ascii="宋体" w:hAnsi="宋体" w:cs="宋体" w:eastAsia="宋体" w:hint="default"/>
                <w:sz w:val="24"/>
                <w:szCs w:val="24"/>
              </w:rPr>
              <w:t>日，账龄超过一年的其他应付款约人民币</w:t>
            </w:r>
            <w:r>
              <w:rPr>
                <w:rFonts w:ascii="宋体" w:hAnsi="宋体" w:cs="宋体" w:eastAsia="宋体" w:hint="default"/>
                <w:spacing w:val="-51"/>
                <w:sz w:val="24"/>
                <w:szCs w:val="24"/>
              </w:rPr>
              <w:t> </w:t>
            </w:r>
            <w:r>
              <w:rPr>
                <w:rFonts w:ascii="Arial" w:hAnsi="Arial" w:cs="Arial" w:eastAsia="Arial" w:hint="default"/>
                <w:sz w:val="24"/>
                <w:szCs w:val="24"/>
              </w:rPr>
              <w:t>2.94</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p>
          <w:p>
            <w:pPr>
              <w:pStyle w:val="TableParagraph"/>
              <w:spacing w:line="312" w:lineRule="exact"/>
              <w:ind w:left="141" w:right="0"/>
              <w:jc w:val="left"/>
              <w:rPr>
                <w:rFonts w:ascii="宋体" w:hAnsi="宋体" w:cs="宋体" w:eastAsia="宋体" w:hint="default"/>
                <w:sz w:val="24"/>
                <w:szCs w:val="24"/>
              </w:rPr>
            </w:pP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日：约人民币</w:t>
            </w:r>
            <w:r>
              <w:rPr>
                <w:rFonts w:ascii="宋体" w:hAnsi="宋体" w:cs="宋体" w:eastAsia="宋体" w:hint="default"/>
                <w:spacing w:val="-59"/>
                <w:sz w:val="24"/>
                <w:szCs w:val="24"/>
              </w:rPr>
              <w:t> </w:t>
            </w:r>
            <w:r>
              <w:rPr>
                <w:rFonts w:ascii="Arial" w:hAnsi="Arial" w:cs="Arial" w:eastAsia="Arial" w:hint="default"/>
                <w:sz w:val="24"/>
                <w:szCs w:val="24"/>
              </w:rPr>
              <w:t>2.47</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，主要为收取的各类保证金和押金。截至财务报告批准报出</w:t>
            </w:r>
          </w:p>
          <w:p>
            <w:pPr>
              <w:pStyle w:val="TableParagraph"/>
              <w:spacing w:line="322" w:lineRule="exact"/>
              <w:ind w:left="141" w:right="0"/>
              <w:jc w:val="left"/>
              <w:rPr>
                <w:rFonts w:ascii="宋体" w:hAnsi="宋体" w:cs="宋体" w:eastAsia="宋体" w:hint="default"/>
                <w:sz w:val="24"/>
                <w:szCs w:val="24"/>
              </w:rPr>
            </w:pPr>
            <w:r>
              <w:rPr>
                <w:rFonts w:ascii="宋体" w:hAnsi="宋体" w:cs="宋体" w:eastAsia="宋体" w:hint="default"/>
                <w:sz w:val="24"/>
                <w:szCs w:val="24"/>
              </w:rPr>
              <w:t>日止，已偿还约人民币</w:t>
            </w:r>
            <w:r>
              <w:rPr>
                <w:rFonts w:ascii="宋体" w:hAnsi="宋体" w:cs="宋体" w:eastAsia="宋体" w:hint="default"/>
                <w:spacing w:val="-65"/>
                <w:sz w:val="24"/>
                <w:szCs w:val="24"/>
              </w:rPr>
              <w:t> </w:t>
            </w:r>
            <w:r>
              <w:rPr>
                <w:rFonts w:ascii="Arial" w:hAnsi="Arial" w:cs="Arial" w:eastAsia="Arial" w:hint="default"/>
                <w:sz w:val="24"/>
                <w:szCs w:val="24"/>
              </w:rPr>
              <w:t>3,516</w:t>
            </w:r>
            <w:r>
              <w:rPr>
                <w:rFonts w:ascii="Arial" w:hAnsi="Arial" w:cs="Arial" w:eastAsia="Arial" w:hint="default"/>
                <w:spacing w:val="-1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(1))</w:t>
            </w:r>
            <w:r>
              <w:rPr>
                <w:rFonts w:ascii="宋体" w:hAnsi="宋体" w:cs="宋体" w:eastAsia="宋体" w:hint="default"/>
                <w:sz w:val="24"/>
                <w:szCs w:val="24"/>
              </w:rPr>
              <w:t>。</w:t>
            </w:r>
          </w:p>
        </w:tc>
      </w:tr>
      <w:tr>
        <w:trPr>
          <w:trHeight w:val="2360"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(d)</w:t>
            </w:r>
          </w:p>
        </w:tc>
        <w:tc>
          <w:tcPr>
            <w:tcW w:w="938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141" w:right="0"/>
              <w:jc w:val="left"/>
              <w:rPr>
                <w:rFonts w:ascii="宋体" w:hAnsi="宋体" w:cs="宋体" w:eastAsia="宋体" w:hint="default"/>
                <w:sz w:val="24"/>
                <w:szCs w:val="24"/>
              </w:rPr>
            </w:pPr>
            <w:r>
              <w:rPr>
                <w:rFonts w:ascii="宋体" w:hAnsi="宋体" w:cs="宋体" w:eastAsia="宋体" w:hint="default"/>
                <w:sz w:val="24"/>
                <w:szCs w:val="24"/>
              </w:rPr>
              <w:t>其他应付款中包括以下外币余额：</w:t>
            </w: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tabs>
                <w:tab w:pos="6523" w:val="left" w:leader="none"/>
              </w:tabs>
              <w:spacing w:line="240" w:lineRule="auto"/>
              <w:ind w:left="2388"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tab/>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p>
            <w:pPr>
              <w:pStyle w:val="TableParagraph"/>
              <w:tabs>
                <w:tab w:pos="3213" w:val="left" w:leader="none"/>
                <w:tab w:pos="4135" w:val="left" w:leader="none"/>
                <w:tab w:pos="5765" w:val="left" w:leader="none"/>
                <w:tab w:pos="7321" w:val="left" w:leader="none"/>
                <w:tab w:pos="8168" w:val="left" w:leader="none"/>
              </w:tabs>
              <w:spacing w:line="240" w:lineRule="auto" w:before="15"/>
              <w:ind w:left="249" w:right="0" w:firstLine="1298"/>
              <w:jc w:val="left"/>
              <w:rPr>
                <w:rFonts w:ascii="宋体" w:hAnsi="宋体" w:cs="宋体" w:eastAsia="宋体" w:hint="default"/>
                <w:sz w:val="21"/>
                <w:szCs w:val="21"/>
              </w:rPr>
            </w:pPr>
            <w:r>
              <w:rPr>
                <w:rFonts w:ascii="宋体" w:hAnsi="宋体" w:cs="宋体" w:eastAsia="宋体" w:hint="default"/>
                <w:spacing w:val="-1"/>
                <w:sz w:val="21"/>
                <w:szCs w:val="21"/>
              </w:rPr>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tab/>
              <w:t>外币金额</w:t>
              <w:tab/>
            </w:r>
            <w:r>
              <w:rPr>
                <w:rFonts w:ascii="宋体" w:hAnsi="宋体" w:cs="宋体" w:eastAsia="宋体" w:hint="default"/>
                <w:sz w:val="21"/>
                <w:szCs w:val="21"/>
              </w:rPr>
              <w:t>汇率</w:t>
              <w:tab/>
            </w:r>
            <w:r>
              <w:rPr>
                <w:rFonts w:ascii="宋体" w:hAnsi="宋体" w:cs="宋体" w:eastAsia="宋体" w:hint="default"/>
                <w:spacing w:val="-1"/>
                <w:sz w:val="21"/>
                <w:szCs w:val="21"/>
              </w:rPr>
              <w:t>折合人民币</w:t>
            </w: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tabs>
                <w:tab w:pos="1828" w:val="left" w:leader="none"/>
                <w:tab w:pos="2959" w:val="left" w:leader="none"/>
                <w:tab w:pos="4642" w:val="left" w:leader="none"/>
                <w:tab w:pos="6024" w:val="left" w:leader="none"/>
                <w:tab w:pos="7070" w:val="left" w:leader="none"/>
                <w:tab w:pos="8686" w:val="left" w:leader="none"/>
              </w:tabs>
              <w:spacing w:line="287" w:lineRule="exact"/>
              <w:ind w:left="249" w:right="0"/>
              <w:jc w:val="left"/>
              <w:rPr>
                <w:rFonts w:ascii="Arial" w:hAnsi="Arial" w:cs="Arial" w:eastAsia="Arial" w:hint="default"/>
                <w:sz w:val="21"/>
                <w:szCs w:val="21"/>
              </w:rPr>
            </w:pPr>
            <w:r>
              <w:rPr>
                <w:rFonts w:ascii="宋体" w:hAnsi="宋体" w:cs="宋体" w:eastAsia="宋体" w:hint="default"/>
                <w:position w:val="1"/>
                <w:sz w:val="21"/>
                <w:szCs w:val="21"/>
              </w:rPr>
              <w:t>港币</w:t>
              <w:tab/>
            </w:r>
            <w:r>
              <w:rPr>
                <w:rFonts w:ascii="Arial" w:hAnsi="Arial" w:cs="Arial" w:eastAsia="Arial" w:hint="default"/>
                <w:spacing w:val="-1"/>
                <w:sz w:val="21"/>
                <w:szCs w:val="21"/>
              </w:rPr>
              <w:t>3,437</w:t>
              <w:tab/>
              <w:t>0.8107</w:t>
              <w:tab/>
              <w:t>2,786</w:t>
              <w:tab/>
              <w:t>4,472</w:t>
              <w:tab/>
              <w:t>0.8509</w:t>
              <w:tab/>
              <w:t>3,805</w:t>
            </w:r>
          </w:p>
          <w:p>
            <w:pPr>
              <w:pStyle w:val="TableParagraph"/>
              <w:tabs>
                <w:tab w:pos="1595" w:val="left" w:leader="none"/>
                <w:tab w:pos="2976" w:val="left" w:leader="none"/>
                <w:tab w:pos="3996" w:val="left" w:leader="none"/>
                <w:tab w:pos="4524" w:val="left" w:leader="none"/>
                <w:tab w:pos="6480" w:val="left" w:leader="none"/>
                <w:tab w:pos="7645" w:val="left" w:leader="none"/>
                <w:tab w:pos="8062" w:val="left" w:leader="none"/>
                <w:tab w:pos="9142" w:val="left" w:leader="none"/>
                <w:tab w:pos="9305" w:val="left" w:leader="none"/>
              </w:tabs>
              <w:spacing w:line="287" w:lineRule="exact"/>
              <w:ind w:left="249" w:right="0"/>
              <w:jc w:val="left"/>
              <w:rPr>
                <w:rFonts w:ascii="Arial" w:hAnsi="Arial" w:cs="Arial" w:eastAsia="Arial" w:hint="default"/>
                <w:sz w:val="21"/>
                <w:szCs w:val="21"/>
              </w:rPr>
            </w:pPr>
            <w:r>
              <w:rPr>
                <w:rFonts w:ascii="宋体" w:hAnsi="宋体" w:cs="宋体" w:eastAsia="宋体" w:hint="default"/>
                <w:position w:val="1"/>
                <w:sz w:val="21"/>
                <w:szCs w:val="21"/>
              </w:rPr>
              <w:t>日元</w:t>
              <w:tab/>
            </w:r>
            <w:r>
              <w:rPr>
                <w:rFonts w:ascii="Arial" w:hAnsi="Arial" w:cs="Arial" w:eastAsia="Arial" w:hint="default"/>
                <w:spacing w:val="-1"/>
                <w:sz w:val="21"/>
                <w:szCs w:val="21"/>
              </w:rPr>
              <w:t>793,975</w:t>
              <w:tab/>
            </w:r>
            <w:r>
              <w:rPr>
                <w:rFonts w:ascii="Arial" w:hAnsi="Arial" w:cs="Arial" w:eastAsia="Arial" w:hint="default"/>
                <w:spacing w:val="-4"/>
                <w:sz w:val="21"/>
                <w:szCs w:val="21"/>
              </w:rPr>
              <w:t>0.0811</w:t>
              <w:tab/>
            </w:r>
            <w:r>
              <w:rPr>
                <w:rFonts w:ascii="Arial" w:hAnsi="Arial" w:cs="Arial" w:eastAsia="Arial" w:hint="default"/>
                <w:spacing w:val="-4"/>
                <w:sz w:val="21"/>
                <w:szCs w:val="21"/>
                <w:u w:val="single" w:color="000000"/>
              </w:rPr>
              <w:t> </w:t>
              <w:tab/>
            </w:r>
            <w:r>
              <w:rPr>
                <w:rFonts w:ascii="Arial" w:hAnsi="Arial" w:cs="Arial" w:eastAsia="Arial" w:hint="default"/>
                <w:spacing w:val="-1"/>
                <w:sz w:val="21"/>
                <w:szCs w:val="21"/>
                <w:u w:val="single" w:color="000000"/>
              </w:rPr>
              <w:t>64,391</w:t>
            </w:r>
            <w:r>
              <w:rPr>
                <w:rFonts w:ascii="Arial" w:hAnsi="Arial" w:cs="Arial" w:eastAsia="Arial" w:hint="default"/>
                <w:spacing w:val="-1"/>
                <w:sz w:val="21"/>
                <w:szCs w:val="21"/>
              </w:rPr>
              <w:tab/>
            </w:r>
            <w:r>
              <w:rPr>
                <w:rFonts w:ascii="Arial" w:hAnsi="Arial" w:cs="Arial" w:eastAsia="Arial" w:hint="default"/>
                <w:sz w:val="21"/>
                <w:szCs w:val="21"/>
              </w:rPr>
              <w:t>-</w:t>
              <w:tab/>
              <w:t>-</w:t>
              <w:tab/>
            </w:r>
            <w:r>
              <w:rPr>
                <w:rFonts w:ascii="Arial" w:hAnsi="Arial" w:cs="Arial" w:eastAsia="Arial" w:hint="default"/>
                <w:sz w:val="21"/>
                <w:szCs w:val="21"/>
                <w:u w:val="single" w:color="000000"/>
              </w:rPr>
              <w:t> </w:t>
              <w:tab/>
              <w:t>-</w:t>
              <w:tab/>
            </w:r>
            <w:r>
              <w:rPr>
                <w:rFonts w:ascii="Arial" w:hAnsi="Arial" w:cs="Arial" w:eastAsia="Arial" w:hint="default"/>
                <w:sz w:val="21"/>
                <w:szCs w:val="21"/>
              </w:rPr>
            </w:r>
          </w:p>
          <w:p>
            <w:pPr>
              <w:pStyle w:val="TableParagraph"/>
              <w:tabs>
                <w:tab w:pos="8686" w:val="left" w:leader="none"/>
              </w:tabs>
              <w:spacing w:line="240" w:lineRule="auto" w:before="8"/>
              <w:ind w:left="4524" w:right="0"/>
              <w:jc w:val="left"/>
              <w:rPr>
                <w:rFonts w:ascii="Arial" w:hAnsi="Arial" w:cs="Arial" w:eastAsia="Arial" w:hint="default"/>
                <w:sz w:val="21"/>
                <w:szCs w:val="21"/>
              </w:rPr>
            </w:pPr>
            <w:r>
              <w:rPr>
                <w:rFonts w:ascii="Arial"/>
                <w:spacing w:val="-1"/>
                <w:sz w:val="21"/>
              </w:rPr>
              <w:t>67,177</w:t>
              <w:tab/>
              <w:t>3,805</w:t>
            </w:r>
          </w:p>
        </w:tc>
      </w:tr>
    </w:tbl>
    <w:p>
      <w:pPr>
        <w:spacing w:after="0" w:line="240" w:lineRule="auto"/>
        <w:jc w:val="left"/>
        <w:rPr>
          <w:rFonts w:ascii="Arial" w:hAnsi="Arial" w:cs="Arial" w:eastAsia="Arial" w:hint="default"/>
          <w:sz w:val="21"/>
          <w:szCs w:val="21"/>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4030"/>
        <w:gridCol w:w="2814"/>
        <w:gridCol w:w="2663"/>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03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814" w:type="dxa"/>
            <w:tcBorders>
              <w:top w:val="single" w:sz="6" w:space="0" w:color="000000"/>
              <w:left w:val="nil" w:sz="6" w:space="0" w:color="auto"/>
              <w:bottom w:val="nil" w:sz="6" w:space="0" w:color="auto"/>
              <w:right w:val="nil" w:sz="6" w:space="0" w:color="auto"/>
            </w:tcBorders>
          </w:tcPr>
          <w:p>
            <w:pPr/>
          </w:p>
        </w:tc>
        <w:tc>
          <w:tcPr>
            <w:tcW w:w="2663"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(27)</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7" w:right="0"/>
              <w:jc w:val="left"/>
              <w:rPr>
                <w:rFonts w:ascii="宋体" w:hAnsi="宋体" w:cs="宋体" w:eastAsia="宋体" w:hint="default"/>
                <w:sz w:val="24"/>
                <w:szCs w:val="24"/>
              </w:rPr>
            </w:pPr>
            <w:r>
              <w:rPr>
                <w:rFonts w:ascii="宋体" w:hAnsi="宋体" w:cs="宋体" w:eastAsia="宋体" w:hint="default"/>
                <w:b/>
                <w:bCs/>
                <w:sz w:val="24"/>
                <w:szCs w:val="24"/>
              </w:rPr>
              <w:t>一年内到期的非流动负债</w:t>
            </w:r>
            <w:r>
              <w:rPr>
                <w:rFonts w:ascii="宋体" w:hAnsi="宋体" w:cs="宋体" w:eastAsia="宋体" w:hint="default"/>
                <w:sz w:val="24"/>
                <w:szCs w:val="24"/>
              </w:rPr>
            </w:r>
          </w:p>
        </w:tc>
        <w:tc>
          <w:tcPr>
            <w:tcW w:w="2814"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7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11"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7"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2814" w:type="dxa"/>
            <w:tcBorders>
              <w:top w:val="nil" w:sz="6" w:space="0" w:color="auto"/>
              <w:left w:val="nil" w:sz="6" w:space="0" w:color="auto"/>
              <w:bottom w:val="nil" w:sz="6" w:space="0" w:color="auto"/>
              <w:right w:val="nil" w:sz="6" w:space="0" w:color="auto"/>
            </w:tcBorders>
          </w:tcPr>
          <w:p>
            <w:pPr>
              <w:pStyle w:val="TableParagraph"/>
              <w:tabs>
                <w:tab w:pos="1572" w:val="left" w:leader="none"/>
                <w:tab w:pos="2522" w:val="left" w:leader="none"/>
              </w:tabs>
              <w:spacing w:line="240" w:lineRule="auto" w:before="168"/>
              <w:ind w:left="-4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120,029</w:t>
              <w:tab/>
            </w:r>
            <w:r>
              <w:rPr>
                <w:rFonts w:ascii="Arial"/>
                <w:sz w:val="24"/>
              </w:rPr>
            </w:r>
          </w:p>
        </w:tc>
        <w:tc>
          <w:tcPr>
            <w:tcW w:w="2663" w:type="dxa"/>
            <w:tcBorders>
              <w:top w:val="nil" w:sz="6" w:space="0" w:color="auto"/>
              <w:left w:val="nil" w:sz="6" w:space="0" w:color="auto"/>
              <w:bottom w:val="nil" w:sz="6" w:space="0" w:color="auto"/>
              <w:right w:val="nil" w:sz="6" w:space="0" w:color="auto"/>
            </w:tcBorders>
          </w:tcPr>
          <w:p>
            <w:pPr>
              <w:pStyle w:val="TableParagraph"/>
              <w:tabs>
                <w:tab w:pos="1610" w:val="left" w:leader="none"/>
                <w:tab w:pos="2541" w:val="left" w:leader="none"/>
              </w:tabs>
              <w:spacing w:line="240" w:lineRule="auto" w:before="168"/>
              <w:ind w:left="13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112,178</w:t>
              <w:tab/>
            </w:r>
            <w:r>
              <w:rPr>
                <w:rFonts w:ascii="Arial"/>
                <w:spacing w:val="-3"/>
                <w:sz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(28)</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7" w:right="0"/>
              <w:jc w:val="left"/>
              <w:rPr>
                <w:rFonts w:ascii="宋体" w:hAnsi="宋体" w:cs="宋体" w:eastAsia="宋体" w:hint="default"/>
                <w:sz w:val="24"/>
                <w:szCs w:val="24"/>
              </w:rPr>
            </w:pPr>
            <w:r>
              <w:rPr>
                <w:rFonts w:ascii="宋体" w:hAnsi="宋体" w:cs="宋体" w:eastAsia="宋体" w:hint="default"/>
                <w:b/>
                <w:bCs/>
                <w:sz w:val="24"/>
                <w:szCs w:val="24"/>
              </w:rPr>
              <w:t>其他流动负债</w:t>
            </w:r>
            <w:r>
              <w:rPr>
                <w:rFonts w:ascii="宋体" w:hAnsi="宋体" w:cs="宋体" w:eastAsia="宋体" w:hint="default"/>
                <w:sz w:val="24"/>
                <w:szCs w:val="24"/>
              </w:rPr>
            </w:r>
          </w:p>
        </w:tc>
        <w:tc>
          <w:tcPr>
            <w:tcW w:w="2814" w:type="dxa"/>
            <w:tcBorders>
              <w:top w:val="nil" w:sz="6" w:space="0" w:color="auto"/>
              <w:left w:val="nil" w:sz="6" w:space="0" w:color="auto"/>
              <w:bottom w:val="nil" w:sz="6" w:space="0" w:color="auto"/>
              <w:right w:val="nil" w:sz="6" w:space="0" w:color="auto"/>
            </w:tcBorders>
          </w:tcPr>
          <w:p>
            <w:pPr/>
          </w:p>
        </w:tc>
        <w:tc>
          <w:tcPr>
            <w:tcW w:w="2663" w:type="dxa"/>
            <w:tcBorders>
              <w:top w:val="nil" w:sz="6" w:space="0" w:color="auto"/>
              <w:left w:val="nil" w:sz="6" w:space="0" w:color="auto"/>
              <w:bottom w:val="nil" w:sz="6" w:space="0" w:color="auto"/>
              <w:right w:val="nil" w:sz="6" w:space="0" w:color="auto"/>
            </w:tcBorders>
          </w:tcPr>
          <w:p>
            <w:pPr/>
          </w:p>
        </w:tc>
      </w:tr>
      <w:tr>
        <w:trPr>
          <w:trHeight w:val="599"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9"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7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9"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7"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02" w:right="0"/>
              <w:jc w:val="left"/>
              <w:rPr>
                <w:rFonts w:ascii="Arial" w:hAnsi="Arial" w:cs="Arial" w:eastAsia="Arial" w:hint="default"/>
                <w:sz w:val="24"/>
                <w:szCs w:val="24"/>
              </w:rPr>
            </w:pPr>
            <w:r>
              <w:rPr>
                <w:rFonts w:ascii="Arial"/>
                <w:sz w:val="24"/>
              </w:rPr>
              <w:t>256,167</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60" w:right="0"/>
              <w:jc w:val="left"/>
              <w:rPr>
                <w:rFonts w:ascii="Arial" w:hAnsi="Arial" w:cs="Arial" w:eastAsia="Arial" w:hint="default"/>
                <w:sz w:val="24"/>
                <w:szCs w:val="24"/>
              </w:rPr>
            </w:pPr>
            <w:r>
              <w:rPr>
                <w:rFonts w:ascii="Arial"/>
                <w:sz w:val="24"/>
              </w:rPr>
              <w:t>158,937</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Style w:val="TableParagraph"/>
              <w:spacing w:line="282" w:lineRule="exact"/>
              <w:ind w:left="127"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02" w:right="0"/>
              <w:jc w:val="left"/>
              <w:rPr>
                <w:rFonts w:ascii="Arial" w:hAnsi="Arial" w:cs="Arial" w:eastAsia="Arial" w:hint="default"/>
                <w:sz w:val="24"/>
                <w:szCs w:val="24"/>
              </w:rPr>
            </w:pPr>
            <w:r>
              <w:rPr>
                <w:rFonts w:ascii="Arial"/>
                <w:sz w:val="24"/>
              </w:rPr>
              <w:t>172,916</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92" w:right="0"/>
              <w:jc w:val="left"/>
              <w:rPr>
                <w:rFonts w:ascii="Arial" w:hAnsi="Arial" w:cs="Arial" w:eastAsia="Arial" w:hint="default"/>
                <w:sz w:val="24"/>
                <w:szCs w:val="24"/>
              </w:rPr>
            </w:pPr>
            <w:r>
              <w:rPr>
                <w:rFonts w:ascii="Arial"/>
                <w:sz w:val="24"/>
              </w:rPr>
              <w:t>95,135</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Style w:val="TableParagraph"/>
              <w:spacing w:line="265" w:lineRule="exact"/>
              <w:ind w:left="127"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19" w:right="0"/>
              <w:jc w:val="left"/>
              <w:rPr>
                <w:rFonts w:ascii="Arial" w:hAnsi="Arial" w:cs="Arial" w:eastAsia="Arial" w:hint="default"/>
                <w:sz w:val="24"/>
                <w:szCs w:val="24"/>
              </w:rPr>
            </w:pPr>
            <w:r>
              <w:rPr>
                <w:rFonts w:ascii="Arial"/>
                <w:spacing w:val="-3"/>
                <w:sz w:val="24"/>
              </w:rPr>
              <w:t>116,266</w:t>
            </w:r>
          </w:p>
        </w:tc>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92" w:right="0"/>
              <w:jc w:val="left"/>
              <w:rPr>
                <w:rFonts w:ascii="Arial" w:hAnsi="Arial" w:cs="Arial" w:eastAsia="Arial" w:hint="default"/>
                <w:sz w:val="24"/>
                <w:szCs w:val="24"/>
              </w:rPr>
            </w:pPr>
            <w:r>
              <w:rPr>
                <w:rFonts w:ascii="Arial"/>
                <w:sz w:val="24"/>
              </w:rPr>
              <w:t>63,568</w:t>
            </w:r>
          </w:p>
        </w:tc>
      </w:tr>
      <w:tr>
        <w:trPr>
          <w:trHeight w:val="457" w:hRule="exact"/>
        </w:trPr>
        <w:tc>
          <w:tcPr>
            <w:tcW w:w="772" w:type="dxa"/>
            <w:tcBorders>
              <w:top w:val="nil" w:sz="6" w:space="0" w:color="auto"/>
              <w:left w:val="nil" w:sz="6" w:space="0" w:color="auto"/>
              <w:bottom w:val="nil" w:sz="6" w:space="0" w:color="auto"/>
              <w:right w:val="nil" w:sz="6" w:space="0" w:color="auto"/>
            </w:tcBorders>
          </w:tcPr>
          <w:p>
            <w:pPr/>
          </w:p>
        </w:tc>
        <w:tc>
          <w:tcPr>
            <w:tcW w:w="4030" w:type="dxa"/>
            <w:tcBorders>
              <w:top w:val="nil" w:sz="6" w:space="0" w:color="auto"/>
              <w:left w:val="nil" w:sz="6" w:space="0" w:color="auto"/>
              <w:bottom w:val="nil" w:sz="6" w:space="0" w:color="auto"/>
              <w:right w:val="nil" w:sz="6" w:space="0" w:color="auto"/>
            </w:tcBorders>
          </w:tcPr>
          <w:p>
            <w:pPr>
              <w:pStyle w:val="TableParagraph"/>
              <w:spacing w:line="265" w:lineRule="exact"/>
              <w:ind w:left="127"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14" w:type="dxa"/>
            <w:tcBorders>
              <w:top w:val="nil" w:sz="6" w:space="0" w:color="auto"/>
              <w:left w:val="nil" w:sz="6" w:space="0" w:color="auto"/>
              <w:bottom w:val="nil" w:sz="6" w:space="0" w:color="auto"/>
              <w:right w:val="nil" w:sz="6" w:space="0" w:color="auto"/>
            </w:tcBorders>
          </w:tcPr>
          <w:p>
            <w:pPr>
              <w:pStyle w:val="TableParagraph"/>
              <w:tabs>
                <w:tab w:pos="1968" w:val="left" w:leader="none"/>
                <w:tab w:pos="2522" w:val="left" w:leader="none"/>
              </w:tabs>
              <w:spacing w:line="240" w:lineRule="auto" w:before="25"/>
              <w:ind w:left="-4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153</w:t>
              <w:tab/>
            </w:r>
            <w:r>
              <w:rPr>
                <w:rFonts w:ascii="Arial"/>
                <w:sz w:val="24"/>
              </w:rPr>
            </w:r>
          </w:p>
        </w:tc>
        <w:tc>
          <w:tcPr>
            <w:tcW w:w="2663" w:type="dxa"/>
            <w:tcBorders>
              <w:top w:val="nil" w:sz="6" w:space="0" w:color="auto"/>
              <w:left w:val="nil" w:sz="6" w:space="0" w:color="auto"/>
              <w:bottom w:val="nil" w:sz="6" w:space="0" w:color="auto"/>
              <w:right w:val="nil" w:sz="6" w:space="0" w:color="auto"/>
            </w:tcBorders>
          </w:tcPr>
          <w:p>
            <w:pPr>
              <w:pStyle w:val="TableParagraph"/>
              <w:tabs>
                <w:tab w:pos="1843" w:val="left" w:leader="none"/>
                <w:tab w:pos="2541" w:val="left" w:leader="none"/>
              </w:tabs>
              <w:spacing w:line="240" w:lineRule="auto" w:before="25"/>
              <w:ind w:left="13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1,115</w:t>
              <w:tab/>
            </w:r>
            <w:r>
              <w:rPr>
                <w:rFonts w:ascii="Arial"/>
                <w:spacing w:val="-4"/>
                <w:sz w:val="24"/>
              </w:rPr>
            </w:r>
          </w:p>
        </w:tc>
      </w:tr>
      <w:tr>
        <w:trPr>
          <w:trHeight w:val="573" w:hRule="exact"/>
        </w:trPr>
        <w:tc>
          <w:tcPr>
            <w:tcW w:w="772" w:type="dxa"/>
            <w:tcBorders>
              <w:top w:val="nil" w:sz="6" w:space="0" w:color="auto"/>
              <w:left w:val="nil" w:sz="6" w:space="0" w:color="auto"/>
              <w:bottom w:val="nil" w:sz="6" w:space="0" w:color="auto"/>
              <w:right w:val="nil" w:sz="6" w:space="0" w:color="auto"/>
            </w:tcBorders>
          </w:tcPr>
          <w:p>
            <w:pPr/>
          </w:p>
        </w:tc>
        <w:tc>
          <w:tcPr>
            <w:tcW w:w="6844" w:type="dxa"/>
            <w:gridSpan w:val="2"/>
            <w:tcBorders>
              <w:top w:val="nil" w:sz="6" w:space="0" w:color="auto"/>
              <w:left w:val="nil" w:sz="6" w:space="0" w:color="auto"/>
              <w:bottom w:val="nil" w:sz="6" w:space="0" w:color="auto"/>
              <w:right w:val="nil" w:sz="6" w:space="0" w:color="auto"/>
            </w:tcBorders>
          </w:tcPr>
          <w:p>
            <w:pPr>
              <w:pStyle w:val="TableParagraph"/>
              <w:tabs>
                <w:tab w:pos="5542" w:val="left" w:leader="none"/>
                <w:tab w:pos="6552" w:val="left" w:leader="none"/>
              </w:tabs>
              <w:spacing w:line="240" w:lineRule="auto" w:before="130"/>
              <w:ind w:left="398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545,502</w:t>
              <w:tab/>
            </w:r>
            <w:r>
              <w:rPr>
                <w:rFonts w:ascii="Arial"/>
                <w:sz w:val="24"/>
              </w:rPr>
            </w:r>
          </w:p>
        </w:tc>
        <w:tc>
          <w:tcPr>
            <w:tcW w:w="2663" w:type="dxa"/>
            <w:tcBorders>
              <w:top w:val="nil" w:sz="6" w:space="0" w:color="auto"/>
              <w:left w:val="nil" w:sz="6" w:space="0" w:color="auto"/>
              <w:bottom w:val="nil" w:sz="6" w:space="0" w:color="auto"/>
              <w:right w:val="nil" w:sz="6" w:space="0" w:color="auto"/>
            </w:tcBorders>
          </w:tcPr>
          <w:p>
            <w:pPr>
              <w:pStyle w:val="TableParagraph"/>
              <w:tabs>
                <w:tab w:pos="1560" w:val="left" w:leader="none"/>
                <w:tab w:pos="2541" w:val="left" w:leader="none"/>
              </w:tabs>
              <w:spacing w:line="240" w:lineRule="auto" w:before="130"/>
              <w:ind w:left="13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318,755</w:t>
              <w:tab/>
            </w:r>
            <w:r>
              <w:rPr>
                <w:rFonts w:ascii="Arial"/>
                <w:sz w:val="24"/>
              </w:rPr>
            </w:r>
          </w:p>
        </w:tc>
      </w:tr>
      <w:tr>
        <w:trPr>
          <w:trHeight w:val="72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506"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3"/>
              <w:ind w:left="127" w:right="233"/>
              <w:jc w:val="left"/>
              <w:rPr>
                <w:rFonts w:ascii="宋体" w:hAnsi="宋体" w:cs="宋体" w:eastAsia="宋体" w:hint="default"/>
                <w:sz w:val="24"/>
                <w:szCs w:val="24"/>
              </w:rPr>
            </w:pPr>
            <w:r>
              <w:rPr>
                <w:rFonts w:ascii="宋体" w:hAnsi="宋体" w:cs="宋体" w:eastAsia="宋体" w:hint="default"/>
                <w:sz w:val="24"/>
                <w:szCs w:val="24"/>
              </w:rPr>
              <w:t>根据积分计划递延确认的收益，以授予顾客的积分为基准，并根据本集团已公布的积分</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使用方法和积分的预期兑付率后，按公允价值确认。</w:t>
            </w:r>
          </w:p>
        </w:tc>
      </w:tr>
    </w:tbl>
    <w:p>
      <w:pPr>
        <w:spacing w:after="0" w:line="312" w:lineRule="exact"/>
        <w:jc w:val="left"/>
        <w:rPr>
          <w:rFonts w:ascii="宋体" w:hAnsi="宋体" w:cs="宋体" w:eastAsia="宋体"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r>
        <w:rPr/>
        <w:pict>
          <v:group style="position:absolute;margin-left:305.809998pt;margin-top:263.089966pt;width:75.3pt;height:.1pt;mso-position-horizontal-relative:page;mso-position-vertical-relative:page;z-index:-1358512" coordorigin="6116,5262" coordsize="1506,2">
            <v:shape style="position:absolute;left:6116;top:5262;width:1506;height:2" coordorigin="6116,5262" coordsize="1506,0" path="m6116,5262l7621,5262e" filled="false" stroked="true" strokeweight=".48001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3751"/>
        <w:gridCol w:w="532"/>
        <w:gridCol w:w="134"/>
        <w:gridCol w:w="2066"/>
        <w:gridCol w:w="1050"/>
        <w:gridCol w:w="142"/>
        <w:gridCol w:w="1711"/>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75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7"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532" w:type="dxa"/>
            <w:tcBorders>
              <w:top w:val="single" w:sz="6" w:space="0" w:color="000000"/>
              <w:left w:val="nil" w:sz="6" w:space="0" w:color="auto"/>
              <w:bottom w:val="nil" w:sz="6" w:space="0" w:color="auto"/>
              <w:right w:val="nil" w:sz="6" w:space="0" w:color="auto"/>
            </w:tcBorders>
          </w:tcPr>
          <w:p>
            <w:pPr/>
          </w:p>
        </w:tc>
        <w:tc>
          <w:tcPr>
            <w:tcW w:w="134" w:type="dxa"/>
            <w:tcBorders>
              <w:top w:val="single" w:sz="6" w:space="0" w:color="000000"/>
              <w:left w:val="nil" w:sz="6" w:space="0" w:color="auto"/>
              <w:bottom w:val="nil" w:sz="6" w:space="0" w:color="auto"/>
              <w:right w:val="nil" w:sz="6" w:space="0" w:color="auto"/>
            </w:tcBorders>
          </w:tcPr>
          <w:p>
            <w:pPr/>
          </w:p>
        </w:tc>
        <w:tc>
          <w:tcPr>
            <w:tcW w:w="2066" w:type="dxa"/>
            <w:tcBorders>
              <w:top w:val="single" w:sz="6" w:space="0" w:color="000000"/>
              <w:left w:val="nil" w:sz="6" w:space="0" w:color="auto"/>
              <w:bottom w:val="nil" w:sz="6" w:space="0" w:color="auto"/>
              <w:right w:val="nil" w:sz="6" w:space="0" w:color="auto"/>
            </w:tcBorders>
          </w:tcPr>
          <w:p>
            <w:pPr/>
          </w:p>
        </w:tc>
        <w:tc>
          <w:tcPr>
            <w:tcW w:w="1050"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1711"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(29)</w:t>
            </w: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7" w:right="0"/>
              <w:jc w:val="left"/>
              <w:rPr>
                <w:rFonts w:ascii="宋体" w:hAnsi="宋体" w:cs="宋体" w:eastAsia="宋体" w:hint="default"/>
                <w:sz w:val="24"/>
                <w:szCs w:val="24"/>
              </w:rPr>
            </w:pPr>
            <w:r>
              <w:rPr>
                <w:rFonts w:ascii="宋体" w:hAnsi="宋体" w:cs="宋体" w:eastAsia="宋体" w:hint="default"/>
                <w:b/>
                <w:bCs/>
                <w:sz w:val="24"/>
                <w:szCs w:val="24"/>
              </w:rPr>
              <w:t>预计负债</w:t>
            </w:r>
            <w:r>
              <w:rPr>
                <w:rFonts w:ascii="宋体" w:hAnsi="宋体" w:cs="宋体" w:eastAsia="宋体" w:hint="default"/>
                <w:sz w:val="24"/>
                <w:szCs w:val="24"/>
              </w:rPr>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903" w:hRule="exact"/>
        </w:trPr>
        <w:tc>
          <w:tcPr>
            <w:tcW w:w="772" w:type="dxa"/>
            <w:tcBorders>
              <w:top w:val="nil" w:sz="6" w:space="0" w:color="auto"/>
              <w:left w:val="nil" w:sz="6" w:space="0" w:color="auto"/>
              <w:bottom w:val="nil" w:sz="6" w:space="0" w:color="auto"/>
              <w:right w:val="nil" w:sz="6" w:space="0" w:color="auto"/>
            </w:tcBorders>
          </w:tcPr>
          <w:p>
            <w:pPr/>
          </w:p>
        </w:tc>
        <w:tc>
          <w:tcPr>
            <w:tcW w:w="4282"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100"/>
              <w:ind w:right="50"/>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right="50"/>
              <w:jc w:val="righ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90"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3"/>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840"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46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0"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Arial" w:hAnsi="Arial" w:cs="Arial" w:eastAsia="Arial" w:hint="default"/>
                <w:sz w:val="24"/>
                <w:szCs w:val="24"/>
              </w:rPr>
            </w:pPr>
            <w:r>
              <w:rPr>
                <w:rFonts w:ascii="宋体" w:hAnsi="宋体" w:cs="宋体" w:eastAsia="宋体" w:hint="default"/>
                <w:sz w:val="24"/>
                <w:szCs w:val="24"/>
              </w:rPr>
              <w:t>待执行的亏损合同</w:t>
            </w:r>
            <w:r>
              <w:rPr>
                <w:rFonts w:ascii="Arial" w:hAnsi="Arial" w:cs="Arial" w:eastAsia="Arial" w:hint="default"/>
                <w:sz w:val="24"/>
                <w:szCs w:val="24"/>
              </w:rPr>
              <w:t>(a)</w:t>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2"/>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715" w:right="0"/>
              <w:jc w:val="left"/>
              <w:rPr>
                <w:rFonts w:ascii="Arial" w:hAnsi="Arial" w:cs="Arial" w:eastAsia="Arial" w:hint="default"/>
                <w:sz w:val="24"/>
                <w:szCs w:val="24"/>
              </w:rPr>
            </w:pPr>
            <w:r>
              <w:rPr>
                <w:rFonts w:ascii="Arial"/>
                <w:sz w:val="24"/>
              </w:rPr>
              <w:t>65,387</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2"/>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2"/>
              <w:jc w:val="right"/>
              <w:rPr>
                <w:rFonts w:ascii="Arial" w:hAnsi="Arial" w:cs="Arial" w:eastAsia="Arial" w:hint="default"/>
                <w:sz w:val="24"/>
                <w:szCs w:val="24"/>
              </w:rPr>
            </w:pPr>
            <w:r>
              <w:rPr>
                <w:rFonts w:ascii="Arial"/>
                <w:spacing w:val="-1"/>
                <w:sz w:val="24"/>
              </w:rPr>
              <w:t>65,387</w:t>
            </w:r>
          </w:p>
        </w:tc>
      </w:tr>
      <w:tr>
        <w:trPr>
          <w:trHeight w:val="316"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single" w:sz="4" w:space="0" w:color="000000"/>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532" w:type="dxa"/>
            <w:tcBorders>
              <w:top w:val="nil" w:sz="6" w:space="0" w:color="auto"/>
              <w:left w:val="nil" w:sz="6" w:space="0" w:color="auto"/>
              <w:bottom w:val="single" w:sz="4" w:space="0" w:color="000000"/>
              <w:right w:val="nil" w:sz="6" w:space="0" w:color="auto"/>
            </w:tcBorders>
          </w:tcPr>
          <w:p>
            <w:pPr>
              <w:pStyle w:val="TableParagraph"/>
              <w:spacing w:line="273"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single" w:sz="4" w:space="0" w:color="000000"/>
              <w:right w:val="nil" w:sz="6" w:space="0" w:color="auto"/>
            </w:tcBorders>
          </w:tcPr>
          <w:p>
            <w:pPr>
              <w:pStyle w:val="TableParagraph"/>
              <w:spacing w:line="273" w:lineRule="exact"/>
              <w:ind w:left="715" w:right="0"/>
              <w:jc w:val="left"/>
              <w:rPr>
                <w:rFonts w:ascii="Arial" w:hAnsi="Arial" w:cs="Arial" w:eastAsia="Arial" w:hint="default"/>
                <w:sz w:val="24"/>
                <w:szCs w:val="24"/>
              </w:rPr>
            </w:pPr>
            <w:r>
              <w:rPr>
                <w:rFonts w:ascii="Arial"/>
                <w:sz w:val="24"/>
              </w:rPr>
              <w:t>35,748</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73"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73" w:lineRule="exact"/>
              <w:ind w:right="52"/>
              <w:jc w:val="right"/>
              <w:rPr>
                <w:rFonts w:ascii="Arial" w:hAnsi="Arial" w:cs="Arial" w:eastAsia="Arial" w:hint="default"/>
                <w:sz w:val="24"/>
                <w:szCs w:val="24"/>
              </w:rPr>
            </w:pPr>
            <w:r>
              <w:rPr>
                <w:rFonts w:ascii="Arial"/>
                <w:spacing w:val="-1"/>
                <w:sz w:val="24"/>
              </w:rPr>
              <w:t>35,748</w:t>
            </w:r>
          </w:p>
        </w:tc>
      </w:tr>
      <w:tr>
        <w:trPr>
          <w:trHeight w:val="295"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single" w:sz="4" w:space="0" w:color="000000"/>
              <w:left w:val="nil" w:sz="6" w:space="0" w:color="auto"/>
              <w:bottom w:val="single" w:sz="12" w:space="0" w:color="000000"/>
              <w:right w:val="nil" w:sz="6" w:space="0" w:color="auto"/>
            </w:tcBorders>
          </w:tcPr>
          <w:p>
            <w:pPr/>
          </w:p>
        </w:tc>
        <w:tc>
          <w:tcPr>
            <w:tcW w:w="53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583" w:right="0"/>
              <w:jc w:val="left"/>
              <w:rPr>
                <w:rFonts w:ascii="Arial" w:hAnsi="Arial" w:cs="Arial" w:eastAsia="Arial" w:hint="default"/>
                <w:sz w:val="24"/>
                <w:szCs w:val="24"/>
              </w:rPr>
            </w:pPr>
            <w:r>
              <w:rPr>
                <w:rFonts w:ascii="Arial"/>
                <w:sz w:val="24"/>
              </w:rPr>
              <w:t>101,135</w:t>
            </w:r>
          </w:p>
        </w:tc>
        <w:tc>
          <w:tcPr>
            <w:tcW w:w="105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52"/>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52"/>
              <w:jc w:val="right"/>
              <w:rPr>
                <w:rFonts w:ascii="Arial" w:hAnsi="Arial" w:cs="Arial" w:eastAsia="Arial" w:hint="default"/>
                <w:sz w:val="24"/>
                <w:szCs w:val="24"/>
              </w:rPr>
            </w:pPr>
            <w:r>
              <w:rPr>
                <w:rFonts w:ascii="Arial"/>
                <w:spacing w:val="-1"/>
                <w:sz w:val="24"/>
              </w:rPr>
              <w:t>101,135</w:t>
            </w:r>
          </w:p>
        </w:tc>
      </w:tr>
      <w:tr>
        <w:trPr>
          <w:trHeight w:val="163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9386" w:type="dxa"/>
            <w:gridSpan w:val="7"/>
            <w:tcBorders>
              <w:top w:val="nil" w:sz="6" w:space="0" w:color="auto"/>
              <w:left w:val="nil" w:sz="6" w:space="0" w:color="auto"/>
              <w:bottom w:val="nil" w:sz="6" w:space="0" w:color="auto"/>
              <w:right w:val="nil" w:sz="6" w:space="0" w:color="auto"/>
            </w:tcBorders>
          </w:tcPr>
          <w:p>
            <w:pPr>
              <w:pStyle w:val="TableParagraph"/>
              <w:spacing w:line="28" w:lineRule="exact"/>
              <w:ind w:left="440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6.75pt;height:1.45pt;mso-position-horizontal-relative:char;mso-position-vertical-relative:line" coordorigin="0,0" coordsize="1535,29">
                  <v:group style="position:absolute;left:14;top:14;width:1506;height:2" coordorigin="14,14" coordsize="1506,2">
                    <v:shape style="position:absolute;left:14;top:14;width:1506;height:2" coordorigin="14,14" coordsize="1506,0" path="m14,14l1520,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2" w:lineRule="exact"/>
              <w:ind w:left="127" w:right="104"/>
              <w:jc w:val="both"/>
              <w:rPr>
                <w:rFonts w:ascii="宋体" w:hAnsi="宋体" w:cs="宋体" w:eastAsia="宋体" w:hint="default"/>
                <w:sz w:val="24"/>
                <w:szCs w:val="24"/>
              </w:rPr>
            </w:pPr>
            <w:r>
              <w:rPr>
                <w:rFonts w:ascii="宋体" w:hAnsi="宋体" w:cs="宋体" w:eastAsia="宋体" w:hint="default"/>
                <w:sz w:val="24"/>
                <w:szCs w:val="24"/>
              </w:rPr>
              <w:t>本集团签订的不可撤销的租赁合同，由于租入租出的价格差异导致履行该合同的预计成</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本超过预计收入而产生预计亏损。于</w:t>
            </w:r>
            <w:r>
              <w:rPr>
                <w:rFonts w:ascii="宋体" w:hAnsi="宋体" w:cs="宋体" w:eastAsia="宋体" w:hint="default"/>
                <w:spacing w:val="-51"/>
                <w:sz w:val="24"/>
                <w:szCs w:val="24"/>
              </w:rPr>
              <w:t> </w:t>
            </w:r>
            <w:r>
              <w:rPr>
                <w:rFonts w:ascii="Arial" w:hAnsi="Arial" w:cs="Arial" w:eastAsia="Arial" w:hint="default"/>
                <w:spacing w:val="-5"/>
                <w:sz w:val="24"/>
                <w:szCs w:val="24"/>
              </w:rPr>
              <w:t>2011</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日，本集团已就尚未履行完毕的 租赁合同，按预计亏损确认为预计负债。</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(30)</w:t>
            </w: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7" w:right="0"/>
              <w:jc w:val="left"/>
              <w:rPr>
                <w:rFonts w:ascii="宋体" w:hAnsi="宋体" w:cs="宋体" w:eastAsia="宋体" w:hint="default"/>
                <w:sz w:val="24"/>
                <w:szCs w:val="24"/>
              </w:rPr>
            </w:pPr>
            <w:r>
              <w:rPr>
                <w:rFonts w:ascii="宋体" w:hAnsi="宋体" w:cs="宋体" w:eastAsia="宋体" w:hint="default"/>
                <w:b/>
                <w:bCs/>
                <w:sz w:val="24"/>
                <w:szCs w:val="24"/>
              </w:rPr>
              <w:t>其他非流动负债</w:t>
            </w:r>
            <w:r>
              <w:rPr>
                <w:rFonts w:ascii="宋体" w:hAnsi="宋体" w:cs="宋体" w:eastAsia="宋体" w:hint="default"/>
                <w:sz w:val="24"/>
                <w:szCs w:val="24"/>
              </w:rPr>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
        </w:tc>
        <w:tc>
          <w:tcPr>
            <w:tcW w:w="27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62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90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70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7" w:right="0"/>
              <w:jc w:val="left"/>
              <w:rPr>
                <w:rFonts w:ascii="Arial" w:hAnsi="Arial" w:cs="Arial" w:eastAsia="Arial" w:hint="default"/>
                <w:sz w:val="24"/>
                <w:szCs w:val="24"/>
              </w:rPr>
            </w:pPr>
            <w:r>
              <w:rPr>
                <w:rFonts w:ascii="宋体" w:hAnsi="宋体" w:cs="宋体" w:eastAsia="宋体" w:hint="default"/>
                <w:sz w:val="24"/>
                <w:szCs w:val="24"/>
              </w:rPr>
              <w:t>递延延保业务收入</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(15))</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79"/>
              <w:jc w:val="right"/>
              <w:rPr>
                <w:rFonts w:ascii="Arial" w:hAnsi="Arial" w:cs="Arial" w:eastAsia="Arial" w:hint="default"/>
                <w:sz w:val="24"/>
                <w:szCs w:val="24"/>
              </w:rPr>
            </w:pPr>
            <w:r>
              <w:rPr>
                <w:rFonts w:ascii="Arial"/>
                <w:spacing w:val="-1"/>
                <w:sz w:val="24"/>
              </w:rPr>
              <w:t>634,927</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88" w:right="0"/>
              <w:jc w:val="left"/>
              <w:rPr>
                <w:rFonts w:ascii="Arial" w:hAnsi="Arial" w:cs="Arial" w:eastAsia="Arial" w:hint="default"/>
                <w:sz w:val="24"/>
                <w:szCs w:val="24"/>
              </w:rPr>
            </w:pPr>
            <w:r>
              <w:rPr>
                <w:rFonts w:ascii="Arial"/>
                <w:sz w:val="24"/>
              </w:rPr>
              <w:t>430,717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78" w:lineRule="exact"/>
              <w:ind w:left="127" w:right="0"/>
              <w:jc w:val="left"/>
              <w:rPr>
                <w:rFonts w:ascii="Arial" w:hAnsi="Arial" w:cs="Arial" w:eastAsia="Arial" w:hint="default"/>
                <w:sz w:val="24"/>
                <w:szCs w:val="24"/>
              </w:rPr>
            </w:pPr>
            <w:r>
              <w:rPr>
                <w:rFonts w:ascii="宋体" w:hAnsi="宋体" w:cs="宋体" w:eastAsia="宋体" w:hint="default"/>
                <w:sz w:val="24"/>
                <w:szCs w:val="24"/>
              </w:rPr>
              <w:t>递延收益</w:t>
            </w:r>
            <w:r>
              <w:rPr>
                <w:rFonts w:ascii="Arial" w:hAnsi="Arial" w:cs="Arial" w:eastAsia="Arial" w:hint="default"/>
                <w:sz w:val="24"/>
                <w:szCs w:val="24"/>
              </w:rPr>
              <w:t>(a)</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167,803</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20" w:right="0"/>
              <w:jc w:val="left"/>
              <w:rPr>
                <w:rFonts w:ascii="Arial" w:hAnsi="Arial" w:cs="Arial" w:eastAsia="Arial" w:hint="default"/>
                <w:sz w:val="24"/>
                <w:szCs w:val="24"/>
              </w:rPr>
            </w:pPr>
            <w:r>
              <w:rPr>
                <w:rFonts w:ascii="Arial"/>
                <w:sz w:val="24"/>
              </w:rPr>
              <w:t>62,531</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127" w:right="0"/>
              <w:jc w:val="left"/>
              <w:rPr>
                <w:rFonts w:ascii="宋体" w:hAnsi="宋体" w:cs="宋体" w:eastAsia="宋体" w:hint="default"/>
                <w:sz w:val="24"/>
                <w:szCs w:val="24"/>
              </w:rPr>
            </w:pPr>
            <w:r>
              <w:rPr>
                <w:rFonts w:ascii="宋体" w:hAnsi="宋体" w:cs="宋体" w:eastAsia="宋体" w:hint="default"/>
                <w:sz w:val="24"/>
                <w:szCs w:val="24"/>
              </w:rPr>
              <w:t>养老金计划</w:t>
            </w:r>
          </w:p>
        </w:tc>
        <w:tc>
          <w:tcPr>
            <w:tcW w:w="2732" w:type="dxa"/>
            <w:gridSpan w:val="3"/>
            <w:tcBorders>
              <w:top w:val="nil" w:sz="6" w:space="0" w:color="auto"/>
              <w:left w:val="nil" w:sz="6" w:space="0" w:color="auto"/>
              <w:bottom w:val="nil" w:sz="6" w:space="0" w:color="auto"/>
              <w:right w:val="nil" w:sz="6" w:space="0" w:color="auto"/>
            </w:tcBorders>
          </w:tcPr>
          <w:p>
            <w:pPr>
              <w:pStyle w:val="TableParagraph"/>
              <w:tabs>
                <w:tab w:pos="1914" w:val="left" w:leader="none"/>
                <w:tab w:pos="2802" w:val="left" w:leader="none"/>
              </w:tabs>
              <w:spacing w:line="240" w:lineRule="auto" w:before="21"/>
              <w:ind w:left="250" w:right="-71"/>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30,569</w:t>
              <w:tab/>
            </w:r>
            <w:r>
              <w:rPr>
                <w:rFonts w:ascii="Arial"/>
                <w:sz w:val="24"/>
              </w:rPr>
            </w:r>
          </w:p>
        </w:tc>
        <w:tc>
          <w:tcPr>
            <w:tcW w:w="2903" w:type="dxa"/>
            <w:gridSpan w:val="3"/>
            <w:tcBorders>
              <w:top w:val="nil" w:sz="6" w:space="0" w:color="auto"/>
              <w:left w:val="nil" w:sz="6" w:space="0" w:color="auto"/>
              <w:bottom w:val="nil" w:sz="6" w:space="0" w:color="auto"/>
              <w:right w:val="nil" w:sz="6" w:space="0" w:color="auto"/>
            </w:tcBorders>
          </w:tcPr>
          <w:p>
            <w:pPr>
              <w:pStyle w:val="TableParagraph"/>
              <w:tabs>
                <w:tab w:pos="2668" w:val="left" w:leader="none"/>
                <w:tab w:pos="2903" w:val="left" w:leader="none"/>
              </w:tabs>
              <w:spacing w:line="240" w:lineRule="auto" w:before="21"/>
              <w:ind w:left="49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55"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
        </w:tc>
        <w:tc>
          <w:tcPr>
            <w:tcW w:w="2732" w:type="dxa"/>
            <w:gridSpan w:val="3"/>
            <w:tcBorders>
              <w:top w:val="nil" w:sz="6" w:space="0" w:color="auto"/>
              <w:left w:val="nil" w:sz="6" w:space="0" w:color="auto"/>
              <w:bottom w:val="nil" w:sz="6" w:space="0" w:color="auto"/>
              <w:right w:val="nil" w:sz="6" w:space="0" w:color="auto"/>
            </w:tcBorders>
          </w:tcPr>
          <w:p>
            <w:pPr>
              <w:pStyle w:val="TableParagraph"/>
              <w:tabs>
                <w:tab w:pos="1779" w:val="left" w:leader="none"/>
                <w:tab w:pos="2802" w:val="left" w:leader="none"/>
              </w:tabs>
              <w:spacing w:line="271" w:lineRule="exact"/>
              <w:ind w:left="250" w:right="-7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833,299</w:t>
              <w:tab/>
            </w:r>
            <w:r>
              <w:rPr>
                <w:rFonts w:ascii="Arial"/>
                <w:sz w:val="24"/>
              </w:rPr>
            </w:r>
          </w:p>
        </w:tc>
        <w:tc>
          <w:tcPr>
            <w:tcW w:w="2903" w:type="dxa"/>
            <w:gridSpan w:val="3"/>
            <w:tcBorders>
              <w:top w:val="nil" w:sz="6" w:space="0" w:color="auto"/>
              <w:left w:val="nil" w:sz="6" w:space="0" w:color="auto"/>
              <w:bottom w:val="nil" w:sz="6" w:space="0" w:color="auto"/>
              <w:right w:val="nil" w:sz="6" w:space="0" w:color="auto"/>
            </w:tcBorders>
          </w:tcPr>
          <w:p>
            <w:pPr>
              <w:pStyle w:val="TableParagraph"/>
              <w:tabs>
                <w:tab w:pos="1880" w:val="left" w:leader="none"/>
                <w:tab w:pos="2903" w:val="left" w:leader="none"/>
              </w:tabs>
              <w:spacing w:line="271" w:lineRule="exact"/>
              <w:ind w:left="49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493,248</w:t>
              <w:tab/>
            </w:r>
            <w:r>
              <w:rPr>
                <w:rFonts w:ascii="Arial"/>
                <w:sz w:val="24"/>
              </w:rPr>
            </w:r>
          </w:p>
        </w:tc>
      </w:tr>
      <w:tr>
        <w:trPr>
          <w:trHeight w:val="47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Arial" w:hAnsi="Arial" w:cs="Arial" w:eastAsia="Arial" w:hint="default"/>
                <w:sz w:val="24"/>
                <w:szCs w:val="24"/>
              </w:rPr>
            </w:pPr>
            <w:r>
              <w:rPr>
                <w:rFonts w:ascii="Arial"/>
                <w:sz w:val="24"/>
              </w:rPr>
              <w:t>(a)</w:t>
            </w: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7"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318"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
        </w:tc>
        <w:tc>
          <w:tcPr>
            <w:tcW w:w="2732" w:type="dxa"/>
            <w:gridSpan w:val="3"/>
            <w:tcBorders>
              <w:top w:val="nil" w:sz="6" w:space="0" w:color="auto"/>
              <w:left w:val="nil" w:sz="6" w:space="0" w:color="auto"/>
              <w:bottom w:val="nil" w:sz="6" w:space="0" w:color="auto"/>
              <w:right w:val="nil" w:sz="6" w:space="0" w:color="auto"/>
            </w:tcBorders>
          </w:tcPr>
          <w:p>
            <w:pPr>
              <w:pStyle w:val="TableParagraph"/>
              <w:spacing w:line="293" w:lineRule="exact"/>
              <w:ind w:left="62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903" w:type="dxa"/>
            <w:gridSpan w:val="3"/>
            <w:tcBorders>
              <w:top w:val="nil" w:sz="6" w:space="0" w:color="auto"/>
              <w:left w:val="nil" w:sz="6" w:space="0" w:color="auto"/>
              <w:bottom w:val="nil" w:sz="6" w:space="0" w:color="auto"/>
              <w:right w:val="nil" w:sz="6" w:space="0" w:color="auto"/>
            </w:tcBorders>
          </w:tcPr>
          <w:p>
            <w:pPr>
              <w:pStyle w:val="TableParagraph"/>
              <w:spacing w:line="293" w:lineRule="exact"/>
              <w:ind w:left="70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44"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70" w:lineRule="exact"/>
              <w:ind w:left="127" w:right="0"/>
              <w:jc w:val="left"/>
              <w:rPr>
                <w:rFonts w:ascii="宋体" w:hAnsi="宋体" w:cs="宋体" w:eastAsia="宋体" w:hint="default"/>
                <w:sz w:val="24"/>
                <w:szCs w:val="24"/>
              </w:rPr>
            </w:pPr>
            <w:r>
              <w:rPr>
                <w:rFonts w:ascii="宋体" w:hAnsi="宋体" w:cs="宋体" w:eastAsia="宋体" w:hint="default"/>
                <w:sz w:val="24"/>
                <w:szCs w:val="24"/>
              </w:rPr>
              <w:t>与资产相关的政府补助</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466"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64" w:right="0"/>
              <w:jc w:val="left"/>
              <w:rPr>
                <w:rFonts w:ascii="宋体" w:hAnsi="宋体" w:cs="宋体" w:eastAsia="宋体" w:hint="default"/>
                <w:sz w:val="24"/>
                <w:szCs w:val="24"/>
              </w:rPr>
            </w:pPr>
            <w:r>
              <w:rPr>
                <w:rFonts w:ascii="宋体" w:hAnsi="宋体" w:cs="宋体" w:eastAsia="宋体" w:hint="default"/>
                <w:sz w:val="24"/>
                <w:szCs w:val="24"/>
              </w:rPr>
              <w:t>北京物流基地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81"/>
              <w:jc w:val="right"/>
              <w:rPr>
                <w:rFonts w:ascii="Arial" w:hAnsi="Arial" w:cs="Arial" w:eastAsia="Arial" w:hint="default"/>
                <w:sz w:val="24"/>
                <w:szCs w:val="24"/>
              </w:rPr>
            </w:pPr>
            <w:r>
              <w:rPr>
                <w:rFonts w:ascii="Arial"/>
                <w:w w:val="95"/>
                <w:sz w:val="24"/>
              </w:rPr>
              <w:t>37,830</w:t>
            </w:r>
            <w:r>
              <w:rPr>
                <w:rFonts w:ascii="Arial"/>
                <w:sz w:val="24"/>
              </w:rPr>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99" w:right="0"/>
              <w:jc w:val="left"/>
              <w:rPr>
                <w:rFonts w:ascii="Arial" w:hAnsi="Arial" w:cs="Arial" w:eastAsia="Arial" w:hint="default"/>
                <w:sz w:val="24"/>
                <w:szCs w:val="24"/>
              </w:rPr>
            </w:pPr>
            <w:r>
              <w:rPr>
                <w:rFonts w:ascii="Arial"/>
                <w:sz w:val="24"/>
              </w:rPr>
              <w:t>38,603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南通苏宁采购物流基地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33,943</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4"/>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渤宁苏宁物流基地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31,031</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4"/>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盐城盐宁物流基地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Arial" w:hAnsi="Arial" w:cs="Arial" w:eastAsia="Arial" w:hint="default"/>
                <w:sz w:val="24"/>
                <w:szCs w:val="24"/>
              </w:rPr>
            </w:pPr>
            <w:r>
              <w:rPr>
                <w:rFonts w:ascii="Arial"/>
                <w:spacing w:val="-1"/>
                <w:sz w:val="24"/>
              </w:rPr>
              <w:t>17,030</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99" w:right="0"/>
              <w:jc w:val="left"/>
              <w:rPr>
                <w:rFonts w:ascii="Arial" w:hAnsi="Arial" w:cs="Arial" w:eastAsia="Arial" w:hint="default"/>
                <w:sz w:val="24"/>
                <w:szCs w:val="24"/>
              </w:rPr>
            </w:pPr>
            <w:r>
              <w:rPr>
                <w:rFonts w:ascii="Arial"/>
                <w:sz w:val="24"/>
              </w:rPr>
              <w:t>17,260</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哈尔滨物流基地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14,800</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4"/>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苏南物流基地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14,493</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4"/>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中山物流基地</w:t>
            </w:r>
          </w:p>
        </w:tc>
        <w:tc>
          <w:tcPr>
            <w:tcW w:w="53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Arial" w:hAnsi="Arial" w:cs="Arial" w:eastAsia="Arial" w:hint="default"/>
                <w:sz w:val="24"/>
                <w:szCs w:val="24"/>
              </w:rPr>
            </w:pPr>
            <w:r>
              <w:rPr>
                <w:rFonts w:ascii="Arial"/>
                <w:spacing w:val="-1"/>
                <w:sz w:val="24"/>
              </w:rPr>
              <w:t>12,530</w:t>
            </w:r>
          </w:p>
        </w:tc>
        <w:tc>
          <w:tcPr>
            <w:tcW w:w="105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4"/>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Style w:val="TableParagraph"/>
              <w:spacing w:line="261" w:lineRule="exact"/>
              <w:ind w:left="364" w:right="0"/>
              <w:jc w:val="left"/>
              <w:rPr>
                <w:rFonts w:ascii="宋体" w:hAnsi="宋体" w:cs="宋体" w:eastAsia="宋体" w:hint="default"/>
                <w:sz w:val="24"/>
                <w:szCs w:val="24"/>
              </w:rPr>
            </w:pPr>
            <w:r>
              <w:rPr>
                <w:rFonts w:ascii="宋体" w:hAnsi="宋体" w:cs="宋体" w:eastAsia="宋体" w:hint="default"/>
                <w:sz w:val="24"/>
                <w:szCs w:val="24"/>
              </w:rPr>
              <w:t>沈阳物流中心</w:t>
            </w:r>
          </w:p>
        </w:tc>
        <w:tc>
          <w:tcPr>
            <w:tcW w:w="2732" w:type="dxa"/>
            <w:gridSpan w:val="3"/>
            <w:tcBorders>
              <w:top w:val="nil" w:sz="6" w:space="0" w:color="auto"/>
              <w:left w:val="nil" w:sz="6" w:space="0" w:color="auto"/>
              <w:bottom w:val="nil" w:sz="6" w:space="0" w:color="auto"/>
              <w:right w:val="nil" w:sz="6" w:space="0" w:color="auto"/>
            </w:tcBorders>
          </w:tcPr>
          <w:p>
            <w:pPr>
              <w:pStyle w:val="TableParagraph"/>
              <w:tabs>
                <w:tab w:pos="2046" w:val="left" w:leader="none"/>
                <w:tab w:pos="2802" w:val="left" w:leader="none"/>
              </w:tabs>
              <w:spacing w:line="240" w:lineRule="auto" w:before="21"/>
              <w:ind w:left="250" w:right="-71"/>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6,146</w:t>
              <w:tab/>
            </w:r>
            <w:r>
              <w:rPr>
                <w:rFonts w:ascii="Arial"/>
                <w:sz w:val="24"/>
              </w:rPr>
            </w:r>
          </w:p>
        </w:tc>
        <w:tc>
          <w:tcPr>
            <w:tcW w:w="2903" w:type="dxa"/>
            <w:gridSpan w:val="3"/>
            <w:tcBorders>
              <w:top w:val="nil" w:sz="6" w:space="0" w:color="auto"/>
              <w:left w:val="nil" w:sz="6" w:space="0" w:color="auto"/>
              <w:bottom w:val="nil" w:sz="6" w:space="0" w:color="auto"/>
              <w:right w:val="nil" w:sz="6" w:space="0" w:color="auto"/>
            </w:tcBorders>
          </w:tcPr>
          <w:p>
            <w:pPr>
              <w:pStyle w:val="TableParagraph"/>
              <w:tabs>
                <w:tab w:pos="2125" w:val="left" w:leader="none"/>
                <w:tab w:pos="2903" w:val="left" w:leader="none"/>
              </w:tabs>
              <w:spacing w:line="240" w:lineRule="auto" w:before="21"/>
              <w:ind w:left="49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6,668</w:t>
              <w:tab/>
            </w:r>
            <w:r>
              <w:rPr>
                <w:rFonts w:ascii="Arial"/>
                <w:sz w:val="24"/>
              </w:rPr>
            </w:r>
          </w:p>
        </w:tc>
      </w:tr>
      <w:tr>
        <w:trPr>
          <w:trHeight w:val="263" w:hRule="exact"/>
        </w:trPr>
        <w:tc>
          <w:tcPr>
            <w:tcW w:w="772" w:type="dxa"/>
            <w:tcBorders>
              <w:top w:val="nil" w:sz="6" w:space="0" w:color="auto"/>
              <w:left w:val="nil" w:sz="6" w:space="0" w:color="auto"/>
              <w:bottom w:val="nil" w:sz="6" w:space="0" w:color="auto"/>
              <w:right w:val="nil" w:sz="6" w:space="0" w:color="auto"/>
            </w:tcBorders>
          </w:tcPr>
          <w:p>
            <w:pPr/>
          </w:p>
        </w:tc>
        <w:tc>
          <w:tcPr>
            <w:tcW w:w="3751" w:type="dxa"/>
            <w:tcBorders>
              <w:top w:val="nil" w:sz="6" w:space="0" w:color="auto"/>
              <w:left w:val="nil" w:sz="6" w:space="0" w:color="auto"/>
              <w:bottom w:val="nil" w:sz="6" w:space="0" w:color="auto"/>
              <w:right w:val="nil" w:sz="6" w:space="0" w:color="auto"/>
            </w:tcBorders>
          </w:tcPr>
          <w:p>
            <w:pPr/>
          </w:p>
        </w:tc>
        <w:tc>
          <w:tcPr>
            <w:tcW w:w="2732" w:type="dxa"/>
            <w:gridSpan w:val="3"/>
            <w:tcBorders>
              <w:top w:val="nil" w:sz="6" w:space="0" w:color="auto"/>
              <w:left w:val="nil" w:sz="6" w:space="0" w:color="auto"/>
              <w:bottom w:val="nil" w:sz="6" w:space="0" w:color="auto"/>
              <w:right w:val="nil" w:sz="6" w:space="0" w:color="auto"/>
            </w:tcBorders>
          </w:tcPr>
          <w:p>
            <w:pPr>
              <w:pStyle w:val="TableParagraph"/>
              <w:tabs>
                <w:tab w:pos="1782" w:val="left" w:leader="none"/>
                <w:tab w:pos="2802" w:val="left" w:leader="none"/>
              </w:tabs>
              <w:spacing w:line="268" w:lineRule="exact"/>
              <w:ind w:left="236" w:right="-7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167,803</w:t>
              <w:tab/>
            </w:r>
            <w:r>
              <w:rPr>
                <w:rFonts w:ascii="Arial"/>
                <w:sz w:val="24"/>
              </w:rPr>
            </w:r>
          </w:p>
        </w:tc>
        <w:tc>
          <w:tcPr>
            <w:tcW w:w="2903" w:type="dxa"/>
            <w:gridSpan w:val="3"/>
            <w:tcBorders>
              <w:top w:val="nil" w:sz="6" w:space="0" w:color="auto"/>
              <w:left w:val="nil" w:sz="6" w:space="0" w:color="auto"/>
              <w:bottom w:val="nil" w:sz="6" w:space="0" w:color="auto"/>
              <w:right w:val="nil" w:sz="6" w:space="0" w:color="auto"/>
            </w:tcBorders>
          </w:tcPr>
          <w:p>
            <w:pPr>
              <w:pStyle w:val="TableParagraph"/>
              <w:tabs>
                <w:tab w:pos="1991" w:val="left" w:leader="none"/>
                <w:tab w:pos="2903" w:val="left" w:leader="none"/>
              </w:tabs>
              <w:spacing w:line="268" w:lineRule="exact"/>
              <w:ind w:left="48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62,531</w:t>
              <w:tab/>
            </w:r>
            <w:r>
              <w:rPr>
                <w:rFonts w:ascii="Arial"/>
                <w:sz w:val="24"/>
              </w:rPr>
            </w:r>
          </w:p>
        </w:tc>
      </w:tr>
    </w:tbl>
    <w:p>
      <w:pPr>
        <w:spacing w:after="0" w:line="268" w:lineRule="exact"/>
        <w:jc w:val="lef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808"/>
        <w:gridCol w:w="2830"/>
        <w:gridCol w:w="1985"/>
        <w:gridCol w:w="142"/>
        <w:gridCol w:w="1058"/>
        <w:gridCol w:w="142"/>
        <w:gridCol w:w="992"/>
        <w:gridCol w:w="142"/>
        <w:gridCol w:w="1560"/>
        <w:gridCol w:w="142"/>
        <w:gridCol w:w="1210"/>
        <w:gridCol w:w="142"/>
        <w:gridCol w:w="1135"/>
        <w:gridCol w:w="142"/>
        <w:gridCol w:w="2127"/>
      </w:tblGrid>
      <w:tr>
        <w:trPr>
          <w:trHeight w:val="716" w:hRule="exact"/>
        </w:trPr>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283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00" w:right="0"/>
              <w:jc w:val="left"/>
              <w:rPr>
                <w:rFonts w:ascii="宋体" w:hAnsi="宋体" w:cs="宋体" w:eastAsia="宋体" w:hint="default"/>
                <w:sz w:val="24"/>
                <w:szCs w:val="24"/>
              </w:rPr>
            </w:pPr>
            <w:r>
              <w:rPr>
                <w:rFonts w:ascii="宋体" w:hAnsi="宋体" w:cs="宋体" w:eastAsia="宋体" w:hint="default"/>
                <w:b/>
                <w:bCs/>
                <w:w w:val="95"/>
                <w:sz w:val="24"/>
                <w:szCs w:val="24"/>
              </w:rPr>
              <w:t>合并财务报表项目附注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宋体" w:hAnsi="宋体" w:cs="宋体" w:eastAsia="宋体" w:hint="default"/>
                <w:sz w:val="24"/>
                <w:szCs w:val="24"/>
              </w:rPr>
            </w:r>
          </w:p>
        </w:tc>
        <w:tc>
          <w:tcPr>
            <w:tcW w:w="198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 w:right="0"/>
              <w:jc w:val="left"/>
              <w:rPr>
                <w:rFonts w:ascii="Arial" w:hAnsi="Arial" w:cs="Arial" w:eastAsia="Arial" w:hint="default"/>
                <w:sz w:val="24"/>
                <w:szCs w:val="24"/>
              </w:rPr>
            </w:pPr>
            <w:r>
              <w:rPr>
                <w:rFonts w:ascii="Arial"/>
                <w:b/>
                <w:w w:val="99"/>
                <w:sz w:val="24"/>
              </w:rPr>
              <w:t>)</w:t>
            </w:r>
            <w:r>
              <w:rPr>
                <w:rFonts w:ascii="Arial"/>
                <w:sz w:val="24"/>
              </w:rPr>
            </w:r>
          </w:p>
        </w:tc>
        <w:tc>
          <w:tcPr>
            <w:tcW w:w="142" w:type="dxa"/>
            <w:tcBorders>
              <w:top w:val="single" w:sz="6" w:space="0" w:color="000000"/>
              <w:left w:val="nil" w:sz="6" w:space="0" w:color="auto"/>
              <w:bottom w:val="nil" w:sz="6" w:space="0" w:color="auto"/>
              <w:right w:val="nil" w:sz="6" w:space="0" w:color="auto"/>
            </w:tcBorders>
          </w:tcPr>
          <w:p>
            <w:pPr/>
          </w:p>
        </w:tc>
        <w:tc>
          <w:tcPr>
            <w:tcW w:w="1058"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992"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1210"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1135" w:type="dxa"/>
            <w:tcBorders>
              <w:top w:val="single" w:sz="6" w:space="0" w:color="000000"/>
              <w:left w:val="nil" w:sz="6" w:space="0" w:color="auto"/>
              <w:bottom w:val="nil" w:sz="6" w:space="0" w:color="auto"/>
              <w:right w:val="nil" w:sz="6" w:space="0" w:color="auto"/>
            </w:tcBorders>
          </w:tcPr>
          <w:p>
            <w:pPr/>
          </w:p>
        </w:tc>
        <w:tc>
          <w:tcPr>
            <w:tcW w:w="142" w:type="dxa"/>
            <w:tcBorders>
              <w:top w:val="single" w:sz="6" w:space="0" w:color="000000"/>
              <w:left w:val="nil" w:sz="6" w:space="0" w:color="auto"/>
              <w:bottom w:val="nil" w:sz="6" w:space="0" w:color="auto"/>
              <w:right w:val="nil" w:sz="6" w:space="0" w:color="auto"/>
            </w:tcBorders>
          </w:tcPr>
          <w:p>
            <w:pPr/>
          </w:p>
        </w:tc>
        <w:tc>
          <w:tcPr>
            <w:tcW w:w="2127" w:type="dxa"/>
            <w:tcBorders>
              <w:top w:val="single" w:sz="6" w:space="0" w:color="000000"/>
              <w:left w:val="nil" w:sz="6" w:space="0" w:color="auto"/>
              <w:bottom w:val="nil" w:sz="6" w:space="0" w:color="auto"/>
              <w:right w:val="nil" w:sz="6" w:space="0" w:color="auto"/>
            </w:tcBorders>
          </w:tcPr>
          <w:p>
            <w:pPr/>
          </w:p>
        </w:tc>
      </w:tr>
      <w:tr>
        <w:trPr>
          <w:trHeight w:val="619" w:hRule="exact"/>
        </w:trPr>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(31)</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0" w:right="0"/>
              <w:jc w:val="left"/>
              <w:rPr>
                <w:rFonts w:ascii="宋体" w:hAnsi="宋体" w:cs="宋体" w:eastAsia="宋体" w:hint="default"/>
                <w:sz w:val="24"/>
                <w:szCs w:val="24"/>
              </w:rPr>
            </w:pPr>
            <w:r>
              <w:rPr>
                <w:rFonts w:ascii="宋体" w:hAnsi="宋体" w:cs="宋体" w:eastAsia="宋体" w:hint="default"/>
                <w:b/>
                <w:bCs/>
                <w:sz w:val="24"/>
                <w:szCs w:val="24"/>
              </w:rPr>
              <w:t>股本</w:t>
            </w:r>
            <w:r>
              <w:rPr>
                <w:rFonts w:ascii="宋体" w:hAnsi="宋体" w:cs="宋体" w:eastAsia="宋体" w:hint="default"/>
                <w:sz w:val="24"/>
                <w:szCs w:val="24"/>
              </w:rPr>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449"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single" w:sz="12" w:space="0" w:color="000000"/>
              <w:right w:val="nil" w:sz="6" w:space="0" w:color="auto"/>
            </w:tcBorders>
          </w:tcPr>
          <w:p>
            <w:pPr/>
          </w:p>
        </w:tc>
        <w:tc>
          <w:tcPr>
            <w:tcW w:w="992"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single" w:sz="12" w:space="0" w:color="000000"/>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0"/>
              <w:jc w:val="right"/>
              <w:rPr>
                <w:rFonts w:ascii="宋体" w:hAnsi="宋体" w:cs="宋体" w:eastAsia="宋体" w:hint="default"/>
                <w:sz w:val="21"/>
                <w:szCs w:val="21"/>
              </w:rPr>
            </w:pPr>
            <w:r>
              <w:rPr>
                <w:rFonts w:ascii="宋体" w:hAnsi="宋体" w:cs="宋体" w:eastAsia="宋体" w:hint="default"/>
                <w:spacing w:val="-1"/>
                <w:sz w:val="21"/>
                <w:szCs w:val="21"/>
              </w:rPr>
              <w:t>本年增减变动</w:t>
            </w:r>
          </w:p>
        </w:tc>
        <w:tc>
          <w:tcPr>
            <w:tcW w:w="142" w:type="dxa"/>
            <w:tcBorders>
              <w:top w:val="nil" w:sz="6" w:space="0" w:color="auto"/>
              <w:left w:val="nil" w:sz="6" w:space="0" w:color="auto"/>
              <w:bottom w:val="single" w:sz="12" w:space="0" w:color="000000"/>
              <w:right w:val="nil" w:sz="6" w:space="0" w:color="auto"/>
            </w:tcBorders>
          </w:tcPr>
          <w:p>
            <w:pPr/>
          </w:p>
        </w:tc>
        <w:tc>
          <w:tcPr>
            <w:tcW w:w="1210"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565"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2" w:lineRule="exact"/>
              <w:ind w:left="121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p>
          <w:p>
            <w:pPr>
              <w:pStyle w:val="TableParagraph"/>
              <w:spacing w:line="282" w:lineRule="exact"/>
              <w:ind w:left="895"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12" w:space="0" w:color="000000"/>
              <w:left w:val="nil" w:sz="6" w:space="0" w:color="auto"/>
              <w:bottom w:val="nil" w:sz="6" w:space="0" w:color="auto"/>
              <w:right w:val="nil" w:sz="6" w:space="0" w:color="auto"/>
            </w:tcBorders>
          </w:tcPr>
          <w:p>
            <w:pPr>
              <w:pStyle w:val="TableParagraph"/>
              <w:spacing w:line="240" w:lineRule="exact"/>
              <w:ind w:left="302" w:right="0"/>
              <w:jc w:val="left"/>
              <w:rPr>
                <w:rFonts w:ascii="宋体" w:hAnsi="宋体" w:cs="宋体" w:eastAsia="宋体" w:hint="default"/>
                <w:sz w:val="21"/>
                <w:szCs w:val="21"/>
              </w:rPr>
            </w:pPr>
            <w:r>
              <w:rPr>
                <w:rFonts w:ascii="宋体" w:hAnsi="宋体" w:cs="宋体" w:eastAsia="宋体" w:hint="default"/>
                <w:sz w:val="21"/>
                <w:szCs w:val="21"/>
              </w:rPr>
              <w:t>限售股</w:t>
            </w:r>
          </w:p>
          <w:p>
            <w:pPr>
              <w:pStyle w:val="TableParagraph"/>
              <w:spacing w:line="274" w:lineRule="exact"/>
              <w:ind w:left="511"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42" w:type="dxa"/>
            <w:tcBorders>
              <w:top w:val="single" w:sz="12" w:space="0" w:color="000000"/>
              <w:left w:val="nil" w:sz="6" w:space="0" w:color="auto"/>
              <w:bottom w:val="nil" w:sz="6" w:space="0" w:color="auto"/>
              <w:right w:val="nil" w:sz="6" w:space="0" w:color="auto"/>
            </w:tcBorders>
          </w:tcPr>
          <w:p>
            <w:pPr/>
          </w:p>
        </w:tc>
        <w:tc>
          <w:tcPr>
            <w:tcW w:w="992" w:type="dxa"/>
            <w:tcBorders>
              <w:top w:val="single" w:sz="12" w:space="0" w:color="000000"/>
              <w:left w:val="nil" w:sz="6" w:space="0" w:color="auto"/>
              <w:bottom w:val="nil" w:sz="6" w:space="0" w:color="auto"/>
              <w:right w:val="nil" w:sz="6" w:space="0" w:color="auto"/>
            </w:tcBorders>
          </w:tcPr>
          <w:p>
            <w:pPr>
              <w:pStyle w:val="TableParagraph"/>
              <w:spacing w:line="240" w:lineRule="exact"/>
              <w:ind w:left="110" w:right="0" w:firstLine="12"/>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2" w:type="dxa"/>
            <w:tcBorders>
              <w:top w:val="single" w:sz="12" w:space="0" w:color="000000"/>
              <w:left w:val="nil" w:sz="6" w:space="0" w:color="auto"/>
              <w:bottom w:val="nil" w:sz="6" w:space="0" w:color="auto"/>
              <w:right w:val="nil" w:sz="6" w:space="0" w:color="auto"/>
            </w:tcBorders>
          </w:tcPr>
          <w:p>
            <w:pPr/>
          </w:p>
        </w:tc>
        <w:tc>
          <w:tcPr>
            <w:tcW w:w="1560" w:type="dxa"/>
            <w:tcBorders>
              <w:top w:val="single" w:sz="12" w:space="0" w:color="000000"/>
              <w:left w:val="nil" w:sz="6" w:space="0" w:color="auto"/>
              <w:bottom w:val="nil" w:sz="6" w:space="0" w:color="auto"/>
              <w:right w:val="nil" w:sz="6" w:space="0" w:color="auto"/>
            </w:tcBorders>
          </w:tcPr>
          <w:p>
            <w:pPr>
              <w:pStyle w:val="TableParagraph"/>
              <w:spacing w:line="240" w:lineRule="exact"/>
              <w:ind w:left="806" w:right="0"/>
              <w:jc w:val="left"/>
              <w:rPr>
                <w:rFonts w:ascii="宋体" w:hAnsi="宋体" w:cs="宋体" w:eastAsia="宋体" w:hint="default"/>
                <w:sz w:val="21"/>
                <w:szCs w:val="21"/>
              </w:rPr>
            </w:pPr>
            <w:r>
              <w:rPr>
                <w:rFonts w:ascii="宋体" w:hAnsi="宋体" w:cs="宋体" w:eastAsia="宋体" w:hint="default"/>
                <w:sz w:val="21"/>
                <w:szCs w:val="21"/>
              </w:rPr>
              <w:t>限售股</w:t>
            </w:r>
          </w:p>
          <w:p>
            <w:pPr>
              <w:pStyle w:val="TableParagraph"/>
              <w:spacing w:line="274" w:lineRule="exact"/>
              <w:ind w:left="1017" w:right="0"/>
              <w:jc w:val="left"/>
              <w:rPr>
                <w:rFonts w:ascii="宋体" w:hAnsi="宋体" w:cs="宋体" w:eastAsia="宋体" w:hint="default"/>
                <w:sz w:val="21"/>
                <w:szCs w:val="21"/>
              </w:rPr>
            </w:pPr>
            <w:r>
              <w:rPr>
                <w:rFonts w:ascii="宋体" w:hAnsi="宋体" w:cs="宋体" w:eastAsia="宋体" w:hint="default"/>
                <w:sz w:val="21"/>
                <w:szCs w:val="21"/>
              </w:rPr>
              <w:t>解禁</w:t>
            </w:r>
          </w:p>
        </w:tc>
        <w:tc>
          <w:tcPr>
            <w:tcW w:w="142" w:type="dxa"/>
            <w:tcBorders>
              <w:top w:val="single" w:sz="12" w:space="0" w:color="000000"/>
              <w:left w:val="nil" w:sz="6" w:space="0" w:color="auto"/>
              <w:bottom w:val="nil" w:sz="6" w:space="0" w:color="auto"/>
              <w:right w:val="nil" w:sz="6" w:space="0" w:color="auto"/>
            </w:tcBorders>
          </w:tcPr>
          <w:p>
            <w:pPr/>
          </w:p>
        </w:tc>
        <w:tc>
          <w:tcPr>
            <w:tcW w:w="1210" w:type="dxa"/>
            <w:tcBorders>
              <w:top w:val="single" w:sz="12" w:space="0" w:color="000000"/>
              <w:left w:val="nil" w:sz="6" w:space="0" w:color="auto"/>
              <w:bottom w:val="nil" w:sz="6" w:space="0" w:color="auto"/>
              <w:right w:val="nil" w:sz="6" w:space="0" w:color="auto"/>
            </w:tcBorders>
          </w:tcPr>
          <w:p>
            <w:pPr>
              <w:pStyle w:val="TableParagraph"/>
              <w:spacing w:line="240" w:lineRule="exact"/>
              <w:ind w:left="326" w:right="0" w:firstLine="208"/>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发行股票</w:t>
            </w:r>
          </w:p>
        </w:tc>
        <w:tc>
          <w:tcPr>
            <w:tcW w:w="142" w:type="dxa"/>
            <w:tcBorders>
              <w:top w:val="single" w:sz="12" w:space="0" w:color="000000"/>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62" w:lineRule="exact"/>
              <w:ind w:left="1367"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z w:val="21"/>
                <w:szCs w:val="21"/>
              </w:rPr>
              <w:t> </w:t>
            </w:r>
            <w:r>
              <w:rPr>
                <w:rFonts w:ascii="宋体" w:hAnsi="宋体" w:cs="宋体" w:eastAsia="宋体" w:hint="default"/>
                <w:sz w:val="21"/>
                <w:szCs w:val="21"/>
              </w:rPr>
              <w:t>年</w:t>
            </w:r>
          </w:p>
          <w:p>
            <w:pPr>
              <w:pStyle w:val="TableParagraph"/>
              <w:spacing w:line="282" w:lineRule="exact"/>
              <w:ind w:left="1039"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274"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Style w:val="TableParagraph"/>
              <w:spacing w:line="252" w:lineRule="exact"/>
              <w:ind w:left="43" w:right="0"/>
              <w:jc w:val="left"/>
              <w:rPr>
                <w:rFonts w:ascii="Arial" w:hAnsi="Arial" w:cs="Arial" w:eastAsia="Arial" w:hint="default"/>
                <w:sz w:val="21"/>
                <w:szCs w:val="21"/>
              </w:rPr>
            </w:pPr>
            <w:r>
              <w:rPr>
                <w:rFonts w:ascii="宋体" w:hAnsi="宋体" w:cs="宋体" w:eastAsia="宋体" w:hint="default"/>
                <w:sz w:val="21"/>
                <w:szCs w:val="21"/>
              </w:rPr>
              <w:t>有限售条件股份</w:t>
            </w:r>
            <w:r>
              <w:rPr>
                <w:rFonts w:ascii="宋体" w:hAnsi="宋体" w:cs="宋体" w:eastAsia="宋体" w:hint="default"/>
                <w:spacing w:val="-1"/>
                <w:sz w:val="21"/>
                <w:szCs w:val="21"/>
              </w:rPr>
              <w:t> </w:t>
            </w:r>
            <w:r>
              <w:rPr>
                <w:rFonts w:ascii="Arial" w:hAnsi="Arial" w:cs="Arial" w:eastAsia="Arial" w:hint="default"/>
                <w:sz w:val="21"/>
                <w:szCs w:val="21"/>
              </w:rPr>
              <w:t>-</w:t>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278"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Style w:val="TableParagraph"/>
              <w:spacing w:line="237" w:lineRule="exact"/>
              <w:ind w:left="218"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3"/>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4"/>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8"/>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1"/>
              <w:jc w:val="right"/>
              <w:rPr>
                <w:rFonts w:ascii="Arial" w:hAnsi="Arial" w:cs="Arial" w:eastAsia="Arial" w:hint="default"/>
                <w:sz w:val="21"/>
                <w:szCs w:val="21"/>
              </w:rPr>
            </w:pPr>
            <w:r>
              <w:rPr>
                <w:rFonts w:ascii="Arial"/>
                <w:w w:val="100"/>
                <w:sz w:val="21"/>
              </w:rPr>
              <w:t>-</w:t>
            </w:r>
          </w:p>
        </w:tc>
      </w:tr>
      <w:tr>
        <w:trPr>
          <w:trHeight w:val="268"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single" w:sz="4" w:space="0" w:color="000000"/>
              <w:right w:val="nil" w:sz="6" w:space="0" w:color="auto"/>
            </w:tcBorders>
          </w:tcPr>
          <w:p>
            <w:pPr>
              <w:pStyle w:val="TableParagraph"/>
              <w:spacing w:line="230" w:lineRule="exact"/>
              <w:ind w:left="218" w:right="0"/>
              <w:jc w:val="left"/>
              <w:rPr>
                <w:rFonts w:ascii="宋体" w:hAnsi="宋体" w:cs="宋体" w:eastAsia="宋体" w:hint="default"/>
                <w:sz w:val="21"/>
                <w:szCs w:val="21"/>
              </w:rPr>
            </w:pPr>
            <w:r>
              <w:rPr>
                <w:rFonts w:ascii="宋体" w:hAnsi="宋体" w:cs="宋体" w:eastAsia="宋体" w:hint="default"/>
                <w:sz w:val="21"/>
                <w:szCs w:val="21"/>
              </w:rPr>
              <w:t>其他内资持股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2"/>
              <w:jc w:val="right"/>
              <w:rPr>
                <w:rFonts w:ascii="Arial" w:hAnsi="Arial" w:cs="Arial" w:eastAsia="Arial" w:hint="default"/>
                <w:sz w:val="21"/>
                <w:szCs w:val="21"/>
              </w:rPr>
            </w:pPr>
            <w:r>
              <w:rPr>
                <w:rFonts w:ascii="Arial"/>
                <w:spacing w:val="-1"/>
                <w:sz w:val="21"/>
              </w:rPr>
              <w:t>1,554,123</w:t>
            </w:r>
          </w:p>
        </w:tc>
        <w:tc>
          <w:tcPr>
            <w:tcW w:w="142"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2"/>
              <w:jc w:val="right"/>
              <w:rPr>
                <w:rFonts w:ascii="Arial" w:hAnsi="Arial" w:cs="Arial" w:eastAsia="Arial" w:hint="default"/>
                <w:sz w:val="21"/>
                <w:szCs w:val="21"/>
              </w:rPr>
            </w:pPr>
            <w:r>
              <w:rPr>
                <w:rFonts w:ascii="Arial"/>
                <w:spacing w:val="-1"/>
                <w:sz w:val="21"/>
              </w:rPr>
              <w:t>4,962</w:t>
            </w:r>
          </w:p>
        </w:tc>
        <w:tc>
          <w:tcPr>
            <w:tcW w:w="142"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8"/>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0"/>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26"/>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70"/>
              <w:jc w:val="right"/>
              <w:rPr>
                <w:rFonts w:ascii="Arial" w:hAnsi="Arial" w:cs="Arial" w:eastAsia="Arial" w:hint="default"/>
                <w:sz w:val="21"/>
                <w:szCs w:val="21"/>
              </w:rPr>
            </w:pPr>
            <w:r>
              <w:rPr>
                <w:rFonts w:ascii="Arial"/>
                <w:spacing w:val="-1"/>
                <w:sz w:val="21"/>
              </w:rPr>
              <w:t>1,559,085</w:t>
            </w:r>
          </w:p>
        </w:tc>
      </w:tr>
      <w:tr>
        <w:trPr>
          <w:trHeight w:val="288" w:hRule="exact"/>
        </w:trPr>
        <w:tc>
          <w:tcPr>
            <w:tcW w:w="808" w:type="dxa"/>
            <w:tcBorders>
              <w:top w:val="nil" w:sz="6" w:space="0" w:color="auto"/>
              <w:left w:val="nil" w:sz="6" w:space="0" w:color="auto"/>
              <w:bottom w:val="nil" w:sz="6" w:space="0" w:color="auto"/>
              <w:right w:val="single" w:sz="4" w:space="0" w:color="000000"/>
            </w:tcBorders>
          </w:tcPr>
          <w:p>
            <w:pPr/>
          </w:p>
        </w:tc>
        <w:tc>
          <w:tcPr>
            <w:tcW w:w="2830"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73"/>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683" w:right="0"/>
              <w:jc w:val="lef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8"/>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17"/>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40"/>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26"/>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right="66"/>
              <w:jc w:val="right"/>
              <w:rPr>
                <w:rFonts w:ascii="Arial" w:hAnsi="Arial" w:cs="Arial" w:eastAsia="Arial" w:hint="default"/>
                <w:sz w:val="21"/>
                <w:szCs w:val="21"/>
              </w:rPr>
            </w:pPr>
            <w:r>
              <w:rPr>
                <w:rFonts w:ascii="Arial"/>
                <w:w w:val="100"/>
                <w:sz w:val="21"/>
              </w:rPr>
              <w:t>-</w:t>
            </w:r>
          </w:p>
        </w:tc>
      </w:tr>
      <w:tr>
        <w:trPr>
          <w:trHeight w:val="269" w:hRule="exact"/>
        </w:trPr>
        <w:tc>
          <w:tcPr>
            <w:tcW w:w="808" w:type="dxa"/>
            <w:tcBorders>
              <w:top w:val="nil" w:sz="6" w:space="0" w:color="auto"/>
              <w:left w:val="nil" w:sz="6" w:space="0" w:color="auto"/>
              <w:bottom w:val="nil" w:sz="6" w:space="0" w:color="auto"/>
              <w:right w:val="single" w:sz="4" w:space="0" w:color="000000"/>
            </w:tcBorders>
          </w:tcPr>
          <w:p>
            <w:pPr/>
          </w:p>
        </w:tc>
        <w:tc>
          <w:tcPr>
            <w:tcW w:w="2830" w:type="dxa"/>
            <w:tcBorders>
              <w:top w:val="nil" w:sz="6" w:space="0" w:color="auto"/>
              <w:left w:val="single" w:sz="4" w:space="0" w:color="000000"/>
              <w:bottom w:val="single" w:sz="4" w:space="0" w:color="000000"/>
              <w:right w:val="nil" w:sz="6" w:space="0" w:color="auto"/>
            </w:tcBorders>
          </w:tcPr>
          <w:p>
            <w:pPr>
              <w:pStyle w:val="TableParagraph"/>
              <w:spacing w:line="231" w:lineRule="exact"/>
              <w:ind w:left="818"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72"/>
              <w:jc w:val="right"/>
              <w:rPr>
                <w:rFonts w:ascii="Arial" w:hAnsi="Arial" w:cs="Arial" w:eastAsia="Arial" w:hint="default"/>
                <w:sz w:val="21"/>
                <w:szCs w:val="21"/>
              </w:rPr>
            </w:pPr>
            <w:r>
              <w:rPr>
                <w:rFonts w:ascii="Arial"/>
                <w:spacing w:val="-1"/>
                <w:sz w:val="21"/>
              </w:rPr>
              <w:t>1,554,123</w:t>
            </w:r>
          </w:p>
        </w:tc>
        <w:tc>
          <w:tcPr>
            <w:tcW w:w="142"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72"/>
              <w:jc w:val="right"/>
              <w:rPr>
                <w:rFonts w:ascii="Arial" w:hAnsi="Arial" w:cs="Arial" w:eastAsia="Arial" w:hint="default"/>
                <w:sz w:val="21"/>
                <w:szCs w:val="21"/>
              </w:rPr>
            </w:pPr>
            <w:r>
              <w:rPr>
                <w:rFonts w:ascii="Arial"/>
                <w:spacing w:val="-1"/>
                <w:sz w:val="21"/>
              </w:rPr>
              <w:t>4,962</w:t>
            </w:r>
          </w:p>
        </w:tc>
        <w:tc>
          <w:tcPr>
            <w:tcW w:w="142"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8"/>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1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0"/>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26"/>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single" w:sz="4" w:space="0" w:color="000000"/>
            </w:tcBorders>
          </w:tcPr>
          <w:p>
            <w:pPr>
              <w:pStyle w:val="TableParagraph"/>
              <w:spacing w:line="240" w:lineRule="auto" w:before="16"/>
              <w:ind w:right="65"/>
              <w:jc w:val="right"/>
              <w:rPr>
                <w:rFonts w:ascii="Arial" w:hAnsi="Arial" w:cs="Arial" w:eastAsia="Arial" w:hint="default"/>
                <w:sz w:val="21"/>
                <w:szCs w:val="21"/>
              </w:rPr>
            </w:pPr>
            <w:r>
              <w:rPr>
                <w:rFonts w:ascii="Arial"/>
                <w:spacing w:val="-1"/>
                <w:sz w:val="21"/>
              </w:rPr>
              <w:t>1,559,085</w:t>
            </w:r>
          </w:p>
        </w:tc>
      </w:tr>
      <w:tr>
        <w:trPr>
          <w:trHeight w:val="284"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外资持股</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73"/>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83" w:right="0"/>
              <w:jc w:val="lef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38"/>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7"/>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0"/>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26"/>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71"/>
              <w:jc w:val="right"/>
              <w:rPr>
                <w:rFonts w:ascii="Arial" w:hAnsi="Arial" w:cs="Arial" w:eastAsia="Arial" w:hint="default"/>
                <w:sz w:val="21"/>
                <w:szCs w:val="21"/>
              </w:rPr>
            </w:pPr>
            <w:r>
              <w:rPr>
                <w:rFonts w:ascii="Arial"/>
                <w:w w:val="100"/>
                <w:sz w:val="21"/>
              </w:rPr>
              <w:t>-</w:t>
            </w:r>
          </w:p>
        </w:tc>
      </w:tr>
      <w:tr>
        <w:trPr>
          <w:trHeight w:val="283" w:hRule="exact"/>
        </w:trPr>
        <w:tc>
          <w:tcPr>
            <w:tcW w:w="808" w:type="dxa"/>
            <w:tcBorders>
              <w:top w:val="nil" w:sz="6" w:space="0" w:color="auto"/>
              <w:left w:val="nil" w:sz="6" w:space="0" w:color="auto"/>
              <w:bottom w:val="nil" w:sz="6" w:space="0" w:color="auto"/>
              <w:right w:val="single" w:sz="4" w:space="0" w:color="000000"/>
            </w:tcBorders>
          </w:tcPr>
          <w:p>
            <w:pP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73"/>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83" w:right="0"/>
              <w:jc w:val="lef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38"/>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17"/>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40"/>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26"/>
              <w:jc w:val="right"/>
              <w:rPr>
                <w:rFonts w:ascii="Arial" w:hAnsi="Arial" w:cs="Arial" w:eastAsia="Arial" w:hint="default"/>
                <w:sz w:val="21"/>
                <w:szCs w:val="21"/>
              </w:rPr>
            </w:pPr>
            <w:r>
              <w:rPr>
                <w:rFonts w:ascii="Arial"/>
                <w:w w:val="100"/>
                <w:sz w:val="21"/>
              </w:rPr>
              <w:t>-</w:t>
            </w:r>
          </w:p>
        </w:tc>
        <w:tc>
          <w:tcPr>
            <w:tcW w:w="142" w:type="dxa"/>
            <w:tcBorders>
              <w:top w:val="single" w:sz="4" w:space="0" w:color="000000"/>
              <w:left w:val="nil" w:sz="6" w:space="0" w:color="auto"/>
              <w:bottom w:val="single" w:sz="4" w:space="0" w:color="000000"/>
              <w:right w:val="nil" w:sz="6" w:space="0" w:color="auto"/>
            </w:tcBorders>
          </w:tcPr>
          <w:p>
            <w:pPr/>
          </w:p>
        </w:tc>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66"/>
              <w:jc w:val="right"/>
              <w:rPr>
                <w:rFonts w:ascii="Arial" w:hAnsi="Arial" w:cs="Arial" w:eastAsia="Arial" w:hint="default"/>
                <w:sz w:val="21"/>
                <w:szCs w:val="21"/>
              </w:rPr>
            </w:pPr>
            <w:r>
              <w:rPr>
                <w:rFonts w:ascii="Arial"/>
                <w:w w:val="100"/>
                <w:sz w:val="21"/>
              </w:rPr>
              <w:t>-</w:t>
            </w:r>
          </w:p>
        </w:tc>
      </w:tr>
      <w:tr>
        <w:trPr>
          <w:trHeight w:val="250"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
        </w:tc>
      </w:tr>
      <w:tr>
        <w:trPr>
          <w:trHeight w:val="252"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72"/>
              <w:jc w:val="right"/>
              <w:rPr>
                <w:rFonts w:ascii="Arial" w:hAnsi="Arial" w:cs="Arial" w:eastAsia="Arial" w:hint="default"/>
                <w:sz w:val="21"/>
                <w:szCs w:val="21"/>
              </w:rPr>
            </w:pPr>
            <w:r>
              <w:rPr>
                <w:rFonts w:ascii="Arial"/>
                <w:spacing w:val="-1"/>
                <w:sz w:val="21"/>
              </w:rPr>
              <w:t>1,554,123</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72"/>
              <w:jc w:val="right"/>
              <w:rPr>
                <w:rFonts w:ascii="Arial" w:hAnsi="Arial" w:cs="Arial" w:eastAsia="Arial" w:hint="default"/>
                <w:sz w:val="21"/>
                <w:szCs w:val="21"/>
              </w:rPr>
            </w:pPr>
            <w:r>
              <w:rPr>
                <w:rFonts w:ascii="Arial"/>
                <w:spacing w:val="-1"/>
                <w:sz w:val="21"/>
              </w:rPr>
              <w:t>4,962</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38"/>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11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40"/>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126"/>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39" w:lineRule="exact"/>
              <w:ind w:right="70"/>
              <w:jc w:val="right"/>
              <w:rPr>
                <w:rFonts w:ascii="Arial" w:hAnsi="Arial" w:cs="Arial" w:eastAsia="Arial" w:hint="default"/>
                <w:sz w:val="21"/>
                <w:szCs w:val="21"/>
              </w:rPr>
            </w:pPr>
            <w:r>
              <w:rPr>
                <w:rFonts w:ascii="Arial"/>
                <w:spacing w:val="-1"/>
                <w:sz w:val="21"/>
              </w:rPr>
              <w:t>1,559,085</w:t>
            </w:r>
          </w:p>
        </w:tc>
      </w:tr>
      <w:tr>
        <w:trPr>
          <w:trHeight w:val="524"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3" w:right="0"/>
              <w:jc w:val="left"/>
              <w:rPr>
                <w:rFonts w:ascii="Arial" w:hAnsi="Arial" w:cs="Arial" w:eastAsia="Arial" w:hint="default"/>
                <w:sz w:val="21"/>
                <w:szCs w:val="21"/>
              </w:rPr>
            </w:pPr>
            <w:r>
              <w:rPr>
                <w:rFonts w:ascii="宋体" w:hAnsi="宋体" w:cs="宋体" w:eastAsia="宋体" w:hint="default"/>
                <w:sz w:val="21"/>
                <w:szCs w:val="21"/>
              </w:rPr>
              <w:t>无限售条件股份</w:t>
            </w:r>
            <w:r>
              <w:rPr>
                <w:rFonts w:ascii="宋体" w:hAnsi="宋体" w:cs="宋体" w:eastAsia="宋体" w:hint="default"/>
                <w:spacing w:val="-1"/>
                <w:sz w:val="21"/>
                <w:szCs w:val="21"/>
              </w:rPr>
              <w:t> </w:t>
            </w:r>
            <w:r>
              <w:rPr>
                <w:rFonts w:ascii="Arial" w:hAnsi="Arial" w:cs="Arial" w:eastAsia="Arial" w:hint="default"/>
                <w:sz w:val="21"/>
                <w:szCs w:val="21"/>
              </w:rPr>
              <w:t>-</w:t>
            </w:r>
          </w:p>
        </w:tc>
        <w:tc>
          <w:tcPr>
            <w:tcW w:w="198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r>
      <w:tr>
        <w:trPr>
          <w:trHeight w:val="280" w:hRule="exact"/>
        </w:trPr>
        <w:tc>
          <w:tcPr>
            <w:tcW w:w="808" w:type="dxa"/>
            <w:tcBorders>
              <w:top w:val="nil" w:sz="6" w:space="0" w:color="auto"/>
              <w:left w:val="nil" w:sz="6" w:space="0" w:color="auto"/>
              <w:bottom w:val="nil" w:sz="6" w:space="0" w:color="auto"/>
              <w:right w:val="nil" w:sz="6" w:space="0" w:color="auto"/>
            </w:tcBorders>
          </w:tcPr>
          <w:p>
            <w:pPr/>
          </w:p>
        </w:tc>
        <w:tc>
          <w:tcPr>
            <w:tcW w:w="2830" w:type="dxa"/>
            <w:tcBorders>
              <w:top w:val="nil" w:sz="6" w:space="0" w:color="auto"/>
              <w:left w:val="nil" w:sz="6" w:space="0" w:color="auto"/>
              <w:bottom w:val="nil" w:sz="6" w:space="0" w:color="auto"/>
              <w:right w:val="nil" w:sz="6" w:space="0" w:color="auto"/>
            </w:tcBorders>
          </w:tcPr>
          <w:p>
            <w:pPr>
              <w:pStyle w:val="TableParagraph"/>
              <w:spacing w:line="237" w:lineRule="exact"/>
              <w:ind w:left="25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tcBorders>
              <w:top w:val="nil" w:sz="6" w:space="0" w:color="auto"/>
              <w:left w:val="nil" w:sz="6" w:space="0" w:color="auto"/>
              <w:bottom w:val="nil" w:sz="6" w:space="0" w:color="auto"/>
              <w:right w:val="nil" w:sz="6" w:space="0" w:color="auto"/>
            </w:tcBorders>
          </w:tcPr>
          <w:p>
            <w:pPr>
              <w:pStyle w:val="TableParagraph"/>
              <w:tabs>
                <w:tab w:pos="974" w:val="left" w:leader="none"/>
                <w:tab w:pos="1985" w:val="left" w:leader="none"/>
              </w:tabs>
              <w:spacing w:line="240" w:lineRule="auto" w:before="22"/>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5,442,089</w:t>
              <w:tab/>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22"/>
              <w:ind w:right="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(4,962)</w:t>
            </w:r>
            <w:r>
              <w:rPr>
                <w:rFonts w:ascii="Arial"/>
                <w:spacing w:val="-1"/>
                <w:sz w:val="21"/>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22"/>
              <w:ind w:right="38"/>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1370" w:val="left" w:leader="none"/>
                <w:tab w:pos="1559" w:val="left" w:leader="none"/>
              </w:tabs>
              <w:spacing w:line="240" w:lineRule="auto" w:before="22"/>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tabs>
                <w:tab w:pos="1097" w:val="left" w:leader="none"/>
              </w:tabs>
              <w:spacing w:line="240" w:lineRule="auto" w:before="22"/>
              <w:ind w:right="4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935" w:val="left" w:leader="none"/>
                <w:tab w:pos="1135" w:val="left" w:leader="none"/>
              </w:tabs>
              <w:spacing w:line="240" w:lineRule="auto" w:before="22"/>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tabs>
                <w:tab w:pos="1118" w:val="left" w:leader="none"/>
                <w:tab w:pos="2126" w:val="left" w:leader="none"/>
              </w:tabs>
              <w:spacing w:line="240" w:lineRule="auto" w:before="22"/>
              <w:ind w:right="-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5,437,127</w:t>
              <w:tab/>
            </w:r>
            <w:r>
              <w:rPr>
                <w:rFonts w:ascii="Arial"/>
                <w:spacing w:val="-1"/>
                <w:sz w:val="21"/>
              </w:rPr>
            </w:r>
          </w:p>
        </w:tc>
      </w:tr>
      <w:tr>
        <w:trPr>
          <w:trHeight w:val="252" w:hRule="exact"/>
        </w:trPr>
        <w:tc>
          <w:tcPr>
            <w:tcW w:w="808" w:type="dxa"/>
            <w:tcBorders>
              <w:top w:val="nil" w:sz="6" w:space="0" w:color="auto"/>
              <w:left w:val="nil" w:sz="6" w:space="0" w:color="auto"/>
              <w:bottom w:val="nil" w:sz="6" w:space="0" w:color="auto"/>
              <w:right w:val="nil" w:sz="6" w:space="0" w:color="auto"/>
            </w:tcBorders>
          </w:tcPr>
          <w:p>
            <w:pPr/>
          </w:p>
        </w:tc>
        <w:tc>
          <w:tcPr>
            <w:tcW w:w="4957" w:type="dxa"/>
            <w:gridSpan w:val="3"/>
            <w:tcBorders>
              <w:top w:val="nil" w:sz="6" w:space="0" w:color="auto"/>
              <w:left w:val="nil" w:sz="6" w:space="0" w:color="auto"/>
              <w:bottom w:val="nil" w:sz="6" w:space="0" w:color="auto"/>
              <w:right w:val="nil" w:sz="6" w:space="0" w:color="auto"/>
            </w:tcBorders>
          </w:tcPr>
          <w:p>
            <w:pPr>
              <w:pStyle w:val="TableParagraph"/>
              <w:tabs>
                <w:tab w:pos="3804" w:val="left" w:leader="none"/>
                <w:tab w:pos="4814" w:val="left" w:leader="none"/>
              </w:tabs>
              <w:spacing w:line="236" w:lineRule="exact"/>
              <w:ind w:left="2829"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5,442,089</w:t>
              <w:tab/>
            </w:r>
            <w:r>
              <w:rPr>
                <w:rFonts w:ascii="Arial"/>
                <w:sz w:val="21"/>
              </w:rPr>
            </w:r>
          </w:p>
        </w:tc>
        <w:tc>
          <w:tcPr>
            <w:tcW w:w="1058"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36" w:lineRule="exact"/>
              <w:ind w:right="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(4,962)</w:t>
            </w:r>
            <w:r>
              <w:rPr>
                <w:rFonts w:ascii="Arial"/>
                <w:spacing w:val="-1"/>
                <w:sz w:val="21"/>
              </w:rPr>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36" w:lineRule="exact"/>
              <w:ind w:right="38"/>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r>
          </w:p>
        </w:tc>
        <w:tc>
          <w:tcPr>
            <w:tcW w:w="3053" w:type="dxa"/>
            <w:gridSpan w:val="4"/>
            <w:tcBorders>
              <w:top w:val="nil" w:sz="6" w:space="0" w:color="auto"/>
              <w:left w:val="nil" w:sz="6" w:space="0" w:color="auto"/>
              <w:bottom w:val="nil" w:sz="6" w:space="0" w:color="auto"/>
              <w:right w:val="nil" w:sz="6" w:space="0" w:color="auto"/>
            </w:tcBorders>
          </w:tcPr>
          <w:p>
            <w:pPr>
              <w:pStyle w:val="TableParagraph"/>
              <w:tabs>
                <w:tab w:pos="1754" w:val="left" w:leader="none"/>
                <w:tab w:pos="2940" w:val="left" w:leader="none"/>
              </w:tabs>
              <w:spacing w:line="236" w:lineRule="exact"/>
              <w:ind w:left="141"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z w:val="21"/>
              </w:rPr>
              <w:t> </w:t>
            </w:r>
            <w:r>
              <w:rPr>
                <w:rFonts w:ascii="Arial"/>
                <w:spacing w:val="-29"/>
                <w:sz w:val="21"/>
              </w:rPr>
              <w:t> </w:t>
            </w:r>
            <w:r>
              <w:rPr>
                <w:rFonts w:ascii="Arial"/>
                <w:spacing w:val="-29"/>
                <w:w w:val="100"/>
                <w:sz w:val="21"/>
              </w:rPr>
            </w:r>
            <w:r>
              <w:rPr>
                <w:rFonts w:ascii="Arial"/>
                <w:w w:val="100"/>
                <w:sz w:val="21"/>
                <w:u w:val="single" w:color="000000"/>
              </w:rPr>
              <w:t> </w:t>
            </w:r>
            <w:r>
              <w:rPr>
                <w:rFonts w:ascii="Arial"/>
                <w:sz w:val="21"/>
                <w:u w:val="single" w:color="000000"/>
              </w:rPr>
              <w:tab/>
              <w:t>-</w:t>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935" w:val="left" w:leader="none"/>
                <w:tab w:pos="1135" w:val="left" w:leader="none"/>
              </w:tabs>
              <w:spacing w:line="236" w:lineRule="exact"/>
              <w:ind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tabs>
                <w:tab w:pos="1118" w:val="left" w:leader="none"/>
                <w:tab w:pos="2126" w:val="left" w:leader="none"/>
              </w:tabs>
              <w:spacing w:line="236" w:lineRule="exact"/>
              <w:ind w:right="-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5,437,127</w:t>
              <w:tab/>
            </w:r>
            <w:r>
              <w:rPr>
                <w:rFonts w:ascii="Arial"/>
                <w:spacing w:val="-1"/>
                <w:sz w:val="21"/>
              </w:rPr>
            </w:r>
          </w:p>
        </w:tc>
      </w:tr>
      <w:tr>
        <w:trPr>
          <w:trHeight w:val="254" w:hRule="exact"/>
        </w:trPr>
        <w:tc>
          <w:tcPr>
            <w:tcW w:w="808" w:type="dxa"/>
            <w:tcBorders>
              <w:top w:val="nil" w:sz="6" w:space="0" w:color="auto"/>
              <w:left w:val="nil" w:sz="6" w:space="0" w:color="auto"/>
              <w:bottom w:val="nil" w:sz="6" w:space="0" w:color="auto"/>
              <w:right w:val="nil" w:sz="6" w:space="0" w:color="auto"/>
            </w:tcBorders>
          </w:tcPr>
          <w:p>
            <w:pPr/>
          </w:p>
        </w:tc>
        <w:tc>
          <w:tcPr>
            <w:tcW w:w="4957" w:type="dxa"/>
            <w:gridSpan w:val="3"/>
            <w:tcBorders>
              <w:top w:val="nil" w:sz="6" w:space="0" w:color="auto"/>
              <w:left w:val="nil" w:sz="6" w:space="0" w:color="auto"/>
              <w:bottom w:val="nil" w:sz="6" w:space="0" w:color="auto"/>
              <w:right w:val="nil" w:sz="6" w:space="0" w:color="auto"/>
            </w:tcBorders>
          </w:tcPr>
          <w:p>
            <w:pPr>
              <w:pStyle w:val="TableParagraph"/>
              <w:spacing w:line="236" w:lineRule="exact"/>
              <w:ind w:right="214"/>
              <w:jc w:val="right"/>
              <w:rPr>
                <w:rFonts w:ascii="Arial" w:hAnsi="Arial" w:cs="Arial" w:eastAsia="Arial" w:hint="default"/>
                <w:sz w:val="21"/>
                <w:szCs w:val="21"/>
              </w:rPr>
            </w:pPr>
            <w:r>
              <w:rPr>
                <w:rFonts w:ascii="Arial"/>
                <w:spacing w:val="-1"/>
                <w:sz w:val="21"/>
              </w:rPr>
              <w:t>6,996,212</w:t>
            </w:r>
          </w:p>
        </w:tc>
        <w:tc>
          <w:tcPr>
            <w:tcW w:w="1058" w:type="dxa"/>
            <w:tcBorders>
              <w:top w:val="nil" w:sz="6" w:space="0" w:color="auto"/>
              <w:left w:val="nil" w:sz="6" w:space="0" w:color="auto"/>
              <w:bottom w:val="single" w:sz="12" w:space="0" w:color="000000"/>
              <w:right w:val="nil" w:sz="6" w:space="0" w:color="auto"/>
            </w:tcBorders>
          </w:tcPr>
          <w:p>
            <w:pPr>
              <w:pStyle w:val="TableParagraph"/>
              <w:spacing w:line="236" w:lineRule="exact"/>
              <w:ind w:right="64"/>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12" w:space="0" w:color="000000"/>
              <w:right w:val="nil" w:sz="6" w:space="0" w:color="auto"/>
            </w:tcBorders>
          </w:tcPr>
          <w:p>
            <w:pPr>
              <w:pStyle w:val="TableParagraph"/>
              <w:spacing w:line="236" w:lineRule="exact"/>
              <w:ind w:right="38"/>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36" w:lineRule="exact"/>
              <w:ind w:right="11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12" w:space="0" w:color="000000"/>
              <w:right w:val="nil" w:sz="6" w:space="0" w:color="auto"/>
            </w:tcBorders>
          </w:tcPr>
          <w:p>
            <w:pPr>
              <w:pStyle w:val="TableParagraph"/>
              <w:spacing w:line="236" w:lineRule="exact"/>
              <w:ind w:right="40"/>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36" w:lineRule="exact"/>
              <w:ind w:right="126"/>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12" w:space="0" w:color="000000"/>
              <w:right w:val="nil" w:sz="6" w:space="0" w:color="auto"/>
            </w:tcBorders>
          </w:tcPr>
          <w:p>
            <w:pPr>
              <w:pStyle w:val="TableParagraph"/>
              <w:spacing w:line="236" w:lineRule="exact"/>
              <w:ind w:right="70"/>
              <w:jc w:val="right"/>
              <w:rPr>
                <w:rFonts w:ascii="Arial" w:hAnsi="Arial" w:cs="Arial" w:eastAsia="Arial" w:hint="default"/>
                <w:sz w:val="21"/>
                <w:szCs w:val="21"/>
              </w:rPr>
            </w:pPr>
            <w:r>
              <w:rPr>
                <w:rFonts w:ascii="Arial"/>
                <w:spacing w:val="-1"/>
                <w:sz w:val="21"/>
              </w:rPr>
              <w:t>6,996,212</w:t>
            </w:r>
          </w:p>
        </w:tc>
      </w:tr>
      <w:tr>
        <w:trPr>
          <w:trHeight w:val="1227" w:hRule="exact"/>
        </w:trPr>
        <w:tc>
          <w:tcPr>
            <w:tcW w:w="808" w:type="dxa"/>
            <w:tcBorders>
              <w:top w:val="nil" w:sz="6" w:space="0" w:color="auto"/>
              <w:left w:val="nil" w:sz="6" w:space="0" w:color="auto"/>
              <w:bottom w:val="nil" w:sz="6" w:space="0" w:color="auto"/>
              <w:right w:val="nil" w:sz="6" w:space="0" w:color="auto"/>
            </w:tcBorders>
          </w:tcPr>
          <w:p>
            <w:pPr/>
          </w:p>
        </w:tc>
        <w:tc>
          <w:tcPr>
            <w:tcW w:w="13747" w:type="dxa"/>
            <w:gridSpan w:val="1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312" w:lineRule="exact"/>
              <w:ind w:left="108" w:right="106"/>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9"/>
                <w:sz w:val="24"/>
                <w:szCs w:val="24"/>
              </w:rPr>
              <w:t> </w:t>
            </w:r>
            <w:r>
              <w:rPr>
                <w:rFonts w:ascii="宋体" w:hAnsi="宋体" w:cs="宋体" w:eastAsia="宋体" w:hint="default"/>
                <w:sz w:val="24"/>
                <w:szCs w:val="24"/>
              </w:rPr>
              <w:t>年度本公司部分高管人员增持本公司股份</w:t>
            </w:r>
            <w:r>
              <w:rPr>
                <w:rFonts w:ascii="宋体" w:hAnsi="宋体" w:cs="宋体" w:eastAsia="宋体" w:hint="default"/>
                <w:spacing w:val="-63"/>
                <w:sz w:val="24"/>
                <w:szCs w:val="24"/>
              </w:rPr>
              <w:t> </w:t>
            </w:r>
            <w:r>
              <w:rPr>
                <w:rFonts w:ascii="Arial" w:hAnsi="Arial" w:cs="Arial" w:eastAsia="Arial" w:hint="default"/>
                <w:sz w:val="24"/>
                <w:szCs w:val="24"/>
              </w:rPr>
              <w:t>6,616,130</w:t>
            </w:r>
            <w:r>
              <w:rPr>
                <w:rFonts w:ascii="Arial" w:hAnsi="Arial" w:cs="Arial" w:eastAsia="Arial" w:hint="default"/>
                <w:spacing w:val="-8"/>
                <w:sz w:val="24"/>
                <w:szCs w:val="24"/>
              </w:rPr>
              <w:t> </w:t>
            </w:r>
            <w:r>
              <w:rPr>
                <w:rFonts w:ascii="宋体" w:hAnsi="宋体" w:cs="宋体" w:eastAsia="宋体" w:hint="default"/>
                <w:sz w:val="24"/>
                <w:szCs w:val="24"/>
              </w:rPr>
              <w:t>股，根据规定，该部分增持股份的</w:t>
            </w:r>
            <w:r>
              <w:rPr>
                <w:rFonts w:ascii="宋体" w:hAnsi="宋体" w:cs="宋体" w:eastAsia="宋体" w:hint="default"/>
                <w:spacing w:val="-63"/>
                <w:sz w:val="24"/>
                <w:szCs w:val="24"/>
              </w:rPr>
              <w:t> </w:t>
            </w:r>
            <w:r>
              <w:rPr>
                <w:rFonts w:ascii="Arial" w:hAnsi="Arial" w:cs="Arial" w:eastAsia="Arial" w:hint="default"/>
                <w:sz w:val="24"/>
                <w:szCs w:val="24"/>
              </w:rPr>
              <w:t>75%</w:t>
            </w:r>
            <w:r>
              <w:rPr>
                <w:rFonts w:ascii="Arial" w:hAnsi="Arial" w:cs="Arial" w:eastAsia="Arial" w:hint="default"/>
                <w:spacing w:val="27"/>
                <w:sz w:val="24"/>
                <w:szCs w:val="24"/>
              </w:rPr>
              <w:t> </w:t>
            </w:r>
            <w:r>
              <w:rPr>
                <w:rFonts w:ascii="Arial" w:hAnsi="Arial" w:cs="Arial" w:eastAsia="Arial" w:hint="default"/>
                <w:sz w:val="24"/>
                <w:szCs w:val="24"/>
              </w:rPr>
              <w:t>(4,962,098</w:t>
            </w:r>
            <w:r>
              <w:rPr>
                <w:rFonts w:ascii="Arial" w:hAnsi="Arial" w:cs="Arial" w:eastAsia="Arial" w:hint="default"/>
                <w:spacing w:val="-8"/>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按高管股份锁定 为有限售条件股份。</w:t>
            </w:r>
          </w:p>
        </w:tc>
      </w:tr>
    </w:tbl>
    <w:p>
      <w:pPr>
        <w:spacing w:after="0" w:line="312" w:lineRule="exact"/>
        <w:jc w:val="left"/>
        <w:rPr>
          <w:rFonts w:ascii="宋体" w:hAnsi="宋体" w:cs="宋体" w:eastAsia="宋体" w:hint="default"/>
          <w:sz w:val="24"/>
          <w:szCs w:val="24"/>
        </w:rPr>
        <w:sectPr>
          <w:headerReference w:type="default" r:id="rId90"/>
          <w:footerReference w:type="default" r:id="rId91"/>
          <w:pgSz w:w="16850" w:h="11910" w:orient="landscape"/>
          <w:pgMar w:header="754" w:footer="954" w:top="2240" w:bottom="1140" w:left="780" w:right="0"/>
          <w:pgNumType w:start="180"/>
        </w:sectPr>
      </w:pPr>
    </w:p>
    <w:p>
      <w:pPr>
        <w:spacing w:line="240" w:lineRule="auto" w:before="7"/>
        <w:rPr>
          <w:rFonts w:ascii="Times New Roman" w:hAnsi="Times New Roman" w:cs="Times New Roman" w:eastAsia="Times New Roman" w:hint="default"/>
          <w:sz w:val="4"/>
          <w:szCs w:val="4"/>
        </w:rPr>
      </w:pPr>
      <w:r>
        <w:rPr/>
        <w:pict>
          <v:group style="position:absolute;margin-left:83.639999pt;margin-top:115.460014pt;width:688pt;height:.1pt;mso-position-horizontal-relative:page;mso-position-vertical-relative:page;z-index:-1358488" coordorigin="1673,2309" coordsize="13760,2">
            <v:shape style="position:absolute;left:1673;top:2309;width:13760;height:2" coordorigin="1673,2309" coordsize="13760,0" path="m1673,2309l15432,2309e" filled="false" stroked="true" strokeweight=".71999pt" strokecolor="#000000">
              <v:path arrowok="t"/>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774"/>
        <w:gridCol w:w="3139"/>
      </w:tblGrid>
      <w:tr>
        <w:trPr>
          <w:trHeight w:val="71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4"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40"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(31)</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4" w:right="0"/>
              <w:jc w:val="left"/>
              <w:rPr>
                <w:rFonts w:ascii="Arial" w:hAnsi="Arial" w:cs="Arial" w:eastAsia="Arial" w:hint="default"/>
                <w:sz w:val="24"/>
                <w:szCs w:val="24"/>
              </w:rPr>
            </w:pPr>
            <w:r>
              <w:rPr>
                <w:rFonts w:ascii="宋体" w:hAnsi="宋体" w:cs="宋体" w:eastAsia="宋体" w:hint="default"/>
                <w:b/>
                <w:bCs/>
                <w:sz w:val="24"/>
                <w:szCs w:val="24"/>
              </w:rPr>
              <w:t>股本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0"/>
          <w:szCs w:val="10"/>
        </w:rPr>
      </w:pPr>
    </w:p>
    <w:tbl>
      <w:tblPr>
        <w:tblW w:w="0" w:type="auto"/>
        <w:jc w:val="left"/>
        <w:tblInd w:w="924" w:type="dxa"/>
        <w:tblLayout w:type="fixed"/>
        <w:tblCellMar>
          <w:top w:w="0" w:type="dxa"/>
          <w:left w:w="0" w:type="dxa"/>
          <w:bottom w:w="0" w:type="dxa"/>
          <w:right w:w="0" w:type="dxa"/>
        </w:tblCellMar>
        <w:tblLook w:val="01E0"/>
      </w:tblPr>
      <w:tblGrid>
        <w:gridCol w:w="2827"/>
        <w:gridCol w:w="1985"/>
        <w:gridCol w:w="142"/>
        <w:gridCol w:w="1135"/>
        <w:gridCol w:w="134"/>
        <w:gridCol w:w="1217"/>
        <w:gridCol w:w="134"/>
        <w:gridCol w:w="1349"/>
        <w:gridCol w:w="134"/>
        <w:gridCol w:w="1217"/>
        <w:gridCol w:w="135"/>
        <w:gridCol w:w="1258"/>
        <w:gridCol w:w="134"/>
        <w:gridCol w:w="1992"/>
      </w:tblGrid>
      <w:tr>
        <w:trPr>
          <w:trHeight w:val="256" w:hRule="exact"/>
        </w:trPr>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
        </w:tc>
        <w:tc>
          <w:tcPr>
            <w:tcW w:w="134" w:type="dxa"/>
            <w:tcBorders>
              <w:top w:val="nil" w:sz="6" w:space="0" w:color="auto"/>
              <w:left w:val="nil" w:sz="6" w:space="0" w:color="auto"/>
              <w:bottom w:val="single" w:sz="12" w:space="0" w:color="000000"/>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
        </w:tc>
        <w:tc>
          <w:tcPr>
            <w:tcW w:w="134" w:type="dxa"/>
            <w:tcBorders>
              <w:top w:val="nil" w:sz="6" w:space="0" w:color="auto"/>
              <w:left w:val="nil" w:sz="6" w:space="0" w:color="auto"/>
              <w:bottom w:val="single" w:sz="12" w:space="0" w:color="000000"/>
              <w:right w:val="nil" w:sz="6" w:space="0" w:color="auto"/>
            </w:tcBorders>
          </w:tcPr>
          <w:p>
            <w:pPr/>
          </w:p>
        </w:tc>
        <w:tc>
          <w:tcPr>
            <w:tcW w:w="1349" w:type="dxa"/>
            <w:tcBorders>
              <w:top w:val="nil" w:sz="6" w:space="0" w:color="auto"/>
              <w:left w:val="nil" w:sz="6" w:space="0" w:color="auto"/>
              <w:bottom w:val="single" w:sz="12" w:space="0" w:color="000000"/>
              <w:right w:val="nil" w:sz="6" w:space="0" w:color="auto"/>
            </w:tcBorders>
          </w:tcPr>
          <w:p>
            <w:pPr>
              <w:pStyle w:val="TableParagraph"/>
              <w:spacing w:line="211"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本年增减变动</w:t>
            </w:r>
          </w:p>
        </w:tc>
        <w:tc>
          <w:tcPr>
            <w:tcW w:w="134" w:type="dxa"/>
            <w:tcBorders>
              <w:top w:val="nil" w:sz="6" w:space="0" w:color="auto"/>
              <w:left w:val="nil" w:sz="6" w:space="0" w:color="auto"/>
              <w:bottom w:val="single" w:sz="12" w:space="0" w:color="000000"/>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
        </w:tc>
        <w:tc>
          <w:tcPr>
            <w:tcW w:w="135" w:type="dxa"/>
            <w:tcBorders>
              <w:top w:val="nil" w:sz="6" w:space="0" w:color="auto"/>
              <w:left w:val="nil" w:sz="6" w:space="0" w:color="auto"/>
              <w:bottom w:val="single" w:sz="12" w:space="0" w:color="000000"/>
              <w:right w:val="nil" w:sz="6" w:space="0" w:color="auto"/>
            </w:tcBorders>
          </w:tcPr>
          <w:p>
            <w:pPr/>
          </w:p>
        </w:tc>
        <w:tc>
          <w:tcPr>
            <w:tcW w:w="1258" w:type="dxa"/>
            <w:tcBorders>
              <w:top w:val="nil" w:sz="6" w:space="0" w:color="auto"/>
              <w:left w:val="nil" w:sz="6" w:space="0" w:color="auto"/>
              <w:bottom w:val="single" w:sz="12"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566" w:hRule="exact"/>
        </w:trPr>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4" w:lineRule="exact"/>
              <w:ind w:left="121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6"/>
                <w:sz w:val="21"/>
                <w:szCs w:val="21"/>
              </w:rPr>
              <w:t> </w:t>
            </w:r>
            <w:r>
              <w:rPr>
                <w:rFonts w:ascii="宋体" w:hAnsi="宋体" w:cs="宋体" w:eastAsia="宋体" w:hint="default"/>
                <w:sz w:val="21"/>
                <w:szCs w:val="21"/>
              </w:rPr>
              <w:t>年</w:t>
            </w:r>
          </w:p>
          <w:p>
            <w:pPr>
              <w:pStyle w:val="TableParagraph"/>
              <w:spacing w:line="282" w:lineRule="exact"/>
              <w:ind w:left="898"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Style w:val="TableParagraph"/>
              <w:spacing w:line="243" w:lineRule="exact"/>
              <w:ind w:left="583" w:right="0" w:hanging="202"/>
              <w:jc w:val="left"/>
              <w:rPr>
                <w:rFonts w:ascii="宋体" w:hAnsi="宋体" w:cs="宋体" w:eastAsia="宋体" w:hint="default"/>
                <w:sz w:val="21"/>
                <w:szCs w:val="21"/>
              </w:rPr>
            </w:pPr>
            <w:r>
              <w:rPr>
                <w:rFonts w:ascii="宋体" w:hAnsi="宋体" w:cs="宋体" w:eastAsia="宋体" w:hint="default"/>
                <w:sz w:val="21"/>
                <w:szCs w:val="21"/>
              </w:rPr>
              <w:t>限售股</w:t>
            </w:r>
          </w:p>
          <w:p>
            <w:pPr>
              <w:pStyle w:val="TableParagraph"/>
              <w:spacing w:line="274" w:lineRule="exact"/>
              <w:ind w:left="58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34" w:type="dxa"/>
            <w:tcBorders>
              <w:top w:val="single" w:sz="12" w:space="0" w:color="000000"/>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34" w:type="dxa"/>
            <w:tcBorders>
              <w:top w:val="single" w:sz="12" w:space="0" w:color="000000"/>
              <w:left w:val="nil" w:sz="6" w:space="0" w:color="auto"/>
              <w:bottom w:val="nil" w:sz="6" w:space="0" w:color="auto"/>
              <w:right w:val="nil" w:sz="6" w:space="0" w:color="auto"/>
            </w:tcBorders>
          </w:tcPr>
          <w:p>
            <w:pPr/>
          </w:p>
        </w:tc>
        <w:tc>
          <w:tcPr>
            <w:tcW w:w="1349" w:type="dxa"/>
            <w:tcBorders>
              <w:top w:val="single" w:sz="12" w:space="0" w:color="000000"/>
              <w:left w:val="nil" w:sz="6" w:space="0" w:color="auto"/>
              <w:bottom w:val="nil" w:sz="6" w:space="0" w:color="auto"/>
              <w:right w:val="nil" w:sz="6" w:space="0" w:color="auto"/>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限售股</w:t>
            </w:r>
          </w:p>
          <w:p>
            <w:pPr>
              <w:pStyle w:val="TableParagraph"/>
              <w:spacing w:line="274" w:lineRule="exact"/>
              <w:ind w:left="830" w:right="0"/>
              <w:jc w:val="left"/>
              <w:rPr>
                <w:rFonts w:ascii="宋体" w:hAnsi="宋体" w:cs="宋体" w:eastAsia="宋体" w:hint="default"/>
                <w:sz w:val="21"/>
                <w:szCs w:val="21"/>
              </w:rPr>
            </w:pPr>
            <w:r>
              <w:rPr>
                <w:rFonts w:ascii="宋体" w:hAnsi="宋体" w:cs="宋体" w:eastAsia="宋体" w:hint="default"/>
                <w:sz w:val="21"/>
                <w:szCs w:val="21"/>
              </w:rPr>
              <w:t>解禁</w:t>
            </w:r>
          </w:p>
        </w:tc>
        <w:tc>
          <w:tcPr>
            <w:tcW w:w="134" w:type="dxa"/>
            <w:tcBorders>
              <w:top w:val="single" w:sz="12" w:space="0" w:color="000000"/>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Style w:val="TableParagraph"/>
              <w:spacing w:line="243" w:lineRule="exact"/>
              <w:ind w:left="333" w:right="0" w:firstLine="208"/>
              <w:jc w:val="left"/>
              <w:rPr>
                <w:rFonts w:ascii="宋体" w:hAnsi="宋体" w:cs="宋体" w:eastAsia="宋体" w:hint="default"/>
                <w:sz w:val="21"/>
                <w:szCs w:val="21"/>
              </w:rPr>
            </w:pPr>
            <w:r>
              <w:rPr>
                <w:rFonts w:ascii="宋体" w:hAnsi="宋体" w:cs="宋体" w:eastAsia="宋体" w:hint="default"/>
                <w:sz w:val="21"/>
                <w:szCs w:val="21"/>
              </w:rPr>
              <w:t>非公开</w:t>
            </w:r>
          </w:p>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发行股票</w:t>
            </w:r>
          </w:p>
        </w:tc>
        <w:tc>
          <w:tcPr>
            <w:tcW w:w="135" w:type="dxa"/>
            <w:tcBorders>
              <w:top w:val="single" w:sz="12" w:space="0" w:color="000000"/>
              <w:left w:val="nil" w:sz="6" w:space="0" w:color="auto"/>
              <w:bottom w:val="nil" w:sz="6" w:space="0" w:color="auto"/>
              <w:right w:val="nil" w:sz="6" w:space="0" w:color="auto"/>
            </w:tcBorders>
          </w:tcPr>
          <w:p>
            <w:pPr/>
          </w:p>
        </w:tc>
        <w:tc>
          <w:tcPr>
            <w:tcW w:w="1258" w:type="dxa"/>
            <w:tcBorders>
              <w:top w:val="single" w:sz="12" w:space="0" w:color="000000"/>
              <w:left w:val="nil" w:sz="6" w:space="0" w:color="auto"/>
              <w:bottom w:val="nil" w:sz="6" w:space="0" w:color="auto"/>
              <w:right w:val="nil" w:sz="6" w:space="0" w:color="auto"/>
            </w:tcBorders>
          </w:tcPr>
          <w:p>
            <w:pPr>
              <w:pStyle w:val="TableParagraph"/>
              <w:spacing w:line="243" w:lineRule="exact"/>
              <w:ind w:right="38"/>
              <w:jc w:val="right"/>
              <w:rPr>
                <w:rFonts w:ascii="宋体" w:hAnsi="宋体" w:cs="宋体" w:eastAsia="宋体" w:hint="default"/>
                <w:sz w:val="21"/>
                <w:szCs w:val="21"/>
              </w:rPr>
            </w:pPr>
            <w:r>
              <w:rPr>
                <w:rFonts w:ascii="宋体" w:hAnsi="宋体" w:cs="宋体" w:eastAsia="宋体" w:hint="default"/>
                <w:sz w:val="21"/>
                <w:szCs w:val="21"/>
              </w:rPr>
              <w:t>小计</w:t>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64" w:lineRule="exact"/>
              <w:ind w:left="121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904"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272"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51" w:lineRule="exact"/>
              <w:ind w:left="40" w:right="0"/>
              <w:jc w:val="left"/>
              <w:rPr>
                <w:rFonts w:ascii="Arial" w:hAnsi="Arial" w:cs="Arial" w:eastAsia="Arial" w:hint="default"/>
                <w:sz w:val="21"/>
                <w:szCs w:val="21"/>
              </w:rPr>
            </w:pPr>
            <w:r>
              <w:rPr>
                <w:rFonts w:ascii="宋体" w:hAnsi="宋体" w:cs="宋体" w:eastAsia="宋体" w:hint="default"/>
                <w:sz w:val="21"/>
                <w:szCs w:val="21"/>
              </w:rPr>
              <w:t>有限售条件股份</w:t>
            </w:r>
            <w:r>
              <w:rPr>
                <w:rFonts w:ascii="宋体" w:hAnsi="宋体" w:cs="宋体" w:eastAsia="宋体" w:hint="default"/>
                <w:spacing w:val="-1"/>
                <w:sz w:val="21"/>
                <w:szCs w:val="21"/>
              </w:rPr>
              <w:t> </w:t>
            </w:r>
            <w:r>
              <w:rPr>
                <w:rFonts w:ascii="Arial" w:hAnsi="Arial" w:cs="Arial" w:eastAsia="Arial" w:hint="default"/>
                <w:sz w:val="21"/>
                <w:szCs w:val="21"/>
              </w:rPr>
              <w:t>-</w:t>
            </w:r>
          </w:p>
        </w:tc>
        <w:tc>
          <w:tcPr>
            <w:tcW w:w="198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28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37" w:lineRule="exact"/>
              <w:ind w:left="215"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Arial" w:hAnsi="Arial" w:cs="Arial" w:eastAsia="Arial" w:hint="default"/>
                <w:sz w:val="21"/>
                <w:szCs w:val="21"/>
              </w:rPr>
            </w:pPr>
            <w:r>
              <w:rPr>
                <w:rFonts w:ascii="Arial"/>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9"/>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6"/>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2"/>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2"/>
              <w:jc w:val="right"/>
              <w:rPr>
                <w:rFonts w:ascii="Arial" w:hAnsi="Arial" w:cs="Arial" w:eastAsia="Arial" w:hint="default"/>
                <w:sz w:val="21"/>
                <w:szCs w:val="21"/>
              </w:rPr>
            </w:pPr>
            <w:r>
              <w:rPr>
                <w:rFonts w:ascii="Arial"/>
                <w:w w:val="100"/>
                <w:sz w:val="21"/>
              </w:rPr>
              <w:t>-</w:t>
            </w: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8"/>
              <w:jc w:val="right"/>
              <w:rPr>
                <w:rFonts w:ascii="Arial" w:hAnsi="Arial" w:cs="Arial" w:eastAsia="Arial" w:hint="default"/>
                <w:sz w:val="21"/>
                <w:szCs w:val="21"/>
              </w:rPr>
            </w:pPr>
            <w:r>
              <w:rPr>
                <w:rFonts w:ascii="Arial"/>
                <w:w w:val="100"/>
                <w:sz w:val="21"/>
              </w:rPr>
              <w:t>-</w:t>
            </w:r>
          </w:p>
        </w:tc>
      </w:tr>
      <w:tr>
        <w:trPr>
          <w:trHeight w:val="269" w:hRule="exact"/>
        </w:trPr>
        <w:tc>
          <w:tcPr>
            <w:tcW w:w="2827" w:type="dxa"/>
            <w:tcBorders>
              <w:top w:val="nil" w:sz="6" w:space="0" w:color="auto"/>
              <w:left w:val="nil" w:sz="6" w:space="0" w:color="auto"/>
              <w:bottom w:val="single" w:sz="4" w:space="0" w:color="000000"/>
              <w:right w:val="nil" w:sz="6" w:space="0" w:color="auto"/>
            </w:tcBorders>
          </w:tcPr>
          <w:p>
            <w:pPr>
              <w:pStyle w:val="TableParagraph"/>
              <w:spacing w:line="231" w:lineRule="exact"/>
              <w:ind w:left="215" w:right="0"/>
              <w:jc w:val="left"/>
              <w:rPr>
                <w:rFonts w:ascii="宋体" w:hAnsi="宋体" w:cs="宋体" w:eastAsia="宋体" w:hint="default"/>
                <w:sz w:val="21"/>
                <w:szCs w:val="21"/>
              </w:rPr>
            </w:pPr>
            <w:r>
              <w:rPr>
                <w:rFonts w:ascii="宋体" w:hAnsi="宋体" w:cs="宋体" w:eastAsia="宋体" w:hint="default"/>
                <w:sz w:val="21"/>
                <w:szCs w:val="21"/>
              </w:rPr>
              <w:t>其他内资持股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5"/>
              <w:jc w:val="right"/>
              <w:rPr>
                <w:rFonts w:ascii="Arial" w:hAnsi="Arial" w:cs="Arial" w:eastAsia="Arial" w:hint="default"/>
                <w:sz w:val="21"/>
                <w:szCs w:val="21"/>
              </w:rPr>
            </w:pPr>
            <w:r>
              <w:rPr>
                <w:rFonts w:ascii="Arial"/>
                <w:spacing w:val="-1"/>
                <w:sz w:val="21"/>
              </w:rPr>
              <w:t>1,503,384</w:t>
            </w:r>
          </w:p>
        </w:tc>
        <w:tc>
          <w:tcPr>
            <w:tcW w:w="142"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29"/>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5"/>
              <w:jc w:val="right"/>
              <w:rPr>
                <w:rFonts w:ascii="Arial" w:hAnsi="Arial" w:cs="Arial" w:eastAsia="Arial" w:hint="default"/>
                <w:sz w:val="21"/>
                <w:szCs w:val="21"/>
              </w:rPr>
            </w:pPr>
            <w:r>
              <w:rPr>
                <w:rFonts w:ascii="Arial"/>
                <w:spacing w:val="-1"/>
                <w:sz w:val="21"/>
              </w:rPr>
              <w:t>751,692</w:t>
            </w:r>
          </w:p>
        </w:tc>
        <w:tc>
          <w:tcPr>
            <w:tcW w:w="134" w:type="dxa"/>
            <w:tcBorders>
              <w:top w:val="nil" w:sz="6" w:space="0" w:color="auto"/>
              <w:left w:val="nil" w:sz="6" w:space="0" w:color="auto"/>
              <w:bottom w:val="single" w:sz="4" w:space="0" w:color="000000"/>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2"/>
              <w:jc w:val="right"/>
              <w:rPr>
                <w:rFonts w:ascii="Arial" w:hAnsi="Arial" w:cs="Arial" w:eastAsia="Arial" w:hint="default"/>
                <w:sz w:val="21"/>
                <w:szCs w:val="21"/>
              </w:rPr>
            </w:pPr>
            <w:r>
              <w:rPr>
                <w:rFonts w:ascii="Arial"/>
                <w:spacing w:val="-1"/>
                <w:sz w:val="21"/>
              </w:rPr>
              <w:t>(700,953)</w:t>
            </w: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2"/>
              <w:jc w:val="right"/>
              <w:rPr>
                <w:rFonts w:ascii="Arial" w:hAnsi="Arial" w:cs="Arial" w:eastAsia="Arial" w:hint="default"/>
                <w:sz w:val="21"/>
                <w:szCs w:val="21"/>
              </w:rPr>
            </w:pPr>
            <w:r>
              <w:rPr>
                <w:rFonts w:ascii="Arial"/>
                <w:w w:val="100"/>
                <w:sz w:val="21"/>
              </w:rPr>
              <w:t>-</w:t>
            </w:r>
          </w:p>
        </w:tc>
        <w:tc>
          <w:tcPr>
            <w:tcW w:w="135" w:type="dxa"/>
            <w:tcBorders>
              <w:top w:val="nil" w:sz="6" w:space="0" w:color="auto"/>
              <w:left w:val="nil" w:sz="6" w:space="0" w:color="auto"/>
              <w:bottom w:val="single" w:sz="4" w:space="0" w:color="000000"/>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10"/>
              <w:jc w:val="right"/>
              <w:rPr>
                <w:rFonts w:ascii="Arial" w:hAnsi="Arial" w:cs="Arial" w:eastAsia="Arial" w:hint="default"/>
                <w:sz w:val="21"/>
                <w:szCs w:val="21"/>
              </w:rPr>
            </w:pPr>
            <w:r>
              <w:rPr>
                <w:rFonts w:ascii="Arial"/>
                <w:spacing w:val="-1"/>
                <w:sz w:val="21"/>
              </w:rPr>
              <w:t>50,739</w:t>
            </w:r>
          </w:p>
        </w:tc>
        <w:tc>
          <w:tcPr>
            <w:tcW w:w="134" w:type="dxa"/>
            <w:tcBorders>
              <w:top w:val="nil" w:sz="6" w:space="0" w:color="auto"/>
              <w:left w:val="nil" w:sz="6" w:space="0" w:color="auto"/>
              <w:bottom w:val="single" w:sz="4" w:space="0" w:color="000000"/>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77"/>
              <w:jc w:val="right"/>
              <w:rPr>
                <w:rFonts w:ascii="Arial" w:hAnsi="Arial" w:cs="Arial" w:eastAsia="Arial" w:hint="default"/>
                <w:sz w:val="21"/>
                <w:szCs w:val="21"/>
              </w:rPr>
            </w:pPr>
            <w:r>
              <w:rPr>
                <w:rFonts w:ascii="Arial"/>
                <w:spacing w:val="-1"/>
                <w:sz w:val="21"/>
              </w:rPr>
              <w:t>1,554,123</w:t>
            </w:r>
          </w:p>
        </w:tc>
      </w:tr>
      <w:tr>
        <w:trPr>
          <w:trHeight w:val="288" w:hRule="exact"/>
        </w:trPr>
        <w:tc>
          <w:tcPr>
            <w:tcW w:w="2827"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21"/>
                <w:szCs w:val="21"/>
              </w:rPr>
            </w:pPr>
            <w:r>
              <w:rPr>
                <w:rFonts w:ascii="Arial"/>
                <w:spacing w:val="-1"/>
                <w:sz w:val="21"/>
              </w:rPr>
              <w:t>142,000</w:t>
            </w:r>
          </w:p>
        </w:tc>
        <w:tc>
          <w:tcPr>
            <w:tcW w:w="142"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29"/>
              <w:jc w:val="right"/>
              <w:rPr>
                <w:rFonts w:ascii="Arial" w:hAnsi="Arial" w:cs="Arial" w:eastAsia="Arial" w:hint="default"/>
                <w:sz w:val="21"/>
                <w:szCs w:val="21"/>
              </w:rPr>
            </w:pPr>
            <w:r>
              <w:rPr>
                <w:rFonts w:ascii="Arial"/>
                <w:w w:val="100"/>
                <w:sz w:val="21"/>
              </w:rPr>
              <w:t>-</w:t>
            </w: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65"/>
              <w:jc w:val="right"/>
              <w:rPr>
                <w:rFonts w:ascii="Arial" w:hAnsi="Arial" w:cs="Arial" w:eastAsia="Arial" w:hint="default"/>
                <w:sz w:val="21"/>
                <w:szCs w:val="21"/>
              </w:rPr>
            </w:pPr>
            <w:r>
              <w:rPr>
                <w:rFonts w:ascii="Arial"/>
                <w:spacing w:val="-1"/>
                <w:sz w:val="21"/>
              </w:rPr>
              <w:t>71,000</w:t>
            </w:r>
          </w:p>
        </w:tc>
        <w:tc>
          <w:tcPr>
            <w:tcW w:w="134" w:type="dxa"/>
            <w:tcBorders>
              <w:top w:val="single" w:sz="4" w:space="0" w:color="000000"/>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1"/>
                <w:szCs w:val="21"/>
              </w:rPr>
            </w:pPr>
            <w:r>
              <w:rPr>
                <w:rFonts w:ascii="Arial"/>
                <w:spacing w:val="-1"/>
                <w:sz w:val="21"/>
              </w:rPr>
              <w:t>(213,000)</w:t>
            </w: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1"/>
                <w:szCs w:val="21"/>
              </w:rPr>
            </w:pPr>
            <w:r>
              <w:rPr>
                <w:rFonts w:ascii="Arial"/>
                <w:w w:val="100"/>
                <w:sz w:val="21"/>
              </w:rPr>
              <w:t>-</w:t>
            </w:r>
          </w:p>
        </w:tc>
        <w:tc>
          <w:tcPr>
            <w:tcW w:w="135"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40"/>
              <w:jc w:val="right"/>
              <w:rPr>
                <w:rFonts w:ascii="Arial" w:hAnsi="Arial" w:cs="Arial" w:eastAsia="Arial" w:hint="default"/>
                <w:sz w:val="21"/>
                <w:szCs w:val="21"/>
              </w:rPr>
            </w:pPr>
            <w:r>
              <w:rPr>
                <w:rFonts w:ascii="Arial"/>
                <w:spacing w:val="-1"/>
                <w:sz w:val="21"/>
              </w:rPr>
              <w:t>(142,000)</w:t>
            </w:r>
          </w:p>
        </w:tc>
        <w:tc>
          <w:tcPr>
            <w:tcW w:w="134" w:type="dxa"/>
            <w:tcBorders>
              <w:top w:val="single" w:sz="4" w:space="0" w:color="000000"/>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single" w:sz="4" w:space="0" w:color="000000"/>
            </w:tcBorders>
          </w:tcPr>
          <w:p>
            <w:pPr>
              <w:pStyle w:val="TableParagraph"/>
              <w:spacing w:line="240" w:lineRule="auto" w:before="26"/>
              <w:ind w:right="74"/>
              <w:jc w:val="right"/>
              <w:rPr>
                <w:rFonts w:ascii="Arial" w:hAnsi="Arial" w:cs="Arial" w:eastAsia="Arial" w:hint="default"/>
                <w:sz w:val="21"/>
                <w:szCs w:val="21"/>
              </w:rPr>
            </w:pPr>
            <w:r>
              <w:rPr>
                <w:rFonts w:ascii="Arial"/>
                <w:w w:val="100"/>
                <w:sz w:val="21"/>
              </w:rPr>
              <w:t>-</w:t>
            </w:r>
          </w:p>
        </w:tc>
      </w:tr>
      <w:tr>
        <w:trPr>
          <w:trHeight w:val="266" w:hRule="exact"/>
        </w:trPr>
        <w:tc>
          <w:tcPr>
            <w:tcW w:w="2827" w:type="dxa"/>
            <w:tcBorders>
              <w:top w:val="nil" w:sz="6" w:space="0" w:color="auto"/>
              <w:left w:val="single" w:sz="4" w:space="0" w:color="000000"/>
              <w:bottom w:val="single" w:sz="4" w:space="0" w:color="000000"/>
              <w:right w:val="nil" w:sz="6" w:space="0" w:color="auto"/>
            </w:tcBorders>
          </w:tcPr>
          <w:p>
            <w:pPr>
              <w:pStyle w:val="TableParagraph"/>
              <w:spacing w:line="231" w:lineRule="exact"/>
              <w:ind w:left="815"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5"/>
              <w:jc w:val="right"/>
              <w:rPr>
                <w:rFonts w:ascii="Arial" w:hAnsi="Arial" w:cs="Arial" w:eastAsia="Arial" w:hint="default"/>
                <w:sz w:val="21"/>
                <w:szCs w:val="21"/>
              </w:rPr>
            </w:pPr>
            <w:r>
              <w:rPr>
                <w:rFonts w:ascii="Arial"/>
                <w:spacing w:val="-1"/>
                <w:sz w:val="21"/>
              </w:rPr>
              <w:t>1,361,384</w:t>
            </w:r>
          </w:p>
        </w:tc>
        <w:tc>
          <w:tcPr>
            <w:tcW w:w="142"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29"/>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5"/>
              <w:jc w:val="right"/>
              <w:rPr>
                <w:rFonts w:ascii="Arial" w:hAnsi="Arial" w:cs="Arial" w:eastAsia="Arial" w:hint="default"/>
                <w:sz w:val="21"/>
                <w:szCs w:val="21"/>
              </w:rPr>
            </w:pPr>
            <w:r>
              <w:rPr>
                <w:rFonts w:ascii="Arial"/>
                <w:spacing w:val="-1"/>
                <w:sz w:val="21"/>
              </w:rPr>
              <w:t>680,692</w:t>
            </w:r>
          </w:p>
        </w:tc>
        <w:tc>
          <w:tcPr>
            <w:tcW w:w="134" w:type="dxa"/>
            <w:tcBorders>
              <w:top w:val="nil" w:sz="6" w:space="0" w:color="auto"/>
              <w:left w:val="nil" w:sz="6" w:space="0" w:color="auto"/>
              <w:bottom w:val="single" w:sz="4" w:space="0" w:color="000000"/>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2"/>
              <w:jc w:val="right"/>
              <w:rPr>
                <w:rFonts w:ascii="Arial" w:hAnsi="Arial" w:cs="Arial" w:eastAsia="Arial" w:hint="default"/>
                <w:sz w:val="21"/>
                <w:szCs w:val="21"/>
              </w:rPr>
            </w:pPr>
            <w:r>
              <w:rPr>
                <w:rFonts w:ascii="Arial"/>
                <w:spacing w:val="-1"/>
                <w:sz w:val="21"/>
              </w:rPr>
              <w:t>(487,953)</w:t>
            </w:r>
          </w:p>
        </w:tc>
        <w:tc>
          <w:tcPr>
            <w:tcW w:w="13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2"/>
              <w:jc w:val="right"/>
              <w:rPr>
                <w:rFonts w:ascii="Arial" w:hAnsi="Arial" w:cs="Arial" w:eastAsia="Arial" w:hint="default"/>
                <w:sz w:val="21"/>
                <w:szCs w:val="21"/>
              </w:rPr>
            </w:pPr>
            <w:r>
              <w:rPr>
                <w:rFonts w:ascii="Arial"/>
                <w:w w:val="100"/>
                <w:sz w:val="21"/>
              </w:rPr>
              <w:t>-</w:t>
            </w:r>
          </w:p>
        </w:tc>
        <w:tc>
          <w:tcPr>
            <w:tcW w:w="135" w:type="dxa"/>
            <w:tcBorders>
              <w:top w:val="nil" w:sz="6" w:space="0" w:color="auto"/>
              <w:left w:val="nil" w:sz="6" w:space="0" w:color="auto"/>
              <w:bottom w:val="single" w:sz="4" w:space="0" w:color="000000"/>
              <w:right w:val="nil" w:sz="6" w:space="0" w:color="auto"/>
            </w:tcBorders>
          </w:tcPr>
          <w:p>
            <w:pP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8"/>
              <w:jc w:val="right"/>
              <w:rPr>
                <w:rFonts w:ascii="Arial" w:hAnsi="Arial" w:cs="Arial" w:eastAsia="Arial" w:hint="default"/>
                <w:sz w:val="21"/>
                <w:szCs w:val="21"/>
              </w:rPr>
            </w:pPr>
            <w:r>
              <w:rPr>
                <w:rFonts w:ascii="Arial"/>
                <w:spacing w:val="-1"/>
                <w:sz w:val="21"/>
              </w:rPr>
              <w:t>192,739</w:t>
            </w:r>
          </w:p>
        </w:tc>
        <w:tc>
          <w:tcPr>
            <w:tcW w:w="134" w:type="dxa"/>
            <w:tcBorders>
              <w:top w:val="nil" w:sz="6" w:space="0" w:color="auto"/>
              <w:left w:val="nil" w:sz="6" w:space="0" w:color="auto"/>
              <w:bottom w:val="single" w:sz="4" w:space="0" w:color="000000"/>
              <w:right w:val="nil" w:sz="6" w:space="0" w:color="auto"/>
            </w:tcBorders>
          </w:tcPr>
          <w:p>
            <w:pPr/>
          </w:p>
        </w:tc>
        <w:tc>
          <w:tcPr>
            <w:tcW w:w="1992" w:type="dxa"/>
            <w:tcBorders>
              <w:top w:val="nil" w:sz="6" w:space="0" w:color="auto"/>
              <w:left w:val="nil" w:sz="6" w:space="0" w:color="auto"/>
              <w:bottom w:val="single" w:sz="4" w:space="0" w:color="000000"/>
              <w:right w:val="single" w:sz="4" w:space="0" w:color="000000"/>
            </w:tcBorders>
          </w:tcPr>
          <w:p>
            <w:pPr>
              <w:pStyle w:val="TableParagraph"/>
              <w:spacing w:line="240" w:lineRule="auto" w:before="16"/>
              <w:ind w:right="72"/>
              <w:jc w:val="right"/>
              <w:rPr>
                <w:rFonts w:ascii="Arial" w:hAnsi="Arial" w:cs="Arial" w:eastAsia="Arial" w:hint="default"/>
                <w:sz w:val="21"/>
                <w:szCs w:val="21"/>
              </w:rPr>
            </w:pPr>
            <w:r>
              <w:rPr>
                <w:rFonts w:ascii="Arial"/>
                <w:spacing w:val="-1"/>
                <w:sz w:val="21"/>
              </w:rPr>
              <w:t>1,554,123</w:t>
            </w:r>
          </w:p>
        </w:tc>
      </w:tr>
      <w:tr>
        <w:trPr>
          <w:trHeight w:val="284" w:hRule="exact"/>
        </w:trPr>
        <w:tc>
          <w:tcPr>
            <w:tcW w:w="282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外资持股</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6"/>
              <w:jc w:val="right"/>
              <w:rPr>
                <w:rFonts w:ascii="Arial" w:hAnsi="Arial" w:cs="Arial" w:eastAsia="Arial" w:hint="default"/>
                <w:sz w:val="21"/>
                <w:szCs w:val="21"/>
              </w:rPr>
            </w:pPr>
            <w:r>
              <w:rPr>
                <w:rFonts w:ascii="Arial"/>
                <w:spacing w:val="-1"/>
                <w:sz w:val="21"/>
              </w:rPr>
              <w:t>18,187</w:t>
            </w:r>
          </w:p>
        </w:tc>
        <w:tc>
          <w:tcPr>
            <w:tcW w:w="142"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129"/>
              <w:jc w:val="right"/>
              <w:rPr>
                <w:rFonts w:ascii="Arial" w:hAnsi="Arial" w:cs="Arial" w:eastAsia="Arial" w:hint="default"/>
                <w:sz w:val="21"/>
                <w:szCs w:val="21"/>
              </w:rPr>
            </w:pPr>
            <w:r>
              <w:rPr>
                <w:rFonts w:ascii="Arial"/>
                <w:w w:val="100"/>
                <w:sz w:val="21"/>
              </w:rPr>
              <w:t>-</w:t>
            </w:r>
          </w:p>
        </w:tc>
        <w:tc>
          <w:tcPr>
            <w:tcW w:w="134" w:type="dxa"/>
            <w:tcBorders>
              <w:top w:val="single" w:sz="4" w:space="0" w:color="000000"/>
              <w:left w:val="nil" w:sz="6" w:space="0" w:color="auto"/>
              <w:bottom w:val="single" w:sz="4" w:space="0" w:color="000000"/>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65"/>
              <w:jc w:val="right"/>
              <w:rPr>
                <w:rFonts w:ascii="Arial" w:hAnsi="Arial" w:cs="Arial" w:eastAsia="Arial" w:hint="default"/>
                <w:sz w:val="21"/>
                <w:szCs w:val="21"/>
              </w:rPr>
            </w:pPr>
            <w:r>
              <w:rPr>
                <w:rFonts w:ascii="Arial"/>
                <w:spacing w:val="-1"/>
                <w:sz w:val="21"/>
              </w:rPr>
              <w:t>9,094</w:t>
            </w:r>
          </w:p>
        </w:tc>
        <w:tc>
          <w:tcPr>
            <w:tcW w:w="134"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0"/>
              <w:jc w:val="right"/>
              <w:rPr>
                <w:rFonts w:ascii="Arial" w:hAnsi="Arial" w:cs="Arial" w:eastAsia="Arial" w:hint="default"/>
                <w:sz w:val="21"/>
                <w:szCs w:val="21"/>
              </w:rPr>
            </w:pPr>
            <w:r>
              <w:rPr>
                <w:rFonts w:ascii="Arial"/>
                <w:spacing w:val="-1"/>
                <w:sz w:val="21"/>
              </w:rPr>
              <w:t>(27,281)</w:t>
            </w:r>
          </w:p>
        </w:tc>
        <w:tc>
          <w:tcPr>
            <w:tcW w:w="134" w:type="dxa"/>
            <w:tcBorders>
              <w:top w:val="single" w:sz="4" w:space="0" w:color="000000"/>
              <w:left w:val="nil" w:sz="6" w:space="0" w:color="auto"/>
              <w:bottom w:val="single" w:sz="4" w:space="0" w:color="000000"/>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52"/>
              <w:jc w:val="right"/>
              <w:rPr>
                <w:rFonts w:ascii="Arial" w:hAnsi="Arial" w:cs="Arial" w:eastAsia="Arial" w:hint="default"/>
                <w:sz w:val="21"/>
                <w:szCs w:val="21"/>
              </w:rPr>
            </w:pPr>
            <w:r>
              <w:rPr>
                <w:rFonts w:ascii="Arial"/>
                <w:w w:val="100"/>
                <w:sz w:val="21"/>
              </w:rPr>
              <w:t>-</w:t>
            </w:r>
          </w:p>
        </w:tc>
        <w:tc>
          <w:tcPr>
            <w:tcW w:w="135" w:type="dxa"/>
            <w:tcBorders>
              <w:top w:val="single" w:sz="4" w:space="0" w:color="000000"/>
              <w:left w:val="nil" w:sz="6" w:space="0" w:color="auto"/>
              <w:bottom w:val="single" w:sz="4" w:space="0" w:color="000000"/>
              <w:right w:val="nil" w:sz="6" w:space="0" w:color="auto"/>
            </w:tcBorders>
          </w:tcPr>
          <w:p>
            <w:pP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38"/>
              <w:jc w:val="right"/>
              <w:rPr>
                <w:rFonts w:ascii="Arial" w:hAnsi="Arial" w:cs="Arial" w:eastAsia="Arial" w:hint="default"/>
                <w:sz w:val="21"/>
                <w:szCs w:val="21"/>
              </w:rPr>
            </w:pPr>
            <w:r>
              <w:rPr>
                <w:rFonts w:ascii="Arial"/>
                <w:spacing w:val="-1"/>
                <w:sz w:val="21"/>
              </w:rPr>
              <w:t>(18,187)</w:t>
            </w:r>
          </w:p>
        </w:tc>
        <w:tc>
          <w:tcPr>
            <w:tcW w:w="134" w:type="dxa"/>
            <w:tcBorders>
              <w:top w:val="single" w:sz="4" w:space="0" w:color="000000"/>
              <w:left w:val="nil" w:sz="6" w:space="0" w:color="auto"/>
              <w:bottom w:val="single" w:sz="4" w:space="0" w:color="000000"/>
              <w:right w:val="nil" w:sz="6" w:space="0" w:color="auto"/>
            </w:tcBorders>
          </w:tcPr>
          <w:p>
            <w:pPr/>
          </w:p>
        </w:tc>
        <w:tc>
          <w:tcPr>
            <w:tcW w:w="1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78"/>
              <w:jc w:val="right"/>
              <w:rPr>
                <w:rFonts w:ascii="Arial" w:hAnsi="Arial" w:cs="Arial" w:eastAsia="Arial" w:hint="default"/>
                <w:sz w:val="21"/>
                <w:szCs w:val="21"/>
              </w:rPr>
            </w:pPr>
            <w:r>
              <w:rPr>
                <w:rFonts w:ascii="Arial"/>
                <w:w w:val="100"/>
                <w:sz w:val="21"/>
              </w:rPr>
              <w:t>-</w:t>
            </w:r>
          </w:p>
        </w:tc>
      </w:tr>
      <w:tr>
        <w:trPr>
          <w:trHeight w:val="283" w:hRule="exact"/>
        </w:trPr>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56"/>
              <w:jc w:val="right"/>
              <w:rPr>
                <w:rFonts w:ascii="Arial" w:hAnsi="Arial" w:cs="Arial" w:eastAsia="Arial" w:hint="default"/>
                <w:sz w:val="21"/>
                <w:szCs w:val="21"/>
              </w:rPr>
            </w:pPr>
            <w:r>
              <w:rPr>
                <w:rFonts w:ascii="Arial"/>
                <w:spacing w:val="-1"/>
                <w:sz w:val="21"/>
              </w:rPr>
              <w:t>18,187</w:t>
            </w:r>
          </w:p>
        </w:tc>
        <w:tc>
          <w:tcPr>
            <w:tcW w:w="142"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129"/>
              <w:jc w:val="right"/>
              <w:rPr>
                <w:rFonts w:ascii="Arial" w:hAnsi="Arial" w:cs="Arial" w:eastAsia="Arial" w:hint="default"/>
                <w:sz w:val="21"/>
                <w:szCs w:val="21"/>
              </w:rPr>
            </w:pPr>
            <w:r>
              <w:rPr>
                <w:rFonts w:ascii="Arial"/>
                <w:w w:val="100"/>
                <w:sz w:val="21"/>
              </w:rPr>
              <w:t>-</w:t>
            </w:r>
          </w:p>
        </w:tc>
        <w:tc>
          <w:tcPr>
            <w:tcW w:w="134" w:type="dxa"/>
            <w:tcBorders>
              <w:top w:val="single" w:sz="4" w:space="0" w:color="000000"/>
              <w:left w:val="nil" w:sz="6" w:space="0" w:color="auto"/>
              <w:bottom w:val="single" w:sz="4" w:space="0" w:color="000000"/>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65"/>
              <w:jc w:val="right"/>
              <w:rPr>
                <w:rFonts w:ascii="Arial" w:hAnsi="Arial" w:cs="Arial" w:eastAsia="Arial" w:hint="default"/>
                <w:sz w:val="21"/>
                <w:szCs w:val="21"/>
              </w:rPr>
            </w:pPr>
            <w:r>
              <w:rPr>
                <w:rFonts w:ascii="Arial"/>
                <w:spacing w:val="-1"/>
                <w:sz w:val="21"/>
              </w:rPr>
              <w:t>9,094</w:t>
            </w:r>
          </w:p>
        </w:tc>
        <w:tc>
          <w:tcPr>
            <w:tcW w:w="134"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50"/>
              <w:jc w:val="right"/>
              <w:rPr>
                <w:rFonts w:ascii="Arial" w:hAnsi="Arial" w:cs="Arial" w:eastAsia="Arial" w:hint="default"/>
                <w:sz w:val="21"/>
                <w:szCs w:val="21"/>
              </w:rPr>
            </w:pPr>
            <w:r>
              <w:rPr>
                <w:rFonts w:ascii="Arial"/>
                <w:spacing w:val="-1"/>
                <w:sz w:val="21"/>
              </w:rPr>
              <w:t>(27,281)</w:t>
            </w:r>
          </w:p>
        </w:tc>
        <w:tc>
          <w:tcPr>
            <w:tcW w:w="134" w:type="dxa"/>
            <w:tcBorders>
              <w:top w:val="single" w:sz="4" w:space="0" w:color="000000"/>
              <w:left w:val="nil" w:sz="6" w:space="0" w:color="auto"/>
              <w:bottom w:val="single" w:sz="4" w:space="0" w:color="000000"/>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52"/>
              <w:jc w:val="right"/>
              <w:rPr>
                <w:rFonts w:ascii="Arial" w:hAnsi="Arial" w:cs="Arial" w:eastAsia="Arial" w:hint="default"/>
                <w:sz w:val="21"/>
                <w:szCs w:val="21"/>
              </w:rPr>
            </w:pPr>
            <w:r>
              <w:rPr>
                <w:rFonts w:ascii="Arial"/>
                <w:w w:val="100"/>
                <w:sz w:val="21"/>
              </w:rPr>
              <w:t>-</w:t>
            </w:r>
          </w:p>
        </w:tc>
        <w:tc>
          <w:tcPr>
            <w:tcW w:w="135" w:type="dxa"/>
            <w:tcBorders>
              <w:top w:val="single" w:sz="4" w:space="0" w:color="000000"/>
              <w:left w:val="nil" w:sz="6" w:space="0" w:color="auto"/>
              <w:bottom w:val="single" w:sz="4" w:space="0" w:color="000000"/>
              <w:right w:val="nil" w:sz="6" w:space="0" w:color="auto"/>
            </w:tcBorders>
          </w:tcPr>
          <w:p>
            <w:pP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38"/>
              <w:jc w:val="right"/>
              <w:rPr>
                <w:rFonts w:ascii="Arial" w:hAnsi="Arial" w:cs="Arial" w:eastAsia="Arial" w:hint="default"/>
                <w:sz w:val="21"/>
                <w:szCs w:val="21"/>
              </w:rPr>
            </w:pPr>
            <w:r>
              <w:rPr>
                <w:rFonts w:ascii="Arial"/>
                <w:spacing w:val="-1"/>
                <w:sz w:val="21"/>
              </w:rPr>
              <w:t>(18,187)</w:t>
            </w:r>
          </w:p>
        </w:tc>
        <w:tc>
          <w:tcPr>
            <w:tcW w:w="134" w:type="dxa"/>
            <w:tcBorders>
              <w:top w:val="single" w:sz="4" w:space="0" w:color="000000"/>
              <w:left w:val="nil" w:sz="6" w:space="0" w:color="auto"/>
              <w:bottom w:val="single" w:sz="4" w:space="0" w:color="000000"/>
              <w:right w:val="nil" w:sz="6" w:space="0" w:color="auto"/>
            </w:tcBorders>
          </w:tcPr>
          <w:p>
            <w:pPr/>
          </w:p>
        </w:tc>
        <w:tc>
          <w:tcPr>
            <w:tcW w:w="1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right="74"/>
              <w:jc w:val="right"/>
              <w:rPr>
                <w:rFonts w:ascii="Arial" w:hAnsi="Arial" w:cs="Arial" w:eastAsia="Arial" w:hint="default"/>
                <w:sz w:val="21"/>
                <w:szCs w:val="21"/>
              </w:rPr>
            </w:pPr>
            <w:r>
              <w:rPr>
                <w:rFonts w:ascii="Arial"/>
                <w:w w:val="100"/>
                <w:sz w:val="21"/>
              </w:rPr>
              <w:t>-</w:t>
            </w:r>
          </w:p>
        </w:tc>
      </w:tr>
      <w:tr>
        <w:trPr>
          <w:trHeight w:val="252" w:hRule="exact"/>
        </w:trPr>
        <w:tc>
          <w:tcPr>
            <w:tcW w:w="2827"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
        </w:tc>
        <w:tc>
          <w:tcPr>
            <w:tcW w:w="135"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single" w:sz="4" w:space="0" w:color="000000"/>
              <w:right w:val="nil" w:sz="6" w:space="0" w:color="auto"/>
            </w:tcBorders>
          </w:tcPr>
          <w:p>
            <w:pPr/>
          </w:p>
        </w:tc>
      </w:tr>
      <w:tr>
        <w:trPr>
          <w:trHeight w:val="252" w:hRule="exact"/>
        </w:trPr>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55"/>
              <w:jc w:val="right"/>
              <w:rPr>
                <w:rFonts w:ascii="Arial" w:hAnsi="Arial" w:cs="Arial" w:eastAsia="Arial" w:hint="default"/>
                <w:sz w:val="21"/>
                <w:szCs w:val="21"/>
              </w:rPr>
            </w:pPr>
            <w:r>
              <w:rPr>
                <w:rFonts w:ascii="Arial"/>
                <w:spacing w:val="-1"/>
                <w:sz w:val="21"/>
              </w:rPr>
              <w:t>1,521,571</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29"/>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65"/>
              <w:jc w:val="right"/>
              <w:rPr>
                <w:rFonts w:ascii="Arial" w:hAnsi="Arial" w:cs="Arial" w:eastAsia="Arial" w:hint="default"/>
                <w:sz w:val="21"/>
                <w:szCs w:val="21"/>
              </w:rPr>
            </w:pPr>
            <w:r>
              <w:rPr>
                <w:rFonts w:ascii="Arial"/>
                <w:spacing w:val="-1"/>
                <w:sz w:val="21"/>
              </w:rPr>
              <w:t>760,786</w:t>
            </w: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52"/>
              <w:jc w:val="right"/>
              <w:rPr>
                <w:rFonts w:ascii="Arial" w:hAnsi="Arial" w:cs="Arial" w:eastAsia="Arial" w:hint="default"/>
                <w:sz w:val="21"/>
                <w:szCs w:val="21"/>
              </w:rPr>
            </w:pPr>
            <w:r>
              <w:rPr>
                <w:rFonts w:ascii="Arial"/>
                <w:spacing w:val="-1"/>
                <w:sz w:val="21"/>
              </w:rPr>
              <w:t>(728,234)</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52"/>
              <w:jc w:val="right"/>
              <w:rPr>
                <w:rFonts w:ascii="Arial" w:hAnsi="Arial" w:cs="Arial" w:eastAsia="Arial" w:hint="default"/>
                <w:sz w:val="21"/>
                <w:szCs w:val="21"/>
              </w:rPr>
            </w:pPr>
            <w:r>
              <w:rPr>
                <w:rFonts w:ascii="Arial"/>
                <w:w w:val="100"/>
                <w:sz w:val="21"/>
              </w:rPr>
              <w:t>-</w:t>
            </w: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108"/>
              <w:jc w:val="right"/>
              <w:rPr>
                <w:rFonts w:ascii="Arial" w:hAnsi="Arial" w:cs="Arial" w:eastAsia="Arial" w:hint="default"/>
                <w:sz w:val="21"/>
                <w:szCs w:val="21"/>
              </w:rPr>
            </w:pPr>
            <w:r>
              <w:rPr>
                <w:rFonts w:ascii="Arial"/>
                <w:spacing w:val="-1"/>
                <w:sz w:val="21"/>
              </w:rPr>
              <w:t>32,552</w:t>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single" w:sz="4" w:space="0" w:color="000000"/>
              <w:right w:val="nil" w:sz="6" w:space="0" w:color="auto"/>
            </w:tcBorders>
          </w:tcPr>
          <w:p>
            <w:pPr>
              <w:pStyle w:val="TableParagraph"/>
              <w:spacing w:line="237" w:lineRule="exact"/>
              <w:ind w:right="77"/>
              <w:jc w:val="right"/>
              <w:rPr>
                <w:rFonts w:ascii="Arial" w:hAnsi="Arial" w:cs="Arial" w:eastAsia="Arial" w:hint="default"/>
                <w:sz w:val="21"/>
                <w:szCs w:val="21"/>
              </w:rPr>
            </w:pPr>
            <w:r>
              <w:rPr>
                <w:rFonts w:ascii="Arial"/>
                <w:spacing w:val="-1"/>
                <w:sz w:val="21"/>
              </w:rPr>
              <w:t>1,554,123</w:t>
            </w:r>
          </w:p>
        </w:tc>
      </w:tr>
      <w:tr>
        <w:trPr>
          <w:trHeight w:val="523"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0" w:right="0"/>
              <w:jc w:val="left"/>
              <w:rPr>
                <w:rFonts w:ascii="Arial" w:hAnsi="Arial" w:cs="Arial" w:eastAsia="Arial" w:hint="default"/>
                <w:sz w:val="21"/>
                <w:szCs w:val="21"/>
              </w:rPr>
            </w:pPr>
            <w:r>
              <w:rPr>
                <w:rFonts w:ascii="宋体" w:hAnsi="宋体" w:cs="宋体" w:eastAsia="宋体" w:hint="default"/>
                <w:sz w:val="21"/>
                <w:szCs w:val="21"/>
              </w:rPr>
              <w:t>无限售条件股份</w:t>
            </w:r>
            <w:r>
              <w:rPr>
                <w:rFonts w:ascii="宋体" w:hAnsi="宋体" w:cs="宋体" w:eastAsia="宋体" w:hint="default"/>
                <w:spacing w:val="-1"/>
                <w:sz w:val="21"/>
                <w:szCs w:val="21"/>
              </w:rPr>
              <w:t> </w:t>
            </w:r>
            <w:r>
              <w:rPr>
                <w:rFonts w:ascii="Arial" w:hAnsi="Arial" w:cs="Arial" w:eastAsia="Arial" w:hint="default"/>
                <w:sz w:val="21"/>
                <w:szCs w:val="21"/>
              </w:rPr>
              <w:t>-</w:t>
            </w:r>
          </w:p>
        </w:tc>
        <w:tc>
          <w:tcPr>
            <w:tcW w:w="1985"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nil" w:sz="6" w:space="0" w:color="auto"/>
            </w:tcBorders>
          </w:tcPr>
          <w:p>
            <w:pPr/>
          </w:p>
        </w:tc>
      </w:tr>
      <w:tr>
        <w:trPr>
          <w:trHeight w:val="279"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36" w:lineRule="exact"/>
              <w:ind w:left="25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985" w:type="dxa"/>
            <w:tcBorders>
              <w:top w:val="nil" w:sz="6" w:space="0" w:color="auto"/>
              <w:left w:val="nil" w:sz="6" w:space="0" w:color="auto"/>
              <w:bottom w:val="nil" w:sz="6" w:space="0" w:color="auto"/>
              <w:right w:val="nil" w:sz="6" w:space="0" w:color="auto"/>
            </w:tcBorders>
          </w:tcPr>
          <w:p>
            <w:pPr>
              <w:pStyle w:val="TableParagraph"/>
              <w:tabs>
                <w:tab w:pos="991" w:val="left" w:leader="none"/>
                <w:tab w:pos="1985" w:val="left" w:leader="none"/>
              </w:tabs>
              <w:spacing w:line="240" w:lineRule="auto" w:before="2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3,142,570</w:t>
              <w:tab/>
            </w:r>
            <w:r>
              <w:rPr>
                <w:rFonts w:ascii="Arial"/>
                <w:spacing w:val="-1"/>
                <w:sz w:val="21"/>
              </w:rPr>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933" w:val="left" w:leader="none"/>
                <w:tab w:pos="1135" w:val="left" w:leader="none"/>
              </w:tabs>
              <w:spacing w:line="240" w:lineRule="auto" w:before="2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tabs>
                <w:tab w:pos="1210" w:val="left" w:leader="none"/>
              </w:tabs>
              <w:spacing w:line="240" w:lineRule="auto" w:before="2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8"/>
                <w:sz w:val="21"/>
                <w:u w:val="single" w:color="000000"/>
              </w:rPr>
              <w:t> </w:t>
            </w:r>
            <w:r>
              <w:rPr>
                <w:rFonts w:ascii="Arial"/>
                <w:spacing w:val="-1"/>
                <w:sz w:val="21"/>
                <w:u w:val="single" w:color="000000"/>
              </w:rPr>
              <w:t>1,571,285</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tabs>
                <w:tab w:pos="477" w:val="left" w:leader="none"/>
                <w:tab w:pos="1348" w:val="left" w:leader="none"/>
              </w:tabs>
              <w:spacing w:line="240" w:lineRule="auto" w:before="21"/>
              <w:ind w:left="7"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728,234</w:t>
              <w:tab/>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tabs>
                <w:tab w:pos="1085" w:val="left" w:leader="none"/>
              </w:tabs>
              <w:spacing w:line="240" w:lineRule="auto" w:before="21"/>
              <w:ind w:right="5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40" w:lineRule="auto" w:before="2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8"/>
                <w:sz w:val="21"/>
                <w:u w:val="single" w:color="000000"/>
              </w:rPr>
              <w:t> </w:t>
            </w:r>
            <w:r>
              <w:rPr>
                <w:rFonts w:ascii="Arial"/>
                <w:spacing w:val="-1"/>
                <w:sz w:val="21"/>
                <w:u w:val="single" w:color="000000"/>
              </w:rPr>
              <w:t>2,299,519</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tabs>
                <w:tab w:pos="969" w:val="left" w:leader="none"/>
                <w:tab w:pos="1985" w:val="left" w:leader="none"/>
              </w:tabs>
              <w:spacing w:line="240" w:lineRule="auto" w:before="21"/>
              <w:ind w:right="-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5,442,089</w:t>
              <w:tab/>
            </w:r>
            <w:r>
              <w:rPr>
                <w:rFonts w:ascii="Arial"/>
                <w:spacing w:val="-1"/>
                <w:sz w:val="21"/>
              </w:rPr>
            </w:r>
          </w:p>
        </w:tc>
      </w:tr>
      <w:tr>
        <w:trPr>
          <w:trHeight w:val="252" w:hRule="exact"/>
        </w:trPr>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tabs>
                <w:tab w:pos="991" w:val="left" w:leader="none"/>
                <w:tab w:pos="1985"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3,142,570</w:t>
              <w:tab/>
            </w:r>
            <w:r>
              <w:rPr>
                <w:rFonts w:ascii="Arial"/>
                <w:spacing w:val="-1"/>
                <w:sz w:val="21"/>
              </w:rPr>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tabs>
                <w:tab w:pos="933" w:val="left" w:leader="none"/>
                <w:tab w:pos="1135"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tabs>
                <w:tab w:pos="1210"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8"/>
                <w:sz w:val="21"/>
                <w:u w:val="single" w:color="000000"/>
              </w:rPr>
              <w:t> </w:t>
            </w:r>
            <w:r>
              <w:rPr>
                <w:rFonts w:ascii="Arial"/>
                <w:spacing w:val="-1"/>
                <w:sz w:val="21"/>
                <w:u w:val="single" w:color="000000"/>
              </w:rPr>
              <w:t>1,571,285</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tabs>
                <w:tab w:pos="477" w:val="left" w:leader="none"/>
                <w:tab w:pos="1348" w:val="left" w:leader="none"/>
              </w:tabs>
              <w:spacing w:line="236" w:lineRule="exact"/>
              <w:ind w:left="7"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728,234</w:t>
              <w:tab/>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tabs>
                <w:tab w:pos="1085" w:val="left" w:leader="none"/>
              </w:tabs>
              <w:spacing w:line="236" w:lineRule="exact"/>
              <w:ind w:right="5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r>
            <w:r>
              <w:rPr>
                <w:rFonts w:ascii="Arial"/>
                <w:sz w:val="21"/>
              </w:rPr>
            </w: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36" w:lineRule="exact"/>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28"/>
                <w:sz w:val="21"/>
                <w:u w:val="single" w:color="000000"/>
              </w:rPr>
              <w:t> </w:t>
            </w:r>
            <w:r>
              <w:rPr>
                <w:rFonts w:ascii="Arial"/>
                <w:spacing w:val="-1"/>
                <w:sz w:val="21"/>
                <w:u w:val="single" w:color="000000"/>
              </w:rPr>
              <w:t>2,299,519</w:t>
              <w:tab/>
            </w:r>
            <w:r>
              <w:rPr>
                <w:rFonts w:ascii="Arial"/>
                <w:spacing w:val="-1"/>
                <w:sz w:val="21"/>
              </w:rPr>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tabs>
                <w:tab w:pos="969" w:val="left" w:leader="none"/>
                <w:tab w:pos="1985" w:val="left" w:leader="none"/>
              </w:tabs>
              <w:spacing w:line="236" w:lineRule="exact"/>
              <w:ind w:right="-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5,442,089</w:t>
              <w:tab/>
            </w:r>
            <w:r>
              <w:rPr>
                <w:rFonts w:ascii="Arial"/>
                <w:spacing w:val="-1"/>
                <w:sz w:val="21"/>
              </w:rPr>
            </w:r>
          </w:p>
        </w:tc>
      </w:tr>
      <w:tr>
        <w:trPr>
          <w:trHeight w:val="256" w:hRule="exact"/>
        </w:trPr>
        <w:tc>
          <w:tcPr>
            <w:tcW w:w="282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Style w:val="TableParagraph"/>
              <w:spacing w:line="236" w:lineRule="exact"/>
              <w:ind w:right="55"/>
              <w:jc w:val="right"/>
              <w:rPr>
                <w:rFonts w:ascii="Arial" w:hAnsi="Arial" w:cs="Arial" w:eastAsia="Arial" w:hint="default"/>
                <w:sz w:val="21"/>
                <w:szCs w:val="21"/>
              </w:rPr>
            </w:pPr>
            <w:r>
              <w:rPr>
                <w:rFonts w:ascii="Arial"/>
                <w:spacing w:val="-1"/>
                <w:sz w:val="21"/>
              </w:rPr>
              <w:t>4,664,141</w:t>
            </w:r>
          </w:p>
        </w:tc>
        <w:tc>
          <w:tcPr>
            <w:tcW w:w="142"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36" w:lineRule="exact"/>
              <w:ind w:right="129"/>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Style w:val="TableParagraph"/>
              <w:spacing w:line="236" w:lineRule="exact"/>
              <w:ind w:right="65"/>
              <w:jc w:val="right"/>
              <w:rPr>
                <w:rFonts w:ascii="Arial" w:hAnsi="Arial" w:cs="Arial" w:eastAsia="Arial" w:hint="default"/>
                <w:sz w:val="21"/>
                <w:szCs w:val="21"/>
              </w:rPr>
            </w:pPr>
            <w:r>
              <w:rPr>
                <w:rFonts w:ascii="Arial"/>
                <w:spacing w:val="-1"/>
                <w:sz w:val="21"/>
              </w:rPr>
              <w:t>2,332,071</w:t>
            </w:r>
          </w:p>
        </w:tc>
        <w:tc>
          <w:tcPr>
            <w:tcW w:w="134"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12" w:space="0" w:color="000000"/>
              <w:right w:val="nil" w:sz="6" w:space="0" w:color="auto"/>
            </w:tcBorders>
          </w:tcPr>
          <w:p>
            <w:pPr>
              <w:pStyle w:val="TableParagraph"/>
              <w:spacing w:line="236" w:lineRule="exact"/>
              <w:ind w:right="110"/>
              <w:jc w:val="right"/>
              <w:rPr>
                <w:rFonts w:ascii="Arial" w:hAnsi="Arial" w:cs="Arial" w:eastAsia="Arial" w:hint="default"/>
                <w:sz w:val="21"/>
                <w:szCs w:val="21"/>
              </w:rPr>
            </w:pPr>
            <w:r>
              <w:rPr>
                <w:rFonts w:ascii="Arial"/>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Style w:val="TableParagraph"/>
              <w:spacing w:line="236" w:lineRule="exact"/>
              <w:ind w:right="52"/>
              <w:jc w:val="right"/>
              <w:rPr>
                <w:rFonts w:ascii="Arial" w:hAnsi="Arial" w:cs="Arial" w:eastAsia="Arial" w:hint="default"/>
                <w:sz w:val="21"/>
                <w:szCs w:val="21"/>
              </w:rPr>
            </w:pPr>
            <w:r>
              <w:rPr>
                <w:rFonts w:ascii="Arial"/>
                <w:w w:val="100"/>
                <w:sz w:val="21"/>
              </w:rPr>
              <w:t>-</w:t>
            </w:r>
          </w:p>
        </w:tc>
        <w:tc>
          <w:tcPr>
            <w:tcW w:w="1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12" w:space="0" w:color="000000"/>
              <w:right w:val="nil" w:sz="6" w:space="0" w:color="auto"/>
            </w:tcBorders>
          </w:tcPr>
          <w:p>
            <w:pPr>
              <w:pStyle w:val="TableParagraph"/>
              <w:spacing w:line="236" w:lineRule="exact"/>
              <w:ind w:left="211" w:right="0"/>
              <w:jc w:val="left"/>
              <w:rPr>
                <w:rFonts w:ascii="Arial" w:hAnsi="Arial" w:cs="Arial" w:eastAsia="Arial" w:hint="default"/>
                <w:sz w:val="21"/>
                <w:szCs w:val="21"/>
              </w:rPr>
            </w:pPr>
            <w:r>
              <w:rPr>
                <w:rFonts w:ascii="Arial"/>
                <w:sz w:val="21"/>
              </w:rPr>
              <w:t>2,332,071</w:t>
            </w:r>
          </w:p>
        </w:tc>
        <w:tc>
          <w:tcPr>
            <w:tcW w:w="134"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12" w:space="0" w:color="000000"/>
              <w:right w:val="nil" w:sz="6" w:space="0" w:color="auto"/>
            </w:tcBorders>
          </w:tcPr>
          <w:p>
            <w:pPr>
              <w:pStyle w:val="TableParagraph"/>
              <w:spacing w:line="236" w:lineRule="exact"/>
              <w:ind w:right="77"/>
              <w:jc w:val="right"/>
              <w:rPr>
                <w:rFonts w:ascii="Arial" w:hAnsi="Arial" w:cs="Arial" w:eastAsia="Arial" w:hint="default"/>
                <w:sz w:val="21"/>
                <w:szCs w:val="21"/>
              </w:rPr>
            </w:pPr>
            <w:r>
              <w:rPr>
                <w:rFonts w:ascii="Arial"/>
                <w:spacing w:val="-1"/>
                <w:sz w:val="21"/>
              </w:rPr>
              <w:t>6,996,212</w:t>
            </w:r>
          </w:p>
        </w:tc>
      </w:tr>
    </w:tbl>
    <w:p>
      <w:pPr>
        <w:spacing w:after="0" w:line="236" w:lineRule="exact"/>
        <w:jc w:val="right"/>
        <w:rPr>
          <w:rFonts w:ascii="Arial" w:hAnsi="Arial" w:cs="Arial" w:eastAsia="Arial" w:hint="default"/>
          <w:sz w:val="21"/>
          <w:szCs w:val="21"/>
        </w:rPr>
        <w:sectPr>
          <w:pgSz w:w="16850" w:h="11910" w:orient="landscape"/>
          <w:pgMar w:header="754" w:footer="954" w:top="2240" w:bottom="1140" w:left="780" w:right="0"/>
        </w:sectPr>
      </w:pPr>
    </w:p>
    <w:p>
      <w:pPr>
        <w:spacing w:line="240" w:lineRule="auto" w:before="11"/>
        <w:rPr>
          <w:rFonts w:ascii="Times New Roman" w:hAnsi="Times New Roman" w:cs="Times New Roman" w:eastAsia="Times New Roman" w:hint="default"/>
          <w:sz w:val="3"/>
          <w:szCs w:val="3"/>
        </w:rPr>
      </w:pPr>
    </w:p>
    <w:p>
      <w:pPr>
        <w:spacing w:line="20" w:lineRule="exact"/>
        <w:ind w:left="8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3pt;height:.75pt;mso-position-horizontal-relative:char;mso-position-vertical-relative:line" coordorigin="0,0" coordsize="8860,15">
            <v:group style="position:absolute;left:7;top:7;width:8846;height:2" coordorigin="7,7" coordsize="8846,2">
              <v:shape style="position:absolute;left:7;top:7;width:8846;height:2" coordorigin="7,7" coordsize="8846,0" path="m7,7l8853,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71"/>
        <w:gridCol w:w="2695"/>
        <w:gridCol w:w="1690"/>
        <w:gridCol w:w="1662"/>
        <w:gridCol w:w="1702"/>
        <w:gridCol w:w="1708"/>
      </w:tblGrid>
      <w:tr>
        <w:trPr>
          <w:trHeight w:val="41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38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2"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6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447"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(32)</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2" w:right="0"/>
              <w:jc w:val="left"/>
              <w:rPr>
                <w:rFonts w:ascii="宋体" w:hAnsi="宋体" w:cs="宋体" w:eastAsia="宋体" w:hint="default"/>
                <w:sz w:val="24"/>
                <w:szCs w:val="24"/>
              </w:rPr>
            </w:pPr>
            <w:r>
              <w:rPr>
                <w:rFonts w:ascii="宋体" w:hAnsi="宋体" w:cs="宋体" w:eastAsia="宋体" w:hint="default"/>
                <w:b/>
                <w:bCs/>
                <w:sz w:val="24"/>
                <w:szCs w:val="24"/>
              </w:rPr>
              <w:t>资本公积</w:t>
            </w:r>
            <w:r>
              <w:rPr>
                <w:rFonts w:ascii="宋体" w:hAnsi="宋体" w:cs="宋体" w:eastAsia="宋体" w:hint="default"/>
                <w:sz w:val="24"/>
                <w:szCs w:val="24"/>
              </w:rPr>
            </w:r>
          </w:p>
        </w:tc>
        <w:tc>
          <w:tcPr>
            <w:tcW w:w="169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68"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84" w:lineRule="exact"/>
              <w:ind w:left="515"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15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39"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1708" w:type="dxa"/>
            <w:tcBorders>
              <w:top w:val="nil" w:sz="6" w:space="0" w:color="auto"/>
              <w:left w:val="nil" w:sz="6" w:space="0" w:color="auto"/>
              <w:bottom w:val="nil" w:sz="6" w:space="0" w:color="auto"/>
              <w:right w:val="nil" w:sz="6" w:space="0" w:color="auto"/>
            </w:tcBorders>
          </w:tcPr>
          <w:p>
            <w:pPr>
              <w:pStyle w:val="TableParagraph"/>
              <w:spacing w:line="284" w:lineRule="exact"/>
              <w:ind w:left="68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31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2" w:right="0"/>
              <w:jc w:val="left"/>
              <w:rPr>
                <w:rFonts w:ascii="Arial" w:hAnsi="Arial" w:cs="Arial" w:eastAsia="Arial" w:hint="default"/>
                <w:sz w:val="24"/>
                <w:szCs w:val="24"/>
              </w:rPr>
            </w:pPr>
            <w:r>
              <w:rPr>
                <w:rFonts w:ascii="宋体" w:hAnsi="宋体" w:cs="宋体" w:eastAsia="宋体" w:hint="default"/>
                <w:sz w:val="24"/>
                <w:szCs w:val="24"/>
              </w:rPr>
              <w:t>股本溢价</w:t>
            </w:r>
            <w:r>
              <w:rPr>
                <w:rFonts w:ascii="Arial" w:hAnsi="Arial" w:cs="Arial" w:eastAsia="Arial" w:hint="default"/>
                <w:sz w:val="24"/>
                <w:szCs w:val="24"/>
              </w:rPr>
              <w:t>(a)</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481" w:right="0"/>
              <w:jc w:val="left"/>
              <w:rPr>
                <w:rFonts w:ascii="Arial" w:hAnsi="Arial" w:cs="Arial" w:eastAsia="Arial" w:hint="default"/>
                <w:sz w:val="24"/>
                <w:szCs w:val="24"/>
              </w:rPr>
            </w:pPr>
            <w:r>
              <w:rPr>
                <w:rFonts w:ascii="Arial"/>
                <w:sz w:val="24"/>
              </w:rPr>
              <w:t>638,140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59"/>
              <w:jc w:val="right"/>
              <w:rPr>
                <w:rFonts w:ascii="Arial" w:hAnsi="Arial" w:cs="Arial" w:eastAsia="Arial" w:hint="default"/>
                <w:sz w:val="24"/>
                <w:szCs w:val="24"/>
              </w:rPr>
            </w:pPr>
            <w:r>
              <w:rPr>
                <w:rFonts w:ascii="Arial"/>
                <w:w w:val="99"/>
                <w:sz w:val="24"/>
              </w:rPr>
              <w:t>-</w:t>
            </w:r>
            <w:r>
              <w:rPr>
                <w:rFonts w:ascii="Arial"/>
                <w:sz w:val="24"/>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10"/>
              <w:jc w:val="right"/>
              <w:rPr>
                <w:rFonts w:ascii="Arial" w:hAnsi="Arial" w:cs="Arial" w:eastAsia="Arial" w:hint="default"/>
                <w:sz w:val="24"/>
                <w:szCs w:val="24"/>
              </w:rPr>
            </w:pPr>
            <w:r>
              <w:rPr>
                <w:rFonts w:ascii="Arial"/>
                <w:spacing w:val="-1"/>
                <w:sz w:val="24"/>
              </w:rPr>
              <w:t>(308,266)</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38" w:right="0"/>
              <w:jc w:val="left"/>
              <w:rPr>
                <w:rFonts w:ascii="Arial" w:hAnsi="Arial" w:cs="Arial" w:eastAsia="Arial" w:hint="default"/>
                <w:sz w:val="24"/>
                <w:szCs w:val="24"/>
              </w:rPr>
            </w:pPr>
            <w:r>
              <w:rPr>
                <w:rFonts w:ascii="Arial"/>
                <w:sz w:val="24"/>
              </w:rPr>
              <w:t>329,874</w:t>
            </w:r>
          </w:p>
        </w:tc>
      </w:tr>
      <w:tr>
        <w:trPr>
          <w:trHeight w:val="297"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61" w:lineRule="exact"/>
              <w:ind w:left="142"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69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639"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84" w:lineRule="exact"/>
              <w:ind w:left="262"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41"/>
                <w:sz w:val="24"/>
                <w:szCs w:val="24"/>
              </w:rPr>
              <w:t> </w:t>
            </w:r>
            <w:r>
              <w:rPr>
                <w:rFonts w:ascii="宋体" w:hAnsi="宋体" w:cs="宋体" w:eastAsia="宋体" w:hint="default"/>
                <w:spacing w:val="20"/>
                <w:sz w:val="24"/>
                <w:szCs w:val="24"/>
              </w:rPr>
              <w:t>可供出售金融资</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04" w:lineRule="exact"/>
              <w:ind w:left="142" w:right="0"/>
              <w:jc w:val="left"/>
              <w:rPr>
                <w:rFonts w:ascii="宋体" w:hAnsi="宋体" w:cs="宋体" w:eastAsia="宋体" w:hint="default"/>
                <w:sz w:val="24"/>
                <w:szCs w:val="24"/>
              </w:rPr>
            </w:pPr>
            <w:r>
              <w:rPr>
                <w:rFonts w:ascii="宋体" w:hAnsi="宋体" w:cs="宋体" w:eastAsia="宋体" w:hint="default"/>
                <w:sz w:val="24"/>
                <w:szCs w:val="24"/>
              </w:rPr>
              <w:t>产公允价值变动</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right="339"/>
              <w:jc w:val="right"/>
              <w:rPr>
                <w:rFonts w:ascii="Arial" w:hAnsi="Arial" w:cs="Arial" w:eastAsia="Arial" w:hint="default"/>
                <w:sz w:val="24"/>
                <w:szCs w:val="24"/>
              </w:rPr>
            </w:pPr>
            <w:r>
              <w:rPr>
                <w:rFonts w:ascii="Arial"/>
                <w:w w:val="99"/>
                <w:sz w:val="24"/>
              </w:rPr>
              <w:t>-</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right="359"/>
              <w:jc w:val="right"/>
              <w:rPr>
                <w:rFonts w:ascii="Arial" w:hAnsi="Arial" w:cs="Arial" w:eastAsia="Arial" w:hint="default"/>
                <w:sz w:val="24"/>
                <w:szCs w:val="24"/>
              </w:rPr>
            </w:pPr>
            <w:r>
              <w:rPr>
                <w:rFonts w:ascii="Arial"/>
                <w:w w:val="95"/>
                <w:sz w:val="24"/>
              </w:rPr>
              <w:t>387</w:t>
            </w:r>
            <w:r>
              <w:rPr>
                <w:rFonts w:ascii="Arial"/>
                <w:sz w:val="24"/>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right="388"/>
              <w:jc w:val="right"/>
              <w:rPr>
                <w:rFonts w:ascii="Arial" w:hAnsi="Arial" w:cs="Arial" w:eastAsia="Arial" w:hint="default"/>
                <w:sz w:val="24"/>
                <w:szCs w:val="24"/>
              </w:rPr>
            </w:pPr>
            <w:r>
              <w:rPr>
                <w:rFonts w:ascii="Arial"/>
                <w:w w:val="99"/>
                <w:sz w:val="24"/>
              </w:rPr>
              <w:t>-</w:t>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left="1104" w:right="0"/>
              <w:jc w:val="left"/>
              <w:rPr>
                <w:rFonts w:ascii="Arial" w:hAnsi="Arial" w:cs="Arial" w:eastAsia="Arial" w:hint="default"/>
                <w:sz w:val="24"/>
                <w:szCs w:val="24"/>
              </w:rPr>
            </w:pPr>
            <w:r>
              <w:rPr>
                <w:rFonts w:ascii="Arial"/>
                <w:sz w:val="24"/>
              </w:rPr>
              <w:t>387</w:t>
            </w:r>
          </w:p>
        </w:tc>
      </w:tr>
      <w:tr>
        <w:trPr>
          <w:trHeight w:val="314"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tabs>
                <w:tab w:pos="2458" w:val="left" w:leader="none"/>
                <w:tab w:pos="3308" w:val="left" w:leader="none"/>
              </w:tabs>
              <w:spacing w:line="277" w:lineRule="exact"/>
              <w:ind w:left="142" w:right="-614"/>
              <w:jc w:val="left"/>
              <w:rPr>
                <w:rFonts w:ascii="Arial" w:hAnsi="Arial" w:cs="Arial" w:eastAsia="Arial" w:hint="default"/>
                <w:sz w:val="24"/>
                <w:szCs w:val="24"/>
              </w:rPr>
            </w:pPr>
            <w:r>
              <w:rPr>
                <w:rFonts w:ascii="宋体" w:hAnsi="宋体" w:cs="宋体" w:eastAsia="宋体" w:hint="default"/>
                <w:position w:val="2"/>
                <w:sz w:val="24"/>
                <w:szCs w:val="24"/>
              </w:rPr>
              <w:t>其他</w:t>
            </w:r>
            <w:r>
              <w:rPr>
                <w:rFonts w:ascii="宋体" w:hAnsi="宋体" w:cs="宋体" w:eastAsia="宋体" w:hint="default"/>
                <w:spacing w:val="-2"/>
                <w:position w:val="2"/>
                <w:sz w:val="24"/>
                <w:szCs w:val="24"/>
              </w:rPr>
              <w:t> </w:t>
            </w:r>
            <w:r>
              <w:rPr>
                <w:rFonts w:ascii="Arial" w:hAnsi="Arial" w:cs="Arial" w:eastAsia="Arial" w:hint="default"/>
                <w:position w:val="2"/>
                <w:sz w:val="24"/>
                <w:szCs w:val="24"/>
              </w:rPr>
              <w:t>(b)</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90"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21"/>
              <w:ind w:right="229"/>
              <w:jc w:val="right"/>
              <w:rPr>
                <w:rFonts w:ascii="Arial" w:hAnsi="Arial" w:cs="Arial" w:eastAsia="Arial" w:hint="default"/>
                <w:sz w:val="24"/>
                <w:szCs w:val="24"/>
              </w:rPr>
            </w:pPr>
            <w:r>
              <w:rPr>
                <w:rFonts w:ascii="Arial"/>
                <w:w w:val="99"/>
                <w:sz w:val="24"/>
              </w:rPr>
            </w:r>
            <w:r>
              <w:rPr>
                <w:rFonts w:ascii="Arial"/>
                <w:spacing w:val="-1"/>
                <w:sz w:val="24"/>
                <w:u w:val="single" w:color="000000"/>
              </w:rPr>
              <w:t>17,148</w:t>
              <w:tab/>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350" w:val="left" w:leader="none"/>
                <w:tab w:pos="1325" w:val="left" w:leader="none"/>
              </w:tabs>
              <w:spacing w:line="240" w:lineRule="auto" w:before="21"/>
              <w:ind w:right="25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169,665</w:t>
              <w:tab/>
            </w:r>
            <w:r>
              <w:rPr>
                <w:rFonts w:ascii="Arial"/>
                <w:spacing w:val="-1"/>
                <w:sz w:val="24"/>
              </w:rPr>
            </w:r>
          </w:p>
        </w:tc>
        <w:tc>
          <w:tcPr>
            <w:tcW w:w="1702" w:type="dxa"/>
            <w:tcBorders>
              <w:top w:val="nil" w:sz="6" w:space="0" w:color="auto"/>
              <w:left w:val="nil" w:sz="6" w:space="0" w:color="auto"/>
              <w:bottom w:val="nil" w:sz="6" w:space="0" w:color="auto"/>
              <w:right w:val="nil" w:sz="6" w:space="0" w:color="auto"/>
            </w:tcBorders>
          </w:tcPr>
          <w:p>
            <w:pPr>
              <w:pStyle w:val="TableParagraph"/>
              <w:tabs>
                <w:tab w:pos="1193" w:val="left" w:leader="none"/>
                <w:tab w:pos="1361" w:val="left" w:leader="none"/>
              </w:tabs>
              <w:spacing w:line="240" w:lineRule="auto" w:before="21"/>
              <w:ind w:right="30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1708" w:type="dxa"/>
            <w:tcBorders>
              <w:top w:val="nil" w:sz="6" w:space="0" w:color="auto"/>
              <w:left w:val="nil" w:sz="6" w:space="0" w:color="auto"/>
              <w:bottom w:val="nil" w:sz="6" w:space="0" w:color="auto"/>
              <w:right w:val="nil" w:sz="6" w:space="0" w:color="auto"/>
            </w:tcBorders>
          </w:tcPr>
          <w:p>
            <w:pPr>
              <w:pStyle w:val="TableParagraph"/>
              <w:tabs>
                <w:tab w:pos="638" w:val="left" w:leader="none"/>
                <w:tab w:pos="1613" w:val="left" w:leader="none"/>
              </w:tabs>
              <w:spacing w:line="240" w:lineRule="auto" w:before="21"/>
              <w:ind w:left="1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186,813</w:t>
              <w:tab/>
            </w:r>
            <w:r>
              <w:rPr>
                <w:rFonts w:ascii="Arial"/>
                <w:sz w:val="24"/>
              </w:rPr>
            </w:r>
          </w:p>
        </w:tc>
      </w:tr>
      <w:tr>
        <w:trPr>
          <w:trHeight w:val="263" w:hRule="exact"/>
        </w:trPr>
        <w:tc>
          <w:tcPr>
            <w:tcW w:w="77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tabs>
                <w:tab w:pos="481" w:val="left" w:leader="none"/>
                <w:tab w:pos="1458" w:val="left" w:leader="none"/>
              </w:tabs>
              <w:spacing w:line="268" w:lineRule="exact"/>
              <w:ind w:left="-251" w:right="22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655,288</w:t>
              <w:tab/>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365" w:val="left" w:leader="none"/>
                <w:tab w:pos="1339" w:val="left" w:leader="none"/>
              </w:tabs>
              <w:spacing w:line="268" w:lineRule="exact"/>
              <w:ind w:right="25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170,052</w:t>
              <w:tab/>
            </w:r>
            <w:r>
              <w:rPr>
                <w:rFonts w:ascii="Arial"/>
                <w:spacing w:val="-1"/>
                <w:sz w:val="24"/>
              </w:rPr>
            </w:r>
          </w:p>
        </w:tc>
        <w:tc>
          <w:tcPr>
            <w:tcW w:w="1702" w:type="dxa"/>
            <w:tcBorders>
              <w:top w:val="nil" w:sz="6" w:space="0" w:color="auto"/>
              <w:left w:val="nil" w:sz="6" w:space="0" w:color="auto"/>
              <w:bottom w:val="nil" w:sz="6" w:space="0" w:color="auto"/>
              <w:right w:val="nil" w:sz="6" w:space="0" w:color="auto"/>
            </w:tcBorders>
          </w:tcPr>
          <w:p>
            <w:pPr>
              <w:pStyle w:val="TableParagraph"/>
              <w:tabs>
                <w:tab w:pos="335" w:val="left" w:leader="none"/>
              </w:tabs>
              <w:spacing w:line="268" w:lineRule="exact"/>
              <w:ind w:right="31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(308,266)</w:t>
            </w:r>
            <w:r>
              <w:rPr>
                <w:rFonts w:ascii="Arial"/>
                <w:spacing w:val="-1"/>
                <w:sz w:val="24"/>
              </w:rPr>
            </w:r>
          </w:p>
        </w:tc>
        <w:tc>
          <w:tcPr>
            <w:tcW w:w="1708" w:type="dxa"/>
            <w:tcBorders>
              <w:top w:val="nil" w:sz="6" w:space="0" w:color="auto"/>
              <w:left w:val="nil" w:sz="6" w:space="0" w:color="auto"/>
              <w:bottom w:val="nil" w:sz="6" w:space="0" w:color="auto"/>
              <w:right w:val="nil" w:sz="6" w:space="0" w:color="auto"/>
            </w:tcBorders>
          </w:tcPr>
          <w:p>
            <w:pPr>
              <w:pStyle w:val="TableParagraph"/>
              <w:tabs>
                <w:tab w:pos="638" w:val="left" w:leader="none"/>
                <w:tab w:pos="1613" w:val="left" w:leader="none"/>
              </w:tabs>
              <w:spacing w:line="268" w:lineRule="exact"/>
              <w:ind w:left="-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517,074</w:t>
              <w:tab/>
            </w:r>
            <w:r>
              <w:rPr>
                <w:rFonts w:ascii="Arial"/>
                <w:sz w:val="24"/>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808" w:type="dxa"/>
        <w:tblLayout w:type="fixed"/>
        <w:tblCellMar>
          <w:top w:w="0" w:type="dxa"/>
          <w:left w:w="0" w:type="dxa"/>
          <w:bottom w:w="0" w:type="dxa"/>
          <w:right w:w="0" w:type="dxa"/>
        </w:tblCellMar>
        <w:tblLook w:val="01E0"/>
      </w:tblPr>
      <w:tblGrid>
        <w:gridCol w:w="2529"/>
        <w:gridCol w:w="1694"/>
        <w:gridCol w:w="307"/>
        <w:gridCol w:w="1330"/>
        <w:gridCol w:w="293"/>
        <w:gridCol w:w="1361"/>
        <w:gridCol w:w="308"/>
        <w:gridCol w:w="1608"/>
      </w:tblGrid>
      <w:tr>
        <w:trPr>
          <w:trHeight w:val="732" w:hRule="exact"/>
        </w:trPr>
        <w:tc>
          <w:tcPr>
            <w:tcW w:w="252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8" w:lineRule="exact"/>
              <w:ind w:left="753"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39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0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61" w:right="0"/>
              <w:jc w:val="left"/>
              <w:rPr>
                <w:rFonts w:ascii="宋体" w:hAnsi="宋体" w:cs="宋体" w:eastAsia="宋体" w:hint="default"/>
                <w:sz w:val="24"/>
                <w:szCs w:val="24"/>
              </w:rPr>
            </w:pPr>
            <w:r>
              <w:rPr>
                <w:rFonts w:ascii="宋体" w:hAnsi="宋体" w:cs="宋体" w:eastAsia="宋体" w:hint="default"/>
                <w:sz w:val="24"/>
                <w:szCs w:val="24"/>
              </w:rPr>
              <w:t>本年增加</w:t>
            </w:r>
          </w:p>
        </w:tc>
        <w:tc>
          <w:tcPr>
            <w:tcW w:w="29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23" w:right="0"/>
              <w:jc w:val="left"/>
              <w:rPr>
                <w:rFonts w:ascii="宋体" w:hAnsi="宋体" w:cs="宋体" w:eastAsia="宋体" w:hint="default"/>
                <w:sz w:val="24"/>
                <w:szCs w:val="24"/>
              </w:rPr>
            </w:pPr>
            <w:r>
              <w:rPr>
                <w:rFonts w:ascii="宋体" w:hAnsi="宋体" w:cs="宋体" w:eastAsia="宋体" w:hint="default"/>
                <w:sz w:val="24"/>
                <w:szCs w:val="24"/>
              </w:rPr>
              <w:t>本年减少</w:t>
            </w:r>
          </w:p>
        </w:tc>
        <w:tc>
          <w:tcPr>
            <w:tcW w:w="30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8" w:lineRule="exact"/>
              <w:ind w:left="66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30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518" w:right="0"/>
              <w:jc w:val="left"/>
              <w:rPr>
                <w:rFonts w:ascii="Arial" w:hAnsi="Arial" w:cs="Arial" w:eastAsia="Arial" w:hint="default"/>
                <w:sz w:val="24"/>
                <w:szCs w:val="24"/>
              </w:rPr>
            </w:pPr>
            <w:r>
              <w:rPr>
                <w:rFonts w:ascii="Arial"/>
                <w:sz w:val="24"/>
              </w:rPr>
              <w:t>2,973,047</w:t>
            </w:r>
          </w:p>
        </w:tc>
        <w:tc>
          <w:tcPr>
            <w:tcW w:w="30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w w:val="99"/>
                <w:sz w:val="24"/>
              </w:rPr>
              <w:t>-</w:t>
            </w:r>
            <w:r>
              <w:rPr>
                <w:rFonts w:ascii="Arial"/>
                <w:sz w:val="24"/>
              </w:rPr>
            </w:r>
          </w:p>
        </w:tc>
        <w:tc>
          <w:tcPr>
            <w:tcW w:w="29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0"/>
              <w:jc w:val="right"/>
              <w:rPr>
                <w:rFonts w:ascii="Arial" w:hAnsi="Arial" w:cs="Arial" w:eastAsia="Arial" w:hint="default"/>
                <w:sz w:val="24"/>
                <w:szCs w:val="24"/>
              </w:rPr>
            </w:pPr>
            <w:r>
              <w:rPr>
                <w:rFonts w:ascii="Arial"/>
                <w:spacing w:val="-1"/>
                <w:sz w:val="24"/>
              </w:rPr>
              <w:t>(2,334,907)</w:t>
            </w:r>
          </w:p>
        </w:tc>
        <w:tc>
          <w:tcPr>
            <w:tcW w:w="30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36" w:right="0"/>
              <w:jc w:val="left"/>
              <w:rPr>
                <w:rFonts w:ascii="Arial" w:hAnsi="Arial" w:cs="Arial" w:eastAsia="Arial" w:hint="default"/>
                <w:sz w:val="24"/>
                <w:szCs w:val="24"/>
              </w:rPr>
            </w:pPr>
            <w:r>
              <w:rPr>
                <w:rFonts w:ascii="Arial"/>
                <w:sz w:val="24"/>
              </w:rPr>
              <w:t>638,140</w:t>
            </w:r>
          </w:p>
        </w:tc>
      </w:tr>
      <w:tr>
        <w:trPr>
          <w:trHeight w:val="297"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694"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r>
      <w:tr>
        <w:trPr>
          <w:trHeight w:val="330" w:hRule="exact"/>
        </w:trPr>
        <w:tc>
          <w:tcPr>
            <w:tcW w:w="2529" w:type="dxa"/>
            <w:tcBorders>
              <w:top w:val="nil" w:sz="6" w:space="0" w:color="auto"/>
              <w:left w:val="nil" w:sz="6" w:space="0" w:color="auto"/>
              <w:bottom w:val="nil" w:sz="6" w:space="0" w:color="auto"/>
              <w:right w:val="nil" w:sz="6" w:space="0" w:color="auto"/>
            </w:tcBorders>
          </w:tcPr>
          <w:p>
            <w:pPr>
              <w:pStyle w:val="TableParagraph"/>
              <w:spacing w:line="293" w:lineRule="exact"/>
              <w:ind w:left="200" w:right="0"/>
              <w:jc w:val="left"/>
              <w:rPr>
                <w:rFonts w:ascii="Arial" w:hAnsi="Arial" w:cs="Arial" w:eastAsia="Arial" w:hint="default"/>
                <w:sz w:val="24"/>
                <w:szCs w:val="24"/>
              </w:rPr>
            </w:pPr>
            <w:r>
              <w:rPr>
                <w:rFonts w:ascii="宋体" w:hAnsi="宋体" w:cs="宋体" w:eastAsia="宋体" w:hint="default"/>
                <w:sz w:val="24"/>
                <w:szCs w:val="24"/>
              </w:rPr>
              <w:t>其他</w:t>
            </w:r>
            <w:r>
              <w:rPr>
                <w:rFonts w:ascii="宋体" w:hAnsi="宋体" w:cs="宋体" w:eastAsia="宋体" w:hint="default"/>
                <w:spacing w:val="-2"/>
                <w:sz w:val="24"/>
                <w:szCs w:val="24"/>
              </w:rPr>
              <w:t> </w:t>
            </w:r>
            <w:r>
              <w:rPr>
                <w:rFonts w:ascii="Arial" w:hAnsi="Arial" w:cs="Arial" w:eastAsia="Arial" w:hint="default"/>
                <w:sz w:val="24"/>
                <w:szCs w:val="24"/>
              </w:rPr>
              <w:t>(b)</w:t>
            </w:r>
          </w:p>
        </w:tc>
        <w:tc>
          <w:tcPr>
            <w:tcW w:w="1694" w:type="dxa"/>
            <w:tcBorders>
              <w:top w:val="nil" w:sz="6" w:space="0" w:color="auto"/>
              <w:left w:val="nil" w:sz="6" w:space="0" w:color="auto"/>
              <w:bottom w:val="nil" w:sz="6" w:space="0" w:color="auto"/>
              <w:right w:val="nil" w:sz="6" w:space="0" w:color="auto"/>
            </w:tcBorders>
          </w:tcPr>
          <w:p>
            <w:pPr>
              <w:pStyle w:val="TableParagraph"/>
              <w:tabs>
                <w:tab w:pos="986" w:val="left" w:leader="none"/>
                <w:tab w:pos="1694" w:val="left" w:leader="none"/>
              </w:tabs>
              <w:spacing w:line="240" w:lineRule="auto" w:before="36"/>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2,605</w:t>
              <w:tab/>
            </w:r>
            <w:r>
              <w:rPr>
                <w:rFonts w:ascii="Arial"/>
                <w:sz w:val="24"/>
              </w:rPr>
            </w:r>
          </w:p>
        </w:tc>
        <w:tc>
          <w:tcPr>
            <w:tcW w:w="30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tabs>
                <w:tab w:pos="487" w:val="left" w:leader="none"/>
                <w:tab w:pos="1330" w:val="left" w:leader="none"/>
              </w:tabs>
              <w:spacing w:line="240" w:lineRule="auto" w:before="36"/>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14,543</w:t>
              <w:tab/>
            </w:r>
            <w:r>
              <w:rPr>
                <w:rFonts w:ascii="Arial"/>
                <w:spacing w:val="-1"/>
                <w:sz w:val="24"/>
              </w:rPr>
            </w:r>
          </w:p>
        </w:tc>
        <w:tc>
          <w:tcPr>
            <w:tcW w:w="29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tabs>
                <w:tab w:pos="1210" w:val="left" w:leader="none"/>
              </w:tabs>
              <w:spacing w:line="240" w:lineRule="auto" w:before="36"/>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30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tabs>
                <w:tab w:pos="767" w:val="left" w:leader="none"/>
                <w:tab w:pos="1607" w:val="left" w:leader="none"/>
              </w:tabs>
              <w:spacing w:line="240" w:lineRule="auto" w:before="36"/>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17,148</w:t>
              <w:tab/>
            </w:r>
            <w:r>
              <w:rPr>
                <w:rFonts w:ascii="Arial"/>
                <w:sz w:val="24"/>
              </w:rPr>
            </w:r>
          </w:p>
        </w:tc>
      </w:tr>
      <w:tr>
        <w:trPr>
          <w:trHeight w:val="287" w:hRule="exact"/>
        </w:trPr>
        <w:tc>
          <w:tcPr>
            <w:tcW w:w="252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12" w:space="0" w:color="000000"/>
              <w:right w:val="nil" w:sz="6" w:space="0" w:color="auto"/>
            </w:tcBorders>
          </w:tcPr>
          <w:p>
            <w:pPr>
              <w:pStyle w:val="TableParagraph"/>
              <w:spacing w:line="268" w:lineRule="exact"/>
              <w:ind w:left="518" w:right="0"/>
              <w:jc w:val="left"/>
              <w:rPr>
                <w:rFonts w:ascii="Arial" w:hAnsi="Arial" w:cs="Arial" w:eastAsia="Arial" w:hint="default"/>
                <w:sz w:val="24"/>
                <w:szCs w:val="24"/>
              </w:rPr>
            </w:pPr>
            <w:r>
              <w:rPr>
                <w:rFonts w:ascii="Arial"/>
                <w:sz w:val="24"/>
              </w:rPr>
              <w:t>2,975,652</w:t>
            </w:r>
          </w:p>
        </w:tc>
        <w:tc>
          <w:tcPr>
            <w:tcW w:w="307"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12" w:space="0" w:color="000000"/>
              <w:right w:val="nil" w:sz="6" w:space="0" w:color="auto"/>
            </w:tcBorders>
          </w:tcPr>
          <w:p>
            <w:pPr>
              <w:pStyle w:val="TableParagraph"/>
              <w:spacing w:line="268" w:lineRule="exact"/>
              <w:ind w:right="105"/>
              <w:jc w:val="right"/>
              <w:rPr>
                <w:rFonts w:ascii="Arial" w:hAnsi="Arial" w:cs="Arial" w:eastAsia="Arial" w:hint="default"/>
                <w:sz w:val="24"/>
                <w:szCs w:val="24"/>
              </w:rPr>
            </w:pPr>
            <w:r>
              <w:rPr>
                <w:rFonts w:ascii="Arial"/>
                <w:spacing w:val="-1"/>
                <w:sz w:val="24"/>
              </w:rPr>
              <w:t>14,543</w:t>
            </w:r>
          </w:p>
        </w:tc>
        <w:tc>
          <w:tcPr>
            <w:tcW w:w="293"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12" w:space="0" w:color="000000"/>
              <w:right w:val="nil" w:sz="6" w:space="0" w:color="auto"/>
            </w:tcBorders>
          </w:tcPr>
          <w:p>
            <w:pPr>
              <w:pStyle w:val="TableParagraph"/>
              <w:spacing w:line="268" w:lineRule="exact"/>
              <w:ind w:right="0"/>
              <w:jc w:val="right"/>
              <w:rPr>
                <w:rFonts w:ascii="Arial" w:hAnsi="Arial" w:cs="Arial" w:eastAsia="Arial" w:hint="default"/>
                <w:sz w:val="24"/>
                <w:szCs w:val="24"/>
              </w:rPr>
            </w:pPr>
            <w:r>
              <w:rPr>
                <w:rFonts w:ascii="Arial"/>
                <w:spacing w:val="-1"/>
                <w:sz w:val="24"/>
              </w:rPr>
              <w:t>(2,334,907)</w:t>
            </w:r>
          </w:p>
        </w:tc>
        <w:tc>
          <w:tcPr>
            <w:tcW w:w="30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12" w:space="0" w:color="000000"/>
              <w:right w:val="nil" w:sz="6" w:space="0" w:color="auto"/>
            </w:tcBorders>
          </w:tcPr>
          <w:p>
            <w:pPr>
              <w:pStyle w:val="TableParagraph"/>
              <w:spacing w:line="268" w:lineRule="exact"/>
              <w:ind w:left="636" w:right="0"/>
              <w:jc w:val="left"/>
              <w:rPr>
                <w:rFonts w:ascii="Arial" w:hAnsi="Arial" w:cs="Arial" w:eastAsia="Arial" w:hint="default"/>
                <w:sz w:val="24"/>
                <w:szCs w:val="24"/>
              </w:rPr>
            </w:pPr>
            <w:r>
              <w:rPr>
                <w:rFonts w:ascii="Arial"/>
                <w:sz w:val="24"/>
              </w:rPr>
              <w:t>655,288</w:t>
            </w:r>
          </w:p>
        </w:tc>
      </w:tr>
    </w:tbl>
    <w:p>
      <w:pPr>
        <w:spacing w:line="240" w:lineRule="auto" w:before="4"/>
        <w:rPr>
          <w:rFonts w:ascii="Times New Roman" w:hAnsi="Times New Roman" w:cs="Times New Roman" w:eastAsia="Times New Roman"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679"/>
        <w:gridCol w:w="6602"/>
        <w:gridCol w:w="2792"/>
      </w:tblGrid>
      <w:tr>
        <w:trPr>
          <w:trHeight w:val="935" w:hRule="exact"/>
        </w:trPr>
        <w:tc>
          <w:tcPr>
            <w:tcW w:w="67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9394" w:type="dxa"/>
            <w:gridSpan w:val="2"/>
            <w:tcBorders>
              <w:top w:val="nil" w:sz="6" w:space="0" w:color="auto"/>
              <w:left w:val="nil" w:sz="6" w:space="0" w:color="auto"/>
              <w:bottom w:val="nil" w:sz="6" w:space="0" w:color="auto"/>
              <w:right w:val="nil" w:sz="6" w:space="0" w:color="auto"/>
            </w:tcBorders>
          </w:tcPr>
          <w:p>
            <w:pPr>
              <w:pStyle w:val="TableParagraph"/>
              <w:spacing w:line="219" w:lineRule="exact"/>
              <w:ind w:left="185" w:right="0"/>
              <w:jc w:val="left"/>
              <w:rPr>
                <w:rFonts w:ascii="宋体" w:hAnsi="宋体" w:cs="宋体" w:eastAsia="宋体" w:hint="default"/>
                <w:sz w:val="21"/>
                <w:szCs w:val="21"/>
              </w:rPr>
            </w:pPr>
            <w:r>
              <w:rPr>
                <w:rFonts w:ascii="宋体" w:hAnsi="宋体" w:cs="宋体" w:eastAsia="宋体" w:hint="default"/>
                <w:sz w:val="21"/>
                <w:szCs w:val="21"/>
              </w:rPr>
              <w:t>于 </w:t>
            </w:r>
            <w:r>
              <w:rPr>
                <w:rFonts w:ascii="Times New Roman" w:hAnsi="Times New Roman" w:cs="Times New Roman" w:eastAsia="Times New Roman" w:hint="default"/>
                <w:spacing w:val="-4"/>
                <w:sz w:val="21"/>
                <w:szCs w:val="21"/>
              </w:rPr>
              <w:t>2011 </w:t>
            </w:r>
            <w:r>
              <w:rPr>
                <w:rFonts w:ascii="宋体" w:hAnsi="宋体" w:cs="宋体" w:eastAsia="宋体" w:hint="default"/>
                <w:sz w:val="21"/>
                <w:szCs w:val="21"/>
              </w:rPr>
              <w:t>年度，本集团向上海苏宁电器有限责任公司等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家子公司的少数股东购买了其拥有的前述</w:t>
            </w:r>
          </w:p>
          <w:p>
            <w:pPr>
              <w:pStyle w:val="TableParagraph"/>
              <w:spacing w:line="274" w:lineRule="exact"/>
              <w:ind w:left="185" w:right="0"/>
              <w:jc w:val="left"/>
              <w:rPr>
                <w:rFonts w:ascii="宋体" w:hAnsi="宋体" w:cs="宋体" w:eastAsia="宋体" w:hint="default"/>
                <w:sz w:val="21"/>
                <w:szCs w:val="21"/>
              </w:rPr>
            </w:pPr>
            <w:r>
              <w:rPr>
                <w:rFonts w:ascii="宋体" w:hAnsi="宋体" w:cs="宋体" w:eastAsia="宋体" w:hint="default"/>
                <w:spacing w:val="-3"/>
                <w:sz w:val="21"/>
                <w:szCs w:val="21"/>
              </w:rPr>
              <w:t>子公司的股权。本次交易的交易日为</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日，本次交易完成后，本集团持有该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家公司</w:t>
            </w:r>
          </w:p>
          <w:p>
            <w:pPr>
              <w:pStyle w:val="TableParagraph"/>
              <w:spacing w:line="282" w:lineRule="exact"/>
              <w:ind w:left="1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的股权。该交易产生的对资本公积的调整情况如下：</w:t>
            </w:r>
          </w:p>
        </w:tc>
      </w:tr>
      <w:tr>
        <w:trPr>
          <w:trHeight w:val="444" w:hRule="exact"/>
        </w:trPr>
        <w:tc>
          <w:tcPr>
            <w:tcW w:w="679" w:type="dxa"/>
            <w:tcBorders>
              <w:top w:val="nil" w:sz="6" w:space="0" w:color="auto"/>
              <w:left w:val="nil" w:sz="6" w:space="0" w:color="auto"/>
              <w:bottom w:val="nil" w:sz="6" w:space="0" w:color="auto"/>
              <w:right w:val="nil" w:sz="6" w:space="0" w:color="auto"/>
            </w:tcBorders>
          </w:tcPr>
          <w:p>
            <w:pPr/>
          </w:p>
        </w:tc>
        <w:tc>
          <w:tcPr>
            <w:tcW w:w="660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85" w:right="0"/>
              <w:jc w:val="left"/>
              <w:rPr>
                <w:rFonts w:ascii="Arial" w:hAnsi="Arial" w:cs="Arial" w:eastAsia="Arial" w:hint="default"/>
                <w:sz w:val="24"/>
                <w:szCs w:val="24"/>
              </w:rPr>
            </w:pPr>
            <w:r>
              <w:rPr>
                <w:rFonts w:ascii="宋体" w:hAnsi="宋体" w:cs="宋体" w:eastAsia="宋体" w:hint="default"/>
                <w:sz w:val="24"/>
                <w:szCs w:val="24"/>
              </w:rPr>
              <w:t>购买成本</w:t>
            </w:r>
            <w:r>
              <w:rPr>
                <w:rFonts w:ascii="宋体" w:hAnsi="宋体" w:cs="宋体" w:eastAsia="宋体" w:hint="default"/>
                <w:spacing w:val="-1"/>
                <w:sz w:val="24"/>
                <w:szCs w:val="24"/>
              </w:rPr>
              <w:t> </w:t>
            </w:r>
            <w:r>
              <w:rPr>
                <w:rFonts w:ascii="Arial" w:hAnsi="Arial" w:cs="Arial" w:eastAsia="Arial" w:hint="default"/>
                <w:sz w:val="24"/>
                <w:szCs w:val="24"/>
              </w:rPr>
              <w:t>-</w:t>
            </w:r>
          </w:p>
        </w:tc>
        <w:tc>
          <w:tcPr>
            <w:tcW w:w="2792" w:type="dxa"/>
            <w:tcBorders>
              <w:top w:val="nil" w:sz="6" w:space="0" w:color="auto"/>
              <w:left w:val="nil" w:sz="6" w:space="0" w:color="auto"/>
              <w:bottom w:val="nil" w:sz="6" w:space="0" w:color="auto"/>
              <w:right w:val="nil" w:sz="6" w:space="0" w:color="auto"/>
            </w:tcBorders>
          </w:tcPr>
          <w:p>
            <w:pPr/>
          </w:p>
        </w:tc>
      </w:tr>
      <w:tr>
        <w:trPr>
          <w:trHeight w:val="309" w:hRule="exact"/>
        </w:trPr>
        <w:tc>
          <w:tcPr>
            <w:tcW w:w="679" w:type="dxa"/>
            <w:tcBorders>
              <w:top w:val="nil" w:sz="6" w:space="0" w:color="auto"/>
              <w:left w:val="nil" w:sz="6" w:space="0" w:color="auto"/>
              <w:bottom w:val="nil" w:sz="6" w:space="0" w:color="auto"/>
              <w:right w:val="nil" w:sz="6" w:space="0" w:color="auto"/>
            </w:tcBorders>
          </w:tcPr>
          <w:p>
            <w:pPr/>
          </w:p>
        </w:tc>
        <w:tc>
          <w:tcPr>
            <w:tcW w:w="6602" w:type="dxa"/>
            <w:tcBorders>
              <w:top w:val="nil" w:sz="6" w:space="0" w:color="auto"/>
              <w:left w:val="nil" w:sz="6" w:space="0" w:color="auto"/>
              <w:bottom w:val="nil" w:sz="6" w:space="0" w:color="auto"/>
              <w:right w:val="nil" w:sz="6" w:space="0" w:color="auto"/>
            </w:tcBorders>
          </w:tcPr>
          <w:p>
            <w:pPr>
              <w:pStyle w:val="TableParagraph"/>
              <w:spacing w:line="273" w:lineRule="exact"/>
              <w:ind w:left="185" w:right="0"/>
              <w:jc w:val="left"/>
              <w:rPr>
                <w:rFonts w:ascii="宋体" w:hAnsi="宋体" w:cs="宋体" w:eastAsia="宋体" w:hint="default"/>
                <w:sz w:val="24"/>
                <w:szCs w:val="24"/>
              </w:rPr>
            </w:pPr>
            <w:r>
              <w:rPr>
                <w:rFonts w:ascii="宋体" w:hAnsi="宋体" w:cs="宋体" w:eastAsia="宋体" w:hint="default"/>
                <w:sz w:val="24"/>
                <w:szCs w:val="24"/>
              </w:rPr>
              <w:t>支付的现金</w:t>
            </w:r>
          </w:p>
        </w:tc>
        <w:tc>
          <w:tcPr>
            <w:tcW w:w="2792" w:type="dxa"/>
            <w:tcBorders>
              <w:top w:val="nil" w:sz="6" w:space="0" w:color="auto"/>
              <w:left w:val="nil" w:sz="6" w:space="0" w:color="auto"/>
              <w:bottom w:val="nil" w:sz="6" w:space="0" w:color="auto"/>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spacing w:val="-1"/>
                <w:sz w:val="24"/>
              </w:rPr>
              <w:t>876,037</w:t>
            </w:r>
          </w:p>
        </w:tc>
      </w:tr>
      <w:tr>
        <w:trPr>
          <w:trHeight w:val="642" w:hRule="exact"/>
        </w:trPr>
        <w:tc>
          <w:tcPr>
            <w:tcW w:w="679" w:type="dxa"/>
            <w:tcBorders>
              <w:top w:val="nil" w:sz="6" w:space="0" w:color="auto"/>
              <w:left w:val="nil" w:sz="6" w:space="0" w:color="auto"/>
              <w:bottom w:val="nil" w:sz="6" w:space="0" w:color="auto"/>
              <w:right w:val="nil" w:sz="6" w:space="0" w:color="auto"/>
            </w:tcBorders>
          </w:tcPr>
          <w:p>
            <w:pPr/>
          </w:p>
        </w:tc>
        <w:tc>
          <w:tcPr>
            <w:tcW w:w="6602" w:type="dxa"/>
            <w:tcBorders>
              <w:top w:val="nil" w:sz="6" w:space="0" w:color="auto"/>
              <w:left w:val="nil" w:sz="6" w:space="0" w:color="auto"/>
              <w:bottom w:val="nil" w:sz="6" w:space="0" w:color="auto"/>
              <w:right w:val="nil" w:sz="6" w:space="0" w:color="auto"/>
            </w:tcBorders>
          </w:tcPr>
          <w:p>
            <w:pPr>
              <w:pStyle w:val="TableParagraph"/>
              <w:spacing w:line="275" w:lineRule="exact"/>
              <w:ind w:left="185" w:right="0"/>
              <w:jc w:val="left"/>
              <w:rPr>
                <w:rFonts w:ascii="宋体" w:hAnsi="宋体" w:cs="宋体" w:eastAsia="宋体" w:hint="default"/>
                <w:sz w:val="24"/>
                <w:szCs w:val="24"/>
              </w:rPr>
            </w:pPr>
            <w:r>
              <w:rPr>
                <w:rFonts w:ascii="宋体" w:hAnsi="宋体" w:cs="宋体" w:eastAsia="宋体" w:hint="default"/>
                <w:sz w:val="24"/>
                <w:szCs w:val="24"/>
              </w:rPr>
              <w:t>减：交易日取得的按新增持股比例计算确定应享有子公司</w:t>
            </w:r>
          </w:p>
          <w:p>
            <w:pPr>
              <w:pStyle w:val="TableParagraph"/>
              <w:spacing w:line="313" w:lineRule="exact"/>
              <w:ind w:left="665" w:right="0"/>
              <w:jc w:val="left"/>
              <w:rPr>
                <w:rFonts w:ascii="宋体" w:hAnsi="宋体" w:cs="宋体" w:eastAsia="宋体" w:hint="default"/>
                <w:sz w:val="24"/>
                <w:szCs w:val="24"/>
              </w:rPr>
            </w:pPr>
            <w:r>
              <w:rPr>
                <w:rFonts w:ascii="宋体" w:hAnsi="宋体" w:cs="宋体" w:eastAsia="宋体" w:hint="default"/>
                <w:sz w:val="24"/>
                <w:szCs w:val="24"/>
              </w:rPr>
              <w:t>自合并日开始持续计算的净资产份额</w:t>
            </w:r>
          </w:p>
        </w:tc>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tabs>
                <w:tab w:pos="1733" w:val="left" w:leader="none"/>
              </w:tabs>
              <w:spacing w:line="240" w:lineRule="auto"/>
              <w:ind w:right="2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(567,771)</w:t>
            </w:r>
            <w:r>
              <w:rPr>
                <w:rFonts w:ascii="Arial"/>
                <w:w w:val="95"/>
                <w:sz w:val="24"/>
              </w:rPr>
            </w:r>
            <w:r>
              <w:rPr>
                <w:rFonts w:ascii="Arial"/>
                <w:sz w:val="24"/>
              </w:rPr>
            </w:r>
          </w:p>
        </w:tc>
      </w:tr>
      <w:tr>
        <w:trPr>
          <w:trHeight w:val="321" w:hRule="exact"/>
        </w:trPr>
        <w:tc>
          <w:tcPr>
            <w:tcW w:w="679" w:type="dxa"/>
            <w:tcBorders>
              <w:top w:val="nil" w:sz="6" w:space="0" w:color="auto"/>
              <w:left w:val="nil" w:sz="6" w:space="0" w:color="auto"/>
              <w:bottom w:val="nil" w:sz="6" w:space="0" w:color="auto"/>
              <w:right w:val="nil" w:sz="6" w:space="0" w:color="auto"/>
            </w:tcBorders>
          </w:tcPr>
          <w:p>
            <w:pPr/>
          </w:p>
        </w:tc>
        <w:tc>
          <w:tcPr>
            <w:tcW w:w="6602" w:type="dxa"/>
            <w:tcBorders>
              <w:top w:val="nil" w:sz="6" w:space="0" w:color="auto"/>
              <w:left w:val="nil" w:sz="6" w:space="0" w:color="auto"/>
              <w:bottom w:val="nil" w:sz="6" w:space="0" w:color="auto"/>
              <w:right w:val="nil" w:sz="6" w:space="0" w:color="auto"/>
            </w:tcBorders>
          </w:tcPr>
          <w:p>
            <w:pPr>
              <w:pStyle w:val="TableParagraph"/>
              <w:spacing w:line="268" w:lineRule="exact"/>
              <w:ind w:left="185" w:right="0"/>
              <w:jc w:val="left"/>
              <w:rPr>
                <w:rFonts w:ascii="宋体" w:hAnsi="宋体" w:cs="宋体" w:eastAsia="宋体" w:hint="default"/>
                <w:sz w:val="24"/>
                <w:szCs w:val="24"/>
              </w:rPr>
            </w:pPr>
            <w:r>
              <w:rPr>
                <w:rFonts w:ascii="宋体" w:hAnsi="宋体" w:cs="宋体" w:eastAsia="宋体" w:hint="default"/>
                <w:sz w:val="24"/>
                <w:szCs w:val="24"/>
              </w:rPr>
              <w:t>调整资本公积</w:t>
            </w:r>
          </w:p>
        </w:tc>
        <w:tc>
          <w:tcPr>
            <w:tcW w:w="2792" w:type="dxa"/>
            <w:tcBorders>
              <w:top w:val="nil" w:sz="6" w:space="0" w:color="auto"/>
              <w:left w:val="nil" w:sz="6" w:space="0" w:color="auto"/>
              <w:bottom w:val="single" w:sz="12" w:space="0" w:color="000000"/>
              <w:right w:val="nil" w:sz="6" w:space="0" w:color="auto"/>
            </w:tcBorders>
          </w:tcPr>
          <w:p>
            <w:pPr>
              <w:pStyle w:val="TableParagraph"/>
              <w:spacing w:line="268" w:lineRule="exact"/>
              <w:ind w:right="107"/>
              <w:jc w:val="right"/>
              <w:rPr>
                <w:rFonts w:ascii="Arial" w:hAnsi="Arial" w:cs="Arial" w:eastAsia="Arial" w:hint="default"/>
                <w:sz w:val="24"/>
                <w:szCs w:val="24"/>
              </w:rPr>
            </w:pPr>
            <w:r>
              <w:rPr>
                <w:rFonts w:ascii="Arial"/>
                <w:spacing w:val="-1"/>
                <w:sz w:val="24"/>
              </w:rPr>
              <w:t>308,266</w:t>
            </w:r>
          </w:p>
        </w:tc>
      </w:tr>
    </w:tbl>
    <w:p>
      <w:pPr>
        <w:spacing w:after="0" w:line="268" w:lineRule="exact"/>
        <w:jc w:val="right"/>
        <w:rPr>
          <w:rFonts w:ascii="Arial" w:hAnsi="Arial" w:cs="Arial" w:eastAsia="Arial" w:hint="default"/>
          <w:sz w:val="24"/>
          <w:szCs w:val="24"/>
        </w:rPr>
        <w:sectPr>
          <w:headerReference w:type="default" r:id="rId92"/>
          <w:footerReference w:type="default" r:id="rId93"/>
          <w:pgSz w:w="11910" w:h="16850"/>
          <w:pgMar w:header="754" w:footer="956" w:top="2240" w:bottom="1140" w:left="780" w:right="0"/>
          <w:pgNumType w:start="182"/>
        </w:sectPr>
      </w:pPr>
    </w:p>
    <w:p>
      <w:pPr>
        <w:spacing w:line="240" w:lineRule="auto" w:before="11"/>
        <w:rPr>
          <w:rFonts w:ascii="Times New Roman" w:hAnsi="Times New Roman" w:cs="Times New Roman" w:eastAsia="Times New Roman"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772"/>
        <w:gridCol w:w="9437"/>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9437"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93"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(32)</w:t>
            </w:r>
          </w:p>
        </w:tc>
        <w:tc>
          <w:tcPr>
            <w:tcW w:w="943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93" w:right="0"/>
              <w:jc w:val="left"/>
              <w:rPr>
                <w:rFonts w:ascii="Arial" w:hAnsi="Arial" w:cs="Arial" w:eastAsia="Arial" w:hint="default"/>
                <w:sz w:val="24"/>
                <w:szCs w:val="24"/>
              </w:rPr>
            </w:pPr>
            <w:r>
              <w:rPr>
                <w:rFonts w:ascii="宋体" w:hAnsi="宋体" w:cs="宋体" w:eastAsia="宋体" w:hint="default"/>
                <w:b/>
                <w:bCs/>
                <w:sz w:val="24"/>
                <w:szCs w:val="24"/>
              </w:rPr>
              <w:t>资本公积</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121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9437" w:type="dxa"/>
            <w:tcBorders>
              <w:top w:val="nil" w:sz="6" w:space="0" w:color="auto"/>
              <w:left w:val="nil" w:sz="6" w:space="0" w:color="auto"/>
              <w:bottom w:val="nil" w:sz="6" w:space="0" w:color="auto"/>
              <w:right w:val="nil" w:sz="6" w:space="0" w:color="auto"/>
            </w:tcBorders>
          </w:tcPr>
          <w:p>
            <w:pPr>
              <w:pStyle w:val="TableParagraph"/>
              <w:spacing w:line="312" w:lineRule="exact" w:before="127"/>
              <w:ind w:left="93" w:right="198"/>
              <w:jc w:val="both"/>
              <w:rPr>
                <w:rFonts w:ascii="宋体" w:hAnsi="宋体" w:cs="宋体" w:eastAsia="宋体" w:hint="default"/>
                <w:sz w:val="24"/>
                <w:szCs w:val="24"/>
              </w:rPr>
            </w:pPr>
            <w:r>
              <w:rPr>
                <w:rFonts w:ascii="宋体" w:hAnsi="宋体" w:cs="宋体" w:eastAsia="宋体" w:hint="default"/>
                <w:spacing w:val="-1"/>
                <w:sz w:val="24"/>
                <w:szCs w:val="24"/>
              </w:rPr>
              <w:t>经</w:t>
            </w:r>
            <w:r>
              <w:rPr>
                <w:rFonts w:ascii="Arial" w:hAnsi="Arial" w:cs="Arial" w:eastAsia="Arial" w:hint="default"/>
                <w:spacing w:val="-1"/>
                <w:sz w:val="24"/>
                <w:szCs w:val="24"/>
              </w:rPr>
              <w:t>2011</w:t>
            </w:r>
            <w:r>
              <w:rPr>
                <w:rFonts w:ascii="宋体" w:hAnsi="宋体" w:cs="宋体" w:eastAsia="宋体" w:hint="default"/>
                <w:spacing w:val="-1"/>
                <w:sz w:val="24"/>
                <w:szCs w:val="24"/>
              </w:rPr>
              <w:t>年</w:t>
            </w:r>
            <w:r>
              <w:rPr>
                <w:rFonts w:ascii="Arial" w:hAnsi="Arial" w:cs="Arial" w:eastAsia="Arial" w:hint="default"/>
                <w:spacing w:val="-1"/>
                <w:sz w:val="24"/>
                <w:szCs w:val="24"/>
              </w:rPr>
              <w:t>4</w:t>
            </w:r>
            <w:r>
              <w:rPr>
                <w:rFonts w:ascii="宋体" w:hAnsi="宋体" w:cs="宋体" w:eastAsia="宋体" w:hint="default"/>
                <w:spacing w:val="-1"/>
                <w:sz w:val="24"/>
                <w:szCs w:val="24"/>
              </w:rPr>
              <w:t>月</w:t>
            </w:r>
            <w:r>
              <w:rPr>
                <w:rFonts w:ascii="Arial" w:hAnsi="Arial" w:cs="Arial" w:eastAsia="Arial" w:hint="default"/>
                <w:spacing w:val="-1"/>
                <w:sz w:val="24"/>
                <w:szCs w:val="24"/>
              </w:rPr>
              <w:t>30</w:t>
            </w:r>
            <w:r>
              <w:rPr>
                <w:rFonts w:ascii="宋体" w:hAnsi="宋体" w:cs="宋体" w:eastAsia="宋体" w:hint="default"/>
                <w:spacing w:val="-1"/>
                <w:sz w:val="24"/>
                <w:szCs w:val="24"/>
              </w:rPr>
              <w:t>日召开的第四届董事会第十二次会议审议通过，本公司对《</w:t>
            </w:r>
            <w:r>
              <w:rPr>
                <w:rFonts w:ascii="Arial" w:hAnsi="Arial" w:cs="Arial" w:eastAsia="Arial" w:hint="default"/>
                <w:spacing w:val="-1"/>
                <w:sz w:val="24"/>
                <w:szCs w:val="24"/>
              </w:rPr>
              <w:t>2010</w:t>
            </w:r>
            <w:r>
              <w:rPr>
                <w:rFonts w:ascii="宋体" w:hAnsi="宋体" w:cs="宋体" w:eastAsia="宋体" w:hint="default"/>
                <w:spacing w:val="-1"/>
                <w:sz w:val="24"/>
                <w:szCs w:val="24"/>
              </w:rPr>
              <w:t>年股票</w:t>
            </w:r>
            <w:r>
              <w:rPr>
                <w:rFonts w:ascii="宋体" w:hAnsi="宋体" w:cs="宋体" w:eastAsia="宋体" w:hint="default"/>
                <w:spacing w:val="-93"/>
                <w:sz w:val="24"/>
                <w:szCs w:val="24"/>
              </w:rPr>
              <w:t> </w:t>
            </w:r>
            <w:r>
              <w:rPr>
                <w:rFonts w:ascii="宋体" w:hAnsi="宋体" w:cs="宋体" w:eastAsia="宋体" w:hint="default"/>
                <w:spacing w:val="-4"/>
                <w:sz w:val="24"/>
                <w:szCs w:val="24"/>
              </w:rPr>
              <w:t>期权激励计划》行权价格进行调整，调整后的股票行权价格为人民币</w:t>
            </w:r>
            <w:r>
              <w:rPr>
                <w:rFonts w:ascii="Arial" w:hAnsi="Arial" w:cs="Arial" w:eastAsia="Arial" w:hint="default"/>
                <w:spacing w:val="-4"/>
                <w:sz w:val="24"/>
                <w:szCs w:val="24"/>
              </w:rPr>
              <w:t>14.40</w:t>
            </w:r>
            <w:r>
              <w:rPr>
                <w:rFonts w:ascii="宋体" w:hAnsi="宋体" w:cs="宋体" w:eastAsia="宋体" w:hint="default"/>
                <w:spacing w:val="-4"/>
                <w:sz w:val="24"/>
                <w:szCs w:val="24"/>
              </w:rPr>
              <w:t>元。截至</w:t>
            </w:r>
            <w:r>
              <w:rPr>
                <w:rFonts w:ascii="Arial" w:hAnsi="Arial" w:cs="Arial" w:eastAsia="Arial" w:hint="default"/>
                <w:spacing w:val="-4"/>
                <w:sz w:val="24"/>
                <w:szCs w:val="24"/>
              </w:rPr>
              <w:t>2011</w:t>
            </w:r>
            <w:r>
              <w:rPr>
                <w:rFonts w:ascii="Arial" w:hAnsi="Arial" w:cs="Arial" w:eastAsia="Arial" w:hint="default"/>
                <w:spacing w:val="-54"/>
                <w:sz w:val="24"/>
                <w:szCs w:val="24"/>
              </w:rPr>
              <w:t> </w:t>
            </w:r>
            <w:r>
              <w:rPr>
                <w:rFonts w:ascii="Arial" w:hAnsi="Arial" w:cs="Arial" w:eastAsia="Arial" w:hint="default"/>
                <w:spacing w:val="-54"/>
                <w:sz w:val="24"/>
                <w:szCs w:val="24"/>
              </w:rPr>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日止，股票期权合同剩余期限至</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11</w:t>
            </w:r>
            <w:r>
              <w:rPr>
                <w:rFonts w:ascii="宋体" w:hAnsi="宋体" w:cs="宋体" w:eastAsia="宋体" w:hint="default"/>
                <w:sz w:val="24"/>
                <w:szCs w:val="24"/>
              </w:rPr>
              <w:t>月</w:t>
            </w:r>
            <w:r>
              <w:rPr>
                <w:rFonts w:ascii="Arial" w:hAnsi="Arial" w:cs="Arial" w:eastAsia="Arial" w:hint="default"/>
                <w:sz w:val="24"/>
                <w:szCs w:val="24"/>
              </w:rPr>
              <w:t>26</w:t>
            </w:r>
            <w:r>
              <w:rPr>
                <w:rFonts w:ascii="宋体" w:hAnsi="宋体" w:cs="宋体" w:eastAsia="宋体" w:hint="default"/>
                <w:sz w:val="24"/>
                <w:szCs w:val="24"/>
              </w:rPr>
              <w:t>日，约为</w:t>
            </w:r>
            <w:r>
              <w:rPr>
                <w:rFonts w:ascii="Arial" w:hAnsi="Arial" w:cs="Arial" w:eastAsia="Arial" w:hint="default"/>
                <w:sz w:val="24"/>
                <w:szCs w:val="24"/>
              </w:rPr>
              <w:t>3.9</w:t>
            </w:r>
            <w:r>
              <w:rPr>
                <w:rFonts w:ascii="宋体" w:hAnsi="宋体" w:cs="宋体" w:eastAsia="宋体" w:hint="default"/>
                <w:sz w:val="24"/>
                <w:szCs w:val="24"/>
              </w:rPr>
              <w:t>年。</w:t>
            </w:r>
          </w:p>
        </w:tc>
      </w:tr>
      <w:tr>
        <w:trPr>
          <w:trHeight w:val="408" w:hRule="exact"/>
        </w:trPr>
        <w:tc>
          <w:tcPr>
            <w:tcW w:w="772" w:type="dxa"/>
            <w:tcBorders>
              <w:top w:val="nil" w:sz="6" w:space="0" w:color="auto"/>
              <w:left w:val="nil" w:sz="6" w:space="0" w:color="auto"/>
              <w:bottom w:val="nil" w:sz="6" w:space="0" w:color="auto"/>
              <w:right w:val="nil" w:sz="6" w:space="0" w:color="auto"/>
            </w:tcBorders>
          </w:tcPr>
          <w:p>
            <w:pPr/>
          </w:p>
        </w:tc>
        <w:tc>
          <w:tcPr>
            <w:tcW w:w="94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3" w:right="0"/>
              <w:jc w:val="left"/>
              <w:rPr>
                <w:rFonts w:ascii="宋体" w:hAnsi="宋体" w:cs="宋体" w:eastAsia="宋体" w:hint="default"/>
                <w:sz w:val="24"/>
                <w:szCs w:val="24"/>
              </w:rPr>
            </w:pPr>
            <w:r>
              <w:rPr>
                <w:rFonts w:ascii="宋体" w:hAnsi="宋体" w:cs="宋体" w:eastAsia="宋体" w:hint="default"/>
                <w:sz w:val="24"/>
                <w:szCs w:val="24"/>
              </w:rPr>
              <w:t>授予日股票期权公允价值的确定方法</w:t>
            </w:r>
          </w:p>
        </w:tc>
      </w:tr>
    </w:tbl>
    <w:p>
      <w:pPr>
        <w:spacing w:line="240" w:lineRule="auto" w:before="7"/>
        <w:rPr>
          <w:rFonts w:ascii="Times New Roman" w:hAnsi="Times New Roman" w:cs="Times New Roman" w:eastAsia="Times New Roman" w:hint="default"/>
          <w:sz w:val="18"/>
          <w:szCs w:val="18"/>
        </w:rPr>
      </w:pPr>
    </w:p>
    <w:p>
      <w:pPr>
        <w:pStyle w:val="BodyText"/>
        <w:spacing w:line="240" w:lineRule="auto" w:before="26"/>
        <w:ind w:left="1060" w:right="0"/>
        <w:jc w:val="left"/>
        <w:rPr>
          <w:rFonts w:ascii="Times New Roman" w:hAnsi="Times New Roman" w:cs="Times New Roman" w:eastAsia="Times New Roman" w:hint="default"/>
        </w:rPr>
      </w:pPr>
      <w:r>
        <w:rPr/>
        <w:t>本集团采用期权定价模型确定股票期权的公允价值。主要参数列示如下</w:t>
      </w:r>
      <w:r>
        <w:rPr>
          <w:rFonts w:ascii="Times New Roman" w:hAnsi="Times New Roman" w:cs="Times New Roman" w:eastAsia="Times New Roman" w:hint="default"/>
        </w:rPr>
        <w:t>:</w:t>
      </w:r>
    </w:p>
    <w:p>
      <w:pPr>
        <w:spacing w:line="240" w:lineRule="auto" w:before="3"/>
        <w:rPr>
          <w:rFonts w:ascii="Times New Roman" w:hAnsi="Times New Roman" w:cs="Times New Roman" w:eastAsia="Times New Roman" w:hint="default"/>
          <w:sz w:val="22"/>
          <w:szCs w:val="22"/>
        </w:rPr>
      </w:pPr>
    </w:p>
    <w:p>
      <w:pPr>
        <w:pStyle w:val="BodyText"/>
        <w:tabs>
          <w:tab w:pos="5260" w:val="left" w:leader="none"/>
        </w:tabs>
        <w:spacing w:line="322" w:lineRule="exact" w:before="0"/>
        <w:ind w:left="1060" w:right="0"/>
        <w:jc w:val="left"/>
      </w:pPr>
      <w:r>
        <w:rPr>
          <w:spacing w:val="-1"/>
        </w:rPr>
        <w:t>期权行权价格：</w:t>
        <w:tab/>
      </w:r>
      <w:r>
        <w:rPr/>
        <w:t>人民币</w:t>
      </w:r>
      <w:r>
        <w:rPr>
          <w:rFonts w:ascii="Arial" w:hAnsi="Arial" w:cs="Arial" w:eastAsia="Arial" w:hint="default"/>
        </w:rPr>
        <w:t>14.50</w:t>
      </w:r>
      <w:r>
        <w:rPr/>
        <w:t>元</w:t>
      </w:r>
    </w:p>
    <w:p>
      <w:pPr>
        <w:pStyle w:val="BodyText"/>
        <w:tabs>
          <w:tab w:pos="5260" w:val="left" w:leader="none"/>
        </w:tabs>
        <w:spacing w:line="312" w:lineRule="exact" w:before="0"/>
        <w:ind w:left="1060" w:right="0"/>
        <w:jc w:val="left"/>
      </w:pPr>
      <w:r>
        <w:rPr>
          <w:spacing w:val="-1"/>
        </w:rPr>
        <w:t>各期期权的有效期：</w:t>
        <w:tab/>
      </w:r>
      <w:r>
        <w:rPr>
          <w:rFonts w:ascii="Arial" w:hAnsi="Arial" w:cs="Arial" w:eastAsia="Arial" w:hint="default"/>
          <w:spacing w:val="-1"/>
        </w:rPr>
        <w:t>1.5</w:t>
      </w:r>
      <w:r>
        <w:rPr>
          <w:spacing w:val="-1"/>
        </w:rPr>
        <w:t>年、</w:t>
      </w:r>
      <w:r>
        <w:rPr>
          <w:rFonts w:ascii="Arial" w:hAnsi="Arial" w:cs="Arial" w:eastAsia="Arial" w:hint="default"/>
          <w:spacing w:val="-1"/>
        </w:rPr>
        <w:t>2.5</w:t>
      </w:r>
      <w:r>
        <w:rPr>
          <w:spacing w:val="-1"/>
        </w:rPr>
        <w:t>年、</w:t>
      </w:r>
      <w:r>
        <w:rPr>
          <w:rFonts w:ascii="Arial" w:hAnsi="Arial" w:cs="Arial" w:eastAsia="Arial" w:hint="default"/>
          <w:spacing w:val="-1"/>
        </w:rPr>
        <w:t>3.5</w:t>
      </w:r>
      <w:r>
        <w:rPr>
          <w:spacing w:val="-1"/>
        </w:rPr>
        <w:t>年、</w:t>
      </w:r>
      <w:r>
        <w:rPr>
          <w:rFonts w:ascii="Arial" w:hAnsi="Arial" w:cs="Arial" w:eastAsia="Arial" w:hint="default"/>
          <w:spacing w:val="-1"/>
        </w:rPr>
        <w:t>4.5</w:t>
      </w:r>
      <w:r>
        <w:rPr>
          <w:spacing w:val="-1"/>
        </w:rPr>
        <w:t>年</w:t>
      </w:r>
    </w:p>
    <w:p>
      <w:pPr>
        <w:pStyle w:val="BodyText"/>
        <w:tabs>
          <w:tab w:pos="5313" w:val="left" w:leader="none"/>
        </w:tabs>
        <w:spacing w:line="312" w:lineRule="exact" w:before="0"/>
        <w:ind w:left="1060" w:right="0"/>
        <w:jc w:val="left"/>
      </w:pPr>
      <w:r>
        <w:rPr>
          <w:rFonts w:ascii="Arial" w:hAnsi="Arial" w:cs="Arial" w:eastAsia="Arial" w:hint="default"/>
          <w:spacing w:val="-1"/>
        </w:rPr>
        <w:t>2010</w:t>
      </w:r>
      <w:r>
        <w:rPr>
          <w:spacing w:val="-1"/>
        </w:rPr>
        <w:t>年末股票价格：</w:t>
        <w:tab/>
      </w:r>
      <w:r>
        <w:rPr/>
        <w:t>人民币</w:t>
      </w:r>
      <w:r>
        <w:rPr>
          <w:rFonts w:ascii="Arial" w:hAnsi="Arial" w:cs="Arial" w:eastAsia="Arial" w:hint="default"/>
        </w:rPr>
        <w:t>13.10</w:t>
      </w:r>
      <w:r>
        <w:rPr/>
        <w:t>元</w:t>
      </w:r>
    </w:p>
    <w:p>
      <w:pPr>
        <w:pStyle w:val="BodyText"/>
        <w:tabs>
          <w:tab w:pos="5296" w:val="left" w:leader="none"/>
        </w:tabs>
        <w:spacing w:line="312" w:lineRule="exact" w:before="0"/>
        <w:ind w:left="1060" w:right="0"/>
        <w:jc w:val="left"/>
      </w:pPr>
      <w:r>
        <w:rPr>
          <w:rFonts w:ascii="Arial" w:hAnsi="Arial" w:cs="Arial" w:eastAsia="Arial" w:hint="default"/>
          <w:spacing w:val="-2"/>
        </w:rPr>
        <w:t>2011</w:t>
      </w:r>
      <w:r>
        <w:rPr>
          <w:spacing w:val="-2"/>
        </w:rPr>
        <w:t>年末股票价格：</w:t>
        <w:tab/>
      </w:r>
      <w:r>
        <w:rPr/>
        <w:t>人民币</w:t>
      </w:r>
      <w:r>
        <w:rPr>
          <w:rFonts w:ascii="Arial" w:hAnsi="Arial" w:cs="Arial" w:eastAsia="Arial" w:hint="default"/>
        </w:rPr>
        <w:t>8.44</w:t>
      </w:r>
      <w:r>
        <w:rPr/>
        <w:t>元</w:t>
      </w:r>
    </w:p>
    <w:p>
      <w:pPr>
        <w:pStyle w:val="BodyText"/>
        <w:tabs>
          <w:tab w:pos="5260" w:val="left" w:leader="none"/>
        </w:tabs>
        <w:spacing w:line="312" w:lineRule="exact" w:before="0"/>
        <w:ind w:left="1060" w:right="0"/>
        <w:jc w:val="left"/>
        <w:rPr>
          <w:rFonts w:ascii="Arial" w:hAnsi="Arial" w:cs="Arial" w:eastAsia="Arial" w:hint="default"/>
        </w:rPr>
      </w:pPr>
      <w:r>
        <w:rPr>
          <w:spacing w:val="-1"/>
        </w:rPr>
        <w:t>各期股价预计波动率：</w:t>
        <w:tab/>
      </w:r>
      <w:r>
        <w:rPr>
          <w:rFonts w:ascii="Arial" w:hAnsi="Arial" w:cs="Arial" w:eastAsia="Arial" w:hint="default"/>
          <w:spacing w:val="-1"/>
        </w:rPr>
        <w:t>37.3%</w:t>
      </w:r>
      <w:r>
        <w:rPr>
          <w:spacing w:val="-1"/>
        </w:rPr>
        <w:t>、</w:t>
      </w:r>
      <w:r>
        <w:rPr>
          <w:rFonts w:ascii="Arial" w:hAnsi="Arial" w:cs="Arial" w:eastAsia="Arial" w:hint="default"/>
          <w:spacing w:val="-1"/>
        </w:rPr>
        <w:t>45.1%</w:t>
      </w:r>
      <w:r>
        <w:rPr>
          <w:spacing w:val="-1"/>
        </w:rPr>
        <w:t>、</w:t>
      </w:r>
      <w:r>
        <w:rPr>
          <w:rFonts w:ascii="Arial" w:hAnsi="Arial" w:cs="Arial" w:eastAsia="Arial" w:hint="default"/>
          <w:spacing w:val="-1"/>
        </w:rPr>
        <w:t>46.8%</w:t>
      </w:r>
      <w:r>
        <w:rPr>
          <w:spacing w:val="-1"/>
        </w:rPr>
        <w:t>、</w:t>
      </w:r>
      <w:r>
        <w:rPr>
          <w:rFonts w:ascii="Arial" w:hAnsi="Arial" w:cs="Arial" w:eastAsia="Arial" w:hint="default"/>
          <w:spacing w:val="-1"/>
        </w:rPr>
        <w:t>48.3%</w:t>
      </w:r>
    </w:p>
    <w:p>
      <w:pPr>
        <w:pStyle w:val="BodyText"/>
        <w:tabs>
          <w:tab w:pos="5260" w:val="left" w:leader="none"/>
        </w:tabs>
        <w:spacing w:line="424" w:lineRule="auto" w:before="0"/>
        <w:ind w:left="1060" w:right="2457"/>
        <w:jc w:val="left"/>
      </w:pPr>
      <w:r>
        <w:rPr/>
        <w:t>期权有效期内的无风险利率：</w:t>
        <w:tab/>
      </w:r>
      <w:r>
        <w:rPr>
          <w:rFonts w:ascii="Arial" w:hAnsi="Arial" w:cs="Arial" w:eastAsia="Arial" w:hint="default"/>
        </w:rPr>
        <w:t>2.53%</w:t>
      </w:r>
      <w:r>
        <w:rPr/>
        <w:t>、</w:t>
      </w:r>
      <w:r>
        <w:rPr>
          <w:rFonts w:ascii="Arial" w:hAnsi="Arial" w:cs="Arial" w:eastAsia="Arial" w:hint="default"/>
        </w:rPr>
        <w:t>2.92%</w:t>
      </w:r>
      <w:r>
        <w:rPr/>
        <w:t>、</w:t>
      </w:r>
      <w:r>
        <w:rPr>
          <w:rFonts w:ascii="Arial" w:hAnsi="Arial" w:cs="Arial" w:eastAsia="Arial" w:hint="default"/>
        </w:rPr>
        <w:t>3.20%</w:t>
      </w:r>
      <w:r>
        <w:rPr/>
        <w:t>、</w:t>
      </w:r>
      <w:r>
        <w:rPr>
          <w:rFonts w:ascii="Arial" w:hAnsi="Arial" w:cs="Arial" w:eastAsia="Arial" w:hint="default"/>
        </w:rPr>
        <w:t>3.49%</w:t>
      </w:r>
      <w:r>
        <w:rPr>
          <w:rFonts w:ascii="Arial" w:hAnsi="Arial" w:cs="Arial" w:eastAsia="Arial" w:hint="default"/>
          <w:w w:val="99"/>
        </w:rPr>
        <w:t> </w:t>
      </w:r>
      <w:r>
        <w:rPr/>
        <w:t>根据以上参数计算得出的股票期权的公允价值为：约人民币</w:t>
      </w:r>
      <w:r>
        <w:rPr>
          <w:rFonts w:ascii="Arial" w:hAnsi="Arial" w:cs="Arial" w:eastAsia="Arial" w:hint="default"/>
        </w:rPr>
        <w:t>3.95</w:t>
      </w:r>
      <w:r>
        <w:rPr/>
        <w:t>亿元。 股份支付交易对财务状况和经营成果的影响</w:t>
      </w:r>
    </w:p>
    <w:p>
      <w:pPr>
        <w:spacing w:line="240" w:lineRule="auto" w:before="6"/>
        <w:rPr>
          <w:rFonts w:ascii="宋体" w:hAnsi="宋体" w:cs="宋体" w:eastAsia="宋体" w:hint="default"/>
          <w:sz w:val="12"/>
          <w:szCs w:val="12"/>
        </w:rPr>
      </w:pPr>
    </w:p>
    <w:tbl>
      <w:tblPr>
        <w:tblW w:w="0" w:type="auto"/>
        <w:jc w:val="left"/>
        <w:tblInd w:w="740" w:type="dxa"/>
        <w:tblLayout w:type="fixed"/>
        <w:tblCellMar>
          <w:top w:w="0" w:type="dxa"/>
          <w:left w:w="0" w:type="dxa"/>
          <w:bottom w:w="0" w:type="dxa"/>
          <w:right w:w="0" w:type="dxa"/>
        </w:tblCellMar>
        <w:tblLook w:val="01E0"/>
      </w:tblPr>
      <w:tblGrid>
        <w:gridCol w:w="5625"/>
        <w:gridCol w:w="3002"/>
      </w:tblGrid>
      <w:tr>
        <w:trPr>
          <w:trHeight w:val="282" w:hRule="exact"/>
        </w:trPr>
        <w:tc>
          <w:tcPr>
            <w:tcW w:w="5625"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57" w:lineRule="exact"/>
              <w:ind w:right="199"/>
              <w:jc w:val="right"/>
              <w:rPr>
                <w:rFonts w:ascii="宋体" w:hAnsi="宋体" w:cs="宋体" w:eastAsia="宋体" w:hint="default"/>
                <w:sz w:val="24"/>
                <w:szCs w:val="24"/>
              </w:rPr>
            </w:pPr>
            <w:r>
              <w:rPr>
                <w:rFonts w:ascii="Arial" w:hAnsi="Arial" w:cs="Arial" w:eastAsia="Arial" w:hint="default"/>
                <w:spacing w:val="-3"/>
                <w:w w:val="95"/>
                <w:sz w:val="24"/>
                <w:szCs w:val="24"/>
              </w:rPr>
              <w:t>2011</w:t>
            </w:r>
            <w:r>
              <w:rPr>
                <w:rFonts w:ascii="宋体" w:hAnsi="宋体" w:cs="宋体" w:eastAsia="宋体" w:hint="default"/>
                <w:spacing w:val="-3"/>
                <w:w w:val="95"/>
                <w:sz w:val="24"/>
                <w:szCs w:val="24"/>
              </w:rPr>
              <w:t>年度</w:t>
            </w:r>
          </w:p>
        </w:tc>
      </w:tr>
      <w:tr>
        <w:trPr>
          <w:trHeight w:val="312" w:hRule="exact"/>
        </w:trPr>
        <w:tc>
          <w:tcPr>
            <w:tcW w:w="5625" w:type="dxa"/>
            <w:tcBorders>
              <w:top w:val="nil" w:sz="6" w:space="0" w:color="auto"/>
              <w:left w:val="nil" w:sz="6" w:space="0" w:color="auto"/>
              <w:bottom w:val="nil" w:sz="6" w:space="0" w:color="auto"/>
              <w:right w:val="nil" w:sz="6" w:space="0" w:color="auto"/>
            </w:tcBorders>
          </w:tcPr>
          <w:p>
            <w:pPr>
              <w:pStyle w:val="TableParagraph"/>
              <w:spacing w:line="270" w:lineRule="exact"/>
              <w:ind w:left="200" w:right="0"/>
              <w:jc w:val="left"/>
              <w:rPr>
                <w:rFonts w:ascii="宋体" w:hAnsi="宋体" w:cs="宋体" w:eastAsia="宋体" w:hint="default"/>
                <w:sz w:val="24"/>
                <w:szCs w:val="24"/>
              </w:rPr>
            </w:pPr>
            <w:r>
              <w:rPr>
                <w:rFonts w:ascii="宋体" w:hAnsi="宋体" w:cs="宋体" w:eastAsia="宋体" w:hint="default"/>
                <w:sz w:val="24"/>
                <w:szCs w:val="24"/>
              </w:rPr>
              <w:t>当期因权益结算的股份支付而确认的费用总额</w:t>
            </w:r>
          </w:p>
        </w:tc>
        <w:tc>
          <w:tcPr>
            <w:tcW w:w="3002" w:type="dxa"/>
            <w:tcBorders>
              <w:top w:val="nil" w:sz="6" w:space="0" w:color="auto"/>
              <w:left w:val="nil" w:sz="6" w:space="0" w:color="auto"/>
              <w:bottom w:val="nil" w:sz="6" w:space="0" w:color="auto"/>
              <w:right w:val="nil" w:sz="6" w:space="0" w:color="auto"/>
            </w:tcBorders>
          </w:tcPr>
          <w:p>
            <w:pPr>
              <w:pStyle w:val="TableParagraph"/>
              <w:spacing w:line="287" w:lineRule="exact"/>
              <w:ind w:right="199"/>
              <w:jc w:val="right"/>
              <w:rPr>
                <w:rFonts w:ascii="宋体" w:hAnsi="宋体" w:cs="宋体" w:eastAsia="宋体" w:hint="default"/>
                <w:sz w:val="24"/>
                <w:szCs w:val="24"/>
              </w:rPr>
            </w:pPr>
            <w:r>
              <w:rPr>
                <w:rFonts w:ascii="宋体" w:hAnsi="宋体" w:cs="宋体" w:eastAsia="宋体" w:hint="default"/>
                <w:sz w:val="24"/>
                <w:szCs w:val="24"/>
              </w:rPr>
              <w:t>约人民币</w:t>
            </w:r>
            <w:r>
              <w:rPr>
                <w:rFonts w:ascii="Arial" w:hAnsi="Arial" w:cs="Arial" w:eastAsia="Arial" w:hint="default"/>
                <w:sz w:val="24"/>
                <w:szCs w:val="24"/>
              </w:rPr>
              <w:t>16,967</w:t>
            </w:r>
            <w:r>
              <w:rPr>
                <w:rFonts w:ascii="宋体" w:hAnsi="宋体" w:cs="宋体" w:eastAsia="宋体" w:hint="default"/>
                <w:sz w:val="24"/>
                <w:szCs w:val="24"/>
              </w:rPr>
              <w:t>万元</w:t>
            </w:r>
          </w:p>
        </w:tc>
      </w:tr>
      <w:tr>
        <w:trPr>
          <w:trHeight w:val="282" w:hRule="exact"/>
        </w:trPr>
        <w:tc>
          <w:tcPr>
            <w:tcW w:w="5625" w:type="dxa"/>
            <w:tcBorders>
              <w:top w:val="nil" w:sz="6" w:space="0" w:color="auto"/>
              <w:left w:val="nil" w:sz="6" w:space="0" w:color="auto"/>
              <w:bottom w:val="nil" w:sz="6" w:space="0" w:color="auto"/>
              <w:right w:val="nil" w:sz="6" w:space="0" w:color="auto"/>
            </w:tcBorders>
          </w:tcPr>
          <w:p>
            <w:pPr>
              <w:pStyle w:val="TableParagraph"/>
              <w:spacing w:line="270" w:lineRule="exact"/>
              <w:ind w:left="200" w:right="0"/>
              <w:jc w:val="left"/>
              <w:rPr>
                <w:rFonts w:ascii="宋体" w:hAnsi="宋体" w:cs="宋体" w:eastAsia="宋体" w:hint="default"/>
                <w:sz w:val="24"/>
                <w:szCs w:val="24"/>
              </w:rPr>
            </w:pPr>
            <w:r>
              <w:rPr>
                <w:rFonts w:ascii="宋体" w:hAnsi="宋体" w:cs="宋体" w:eastAsia="宋体" w:hint="default"/>
                <w:sz w:val="24"/>
                <w:szCs w:val="24"/>
              </w:rPr>
              <w:t>资本公积中以权益结算的股份支付的累计金额</w:t>
            </w:r>
          </w:p>
        </w:tc>
        <w:tc>
          <w:tcPr>
            <w:tcW w:w="3002" w:type="dxa"/>
            <w:tcBorders>
              <w:top w:val="nil" w:sz="6" w:space="0" w:color="auto"/>
              <w:left w:val="nil" w:sz="6" w:space="0" w:color="auto"/>
              <w:bottom w:val="nil" w:sz="6" w:space="0" w:color="auto"/>
              <w:right w:val="nil" w:sz="6" w:space="0" w:color="auto"/>
            </w:tcBorders>
          </w:tcPr>
          <w:p>
            <w:pPr>
              <w:pStyle w:val="TableParagraph"/>
              <w:spacing w:line="287" w:lineRule="exact"/>
              <w:ind w:right="199"/>
              <w:jc w:val="right"/>
              <w:rPr>
                <w:rFonts w:ascii="宋体" w:hAnsi="宋体" w:cs="宋体" w:eastAsia="宋体" w:hint="default"/>
                <w:sz w:val="24"/>
                <w:szCs w:val="24"/>
              </w:rPr>
            </w:pPr>
            <w:r>
              <w:rPr>
                <w:rFonts w:ascii="宋体" w:hAnsi="宋体" w:cs="宋体" w:eastAsia="宋体" w:hint="default"/>
                <w:w w:val="95"/>
                <w:sz w:val="24"/>
                <w:szCs w:val="24"/>
              </w:rPr>
              <w:t>约人民币</w:t>
            </w:r>
            <w:r>
              <w:rPr>
                <w:rFonts w:ascii="Arial" w:hAnsi="Arial" w:cs="Arial" w:eastAsia="Arial" w:hint="default"/>
                <w:w w:val="95"/>
                <w:sz w:val="24"/>
                <w:szCs w:val="24"/>
              </w:rPr>
              <w:t>18,666</w:t>
            </w:r>
            <w:r>
              <w:rPr>
                <w:rFonts w:ascii="宋体" w:hAnsi="宋体" w:cs="宋体" w:eastAsia="宋体" w:hint="default"/>
                <w:w w:val="95"/>
                <w:sz w:val="24"/>
                <w:szCs w:val="24"/>
              </w:rPr>
              <w:t>万元</w:t>
            </w:r>
          </w:p>
        </w:tc>
      </w:tr>
    </w:tbl>
    <w:p>
      <w:pPr>
        <w:spacing w:line="240" w:lineRule="auto" w:before="2"/>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768"/>
        <w:gridCol w:w="2505"/>
        <w:gridCol w:w="1690"/>
        <w:gridCol w:w="350"/>
        <w:gridCol w:w="1330"/>
        <w:gridCol w:w="295"/>
        <w:gridCol w:w="1371"/>
        <w:gridCol w:w="281"/>
        <w:gridCol w:w="1603"/>
      </w:tblGrid>
      <w:tr>
        <w:trPr>
          <w:trHeight w:val="591" w:hRule="exact"/>
        </w:trPr>
        <w:tc>
          <w:tcPr>
            <w:tcW w:w="10193" w:type="dxa"/>
            <w:gridSpan w:val="9"/>
            <w:tcBorders>
              <w:top w:val="nil" w:sz="6" w:space="0" w:color="auto"/>
              <w:left w:val="nil" w:sz="6" w:space="0" w:color="auto"/>
              <w:bottom w:val="nil" w:sz="6" w:space="0" w:color="auto"/>
              <w:right w:val="nil" w:sz="6" w:space="0" w:color="auto"/>
            </w:tcBorders>
          </w:tcPr>
          <w:p>
            <w:pPr>
              <w:pStyle w:val="TableParagraph"/>
              <w:spacing w:line="239" w:lineRule="exact"/>
              <w:ind w:left="908" w:right="0"/>
              <w:jc w:val="left"/>
              <w:rPr>
                <w:rFonts w:ascii="宋体" w:hAnsi="宋体" w:cs="宋体" w:eastAsia="宋体" w:hint="default"/>
                <w:sz w:val="24"/>
                <w:szCs w:val="24"/>
              </w:rPr>
            </w:pPr>
            <w:r>
              <w:rPr>
                <w:rFonts w:ascii="宋体" w:hAnsi="宋体" w:cs="宋体" w:eastAsia="宋体" w:hint="default"/>
                <w:spacing w:val="2"/>
                <w:sz w:val="24"/>
                <w:szCs w:val="24"/>
              </w:rPr>
              <w:t>于行权价格调整日，根据调整后的股票行权价格重新计算得出的股票期权公允价值接近</w:t>
            </w:r>
            <w:r>
              <w:rPr>
                <w:rFonts w:ascii="宋体" w:hAnsi="宋体" w:cs="宋体" w:eastAsia="宋体" w:hint="default"/>
                <w:sz w:val="24"/>
                <w:szCs w:val="24"/>
              </w:rPr>
            </w:r>
          </w:p>
          <w:p>
            <w:pPr>
              <w:pStyle w:val="TableParagraph"/>
              <w:spacing w:line="330" w:lineRule="exact"/>
              <w:ind w:left="908" w:right="0"/>
              <w:jc w:val="left"/>
              <w:rPr>
                <w:rFonts w:ascii="宋体" w:hAnsi="宋体" w:cs="宋体" w:eastAsia="宋体" w:hint="default"/>
                <w:sz w:val="24"/>
                <w:szCs w:val="24"/>
              </w:rPr>
            </w:pPr>
            <w:r>
              <w:rPr>
                <w:rFonts w:ascii="宋体" w:hAnsi="宋体" w:cs="宋体" w:eastAsia="宋体" w:hint="default"/>
                <w:sz w:val="24"/>
                <w:szCs w:val="24"/>
              </w:rPr>
              <w:t>根据原行权价格计算的公允价值。于</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年度，无实际行权的股票期权。</w:t>
            </w:r>
          </w:p>
        </w:tc>
      </w:tr>
      <w:tr>
        <w:trPr>
          <w:trHeight w:val="30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(33)</w:t>
            </w:r>
          </w:p>
        </w:tc>
        <w:tc>
          <w:tcPr>
            <w:tcW w:w="2505" w:type="dxa"/>
            <w:tcBorders>
              <w:top w:val="nil" w:sz="6" w:space="0" w:color="auto"/>
              <w:left w:val="nil" w:sz="6" w:space="0" w:color="auto"/>
              <w:bottom w:val="nil" w:sz="6" w:space="0" w:color="auto"/>
              <w:right w:val="nil" w:sz="6" w:space="0" w:color="auto"/>
            </w:tcBorders>
          </w:tcPr>
          <w:p>
            <w:pPr>
              <w:pStyle w:val="TableParagraph"/>
              <w:spacing w:line="273" w:lineRule="exact"/>
              <w:ind w:left="140" w:right="0"/>
              <w:jc w:val="left"/>
              <w:rPr>
                <w:rFonts w:ascii="宋体" w:hAnsi="宋体" w:cs="宋体" w:eastAsia="宋体" w:hint="default"/>
                <w:sz w:val="24"/>
                <w:szCs w:val="24"/>
              </w:rPr>
            </w:pPr>
            <w:r>
              <w:rPr>
                <w:rFonts w:ascii="宋体" w:hAnsi="宋体" w:cs="宋体" w:eastAsia="宋体" w:hint="default"/>
                <w:b/>
                <w:bCs/>
                <w:sz w:val="24"/>
                <w:szCs w:val="24"/>
              </w:rPr>
              <w:t>盈余公积</w:t>
            </w:r>
            <w:r>
              <w:rPr>
                <w:rFonts w:ascii="宋体" w:hAnsi="宋体" w:cs="宋体" w:eastAsia="宋体" w:hint="default"/>
                <w:sz w:val="24"/>
                <w:szCs w:val="24"/>
              </w:rPr>
            </w:r>
          </w:p>
        </w:tc>
        <w:tc>
          <w:tcPr>
            <w:tcW w:w="1690"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630" w:hRule="exact"/>
        </w:trPr>
        <w:tc>
          <w:tcPr>
            <w:tcW w:w="768"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84" w:lineRule="exact"/>
              <w:ind w:left="784"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42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67"/>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9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0"/>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8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84" w:lineRule="exact"/>
              <w:ind w:left="717"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34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30" w:hRule="exact"/>
        </w:trPr>
        <w:tc>
          <w:tcPr>
            <w:tcW w:w="768"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70" w:lineRule="exact"/>
              <w:ind w:left="14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690"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9"/>
              <w:jc w:val="right"/>
              <w:rPr>
                <w:rFonts w:ascii="Arial" w:hAnsi="Arial" w:cs="Arial" w:eastAsia="Arial" w:hint="default"/>
                <w:sz w:val="24"/>
                <w:szCs w:val="24"/>
              </w:rPr>
            </w:pPr>
            <w:r>
              <w:rPr>
                <w:rFonts w:ascii="Arial"/>
                <w:spacing w:val="-1"/>
                <w:sz w:val="24"/>
              </w:rPr>
              <w:t>746,529</w:t>
            </w:r>
          </w:p>
        </w:tc>
        <w:tc>
          <w:tcPr>
            <w:tcW w:w="3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7"/>
              <w:jc w:val="right"/>
              <w:rPr>
                <w:rFonts w:ascii="Arial" w:hAnsi="Arial" w:cs="Arial" w:eastAsia="Arial" w:hint="default"/>
                <w:sz w:val="24"/>
                <w:szCs w:val="24"/>
              </w:rPr>
            </w:pPr>
            <w:r>
              <w:rPr>
                <w:rFonts w:ascii="Arial"/>
                <w:spacing w:val="-1"/>
                <w:sz w:val="24"/>
              </w:rPr>
              <w:t>260,601</w:t>
            </w:r>
          </w:p>
        </w:tc>
        <w:tc>
          <w:tcPr>
            <w:tcW w:w="29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9"/>
              <w:jc w:val="right"/>
              <w:rPr>
                <w:rFonts w:ascii="Arial" w:hAnsi="Arial" w:cs="Arial" w:eastAsia="Arial" w:hint="default"/>
                <w:sz w:val="24"/>
                <w:szCs w:val="24"/>
              </w:rPr>
            </w:pPr>
            <w:r>
              <w:rPr>
                <w:rFonts w:ascii="Arial"/>
                <w:w w:val="99"/>
                <w:sz w:val="24"/>
              </w:rPr>
              <w:t>-</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7"/>
              <w:jc w:val="right"/>
              <w:rPr>
                <w:rFonts w:ascii="Arial" w:hAnsi="Arial" w:cs="Arial" w:eastAsia="Arial" w:hint="default"/>
                <w:sz w:val="24"/>
                <w:szCs w:val="24"/>
              </w:rPr>
            </w:pPr>
            <w:r>
              <w:rPr>
                <w:rFonts w:ascii="Arial"/>
                <w:spacing w:val="-1"/>
                <w:sz w:val="24"/>
              </w:rPr>
              <w:t>1,007,130</w:t>
            </w:r>
          </w:p>
        </w:tc>
      </w:tr>
      <w:tr>
        <w:trPr>
          <w:trHeight w:val="928" w:hRule="exact"/>
        </w:trPr>
        <w:tc>
          <w:tcPr>
            <w:tcW w:w="768"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
        </w:tc>
        <w:tc>
          <w:tcPr>
            <w:tcW w:w="1690" w:type="dxa"/>
            <w:tcBorders>
              <w:top w:val="single" w:sz="1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22" w:lineRule="exact"/>
              <w:ind w:left="784" w:right="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42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350" w:type="dxa"/>
            <w:tcBorders>
              <w:top w:val="nil" w:sz="6" w:space="0" w:color="auto"/>
              <w:left w:val="nil" w:sz="6" w:space="0" w:color="auto"/>
              <w:bottom w:val="nil" w:sz="6" w:space="0" w:color="auto"/>
              <w:right w:val="nil" w:sz="6" w:space="0" w:color="auto"/>
            </w:tcBorders>
          </w:tcPr>
          <w:p>
            <w:pPr/>
          </w:p>
        </w:tc>
        <w:tc>
          <w:tcPr>
            <w:tcW w:w="1330"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67"/>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95" w:type="dxa"/>
            <w:tcBorders>
              <w:top w:val="nil" w:sz="6" w:space="0" w:color="auto"/>
              <w:left w:val="nil" w:sz="6" w:space="0" w:color="auto"/>
              <w:bottom w:val="nil" w:sz="6" w:space="0" w:color="auto"/>
              <w:right w:val="nil" w:sz="6" w:space="0" w:color="auto"/>
            </w:tcBorders>
          </w:tcPr>
          <w:p>
            <w:pPr/>
          </w:p>
        </w:tc>
        <w:tc>
          <w:tcPr>
            <w:tcW w:w="1371"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70"/>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81" w:type="dxa"/>
            <w:tcBorders>
              <w:top w:val="nil" w:sz="6" w:space="0" w:color="auto"/>
              <w:left w:val="nil" w:sz="6" w:space="0" w:color="auto"/>
              <w:bottom w:val="nil" w:sz="6" w:space="0" w:color="auto"/>
              <w:right w:val="nil" w:sz="6" w:space="0" w:color="auto"/>
            </w:tcBorders>
          </w:tcPr>
          <w:p>
            <w:pPr/>
          </w:p>
        </w:tc>
        <w:tc>
          <w:tcPr>
            <w:tcW w:w="1603" w:type="dxa"/>
            <w:tcBorders>
              <w:top w:val="single" w:sz="17"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322" w:lineRule="exact"/>
              <w:ind w:left="70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340"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30" w:hRule="exact"/>
        </w:trPr>
        <w:tc>
          <w:tcPr>
            <w:tcW w:w="768"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70" w:lineRule="exact"/>
              <w:ind w:left="14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690"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9"/>
              <w:jc w:val="right"/>
              <w:rPr>
                <w:rFonts w:ascii="Arial" w:hAnsi="Arial" w:cs="Arial" w:eastAsia="Arial" w:hint="default"/>
                <w:sz w:val="24"/>
                <w:szCs w:val="24"/>
              </w:rPr>
            </w:pPr>
            <w:r>
              <w:rPr>
                <w:rFonts w:ascii="Arial"/>
                <w:spacing w:val="-1"/>
                <w:sz w:val="24"/>
              </w:rPr>
              <w:t>517,465</w:t>
            </w:r>
          </w:p>
        </w:tc>
        <w:tc>
          <w:tcPr>
            <w:tcW w:w="35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7"/>
              <w:jc w:val="right"/>
              <w:rPr>
                <w:rFonts w:ascii="Arial" w:hAnsi="Arial" w:cs="Arial" w:eastAsia="Arial" w:hint="default"/>
                <w:sz w:val="24"/>
                <w:szCs w:val="24"/>
              </w:rPr>
            </w:pPr>
            <w:r>
              <w:rPr>
                <w:rFonts w:ascii="Arial"/>
                <w:spacing w:val="-1"/>
                <w:sz w:val="24"/>
              </w:rPr>
              <w:t>229,064</w:t>
            </w:r>
          </w:p>
        </w:tc>
        <w:tc>
          <w:tcPr>
            <w:tcW w:w="29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9"/>
              <w:jc w:val="right"/>
              <w:rPr>
                <w:rFonts w:ascii="Arial" w:hAnsi="Arial" w:cs="Arial" w:eastAsia="Arial" w:hint="default"/>
                <w:sz w:val="24"/>
                <w:szCs w:val="24"/>
              </w:rPr>
            </w:pPr>
            <w:r>
              <w:rPr>
                <w:rFonts w:ascii="Arial"/>
                <w:w w:val="99"/>
                <w:sz w:val="24"/>
              </w:rPr>
              <w:t>-</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17" w:space="0" w:color="000000"/>
              <w:right w:val="nil" w:sz="6" w:space="0" w:color="auto"/>
            </w:tcBorders>
          </w:tcPr>
          <w:p>
            <w:pPr>
              <w:pStyle w:val="TableParagraph"/>
              <w:spacing w:line="240" w:lineRule="auto" w:before="30"/>
              <w:ind w:right="67"/>
              <w:jc w:val="right"/>
              <w:rPr>
                <w:rFonts w:ascii="Arial" w:hAnsi="Arial" w:cs="Arial" w:eastAsia="Arial" w:hint="default"/>
                <w:sz w:val="24"/>
                <w:szCs w:val="24"/>
              </w:rPr>
            </w:pPr>
            <w:r>
              <w:rPr>
                <w:rFonts w:ascii="Arial"/>
                <w:spacing w:val="-1"/>
                <w:sz w:val="24"/>
              </w:rPr>
              <w:t>746,529</w:t>
            </w:r>
          </w:p>
        </w:tc>
      </w:tr>
    </w:tbl>
    <w:p>
      <w:pPr>
        <w:spacing w:after="0" w:line="240" w:lineRule="auto"/>
        <w:jc w:val="right"/>
        <w:rPr>
          <w:rFonts w:ascii="Arial" w:hAnsi="Arial" w:cs="Arial" w:eastAsia="Arial" w:hint="default"/>
          <w:sz w:val="24"/>
          <w:szCs w:val="24"/>
        </w:rPr>
        <w:sectPr>
          <w:pgSz w:w="11910" w:h="16850"/>
          <w:pgMar w:header="754" w:footer="956" w:top="2240" w:bottom="1140" w:left="74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9610"/>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961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(33)</w:t>
            </w:r>
          </w:p>
        </w:tc>
        <w:tc>
          <w:tcPr>
            <w:tcW w:w="961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盈余公积</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1668" w:hRule="exact"/>
        </w:trPr>
        <w:tc>
          <w:tcPr>
            <w:tcW w:w="772" w:type="dxa"/>
            <w:tcBorders>
              <w:top w:val="nil" w:sz="6" w:space="0" w:color="auto"/>
              <w:left w:val="nil" w:sz="6" w:space="0" w:color="auto"/>
              <w:bottom w:val="nil" w:sz="6" w:space="0" w:color="auto"/>
              <w:right w:val="nil" w:sz="6" w:space="0" w:color="auto"/>
            </w:tcBorders>
          </w:tcPr>
          <w:p>
            <w:pPr/>
          </w:p>
        </w:tc>
        <w:tc>
          <w:tcPr>
            <w:tcW w:w="9610" w:type="dxa"/>
            <w:tcBorders>
              <w:top w:val="nil" w:sz="6" w:space="0" w:color="auto"/>
              <w:left w:val="nil" w:sz="6" w:space="0" w:color="auto"/>
              <w:bottom w:val="nil" w:sz="6" w:space="0" w:color="auto"/>
              <w:right w:val="nil" w:sz="6" w:space="0" w:color="auto"/>
            </w:tcBorders>
          </w:tcPr>
          <w:p>
            <w:pPr>
              <w:pStyle w:val="TableParagraph"/>
              <w:spacing w:line="225" w:lineRule="auto" w:before="111"/>
              <w:ind w:left="136" w:right="198"/>
              <w:jc w:val="left"/>
              <w:rPr>
                <w:rFonts w:ascii="宋体" w:hAnsi="宋体" w:cs="宋体" w:eastAsia="宋体" w:hint="default"/>
                <w:sz w:val="24"/>
                <w:szCs w:val="24"/>
              </w:rPr>
            </w:pPr>
            <w:r>
              <w:rPr>
                <w:rFonts w:ascii="宋体" w:hAnsi="宋体" w:cs="宋体" w:eastAsia="宋体" w:hint="default"/>
                <w:sz w:val="24"/>
                <w:szCs w:val="24"/>
              </w:rPr>
              <w:t>根据《中华人民共和国公司法》及本公司章程，本公司按年度净利润的</w:t>
            </w:r>
            <w:r>
              <w:rPr>
                <w:rFonts w:ascii="宋体" w:hAnsi="宋体" w:cs="宋体" w:eastAsia="宋体" w:hint="default"/>
                <w:spacing w:val="-70"/>
                <w:sz w:val="24"/>
                <w:szCs w:val="24"/>
              </w:rPr>
              <w:t> </w:t>
            </w:r>
            <w:r>
              <w:rPr>
                <w:rFonts w:ascii="Arial" w:hAnsi="Arial" w:cs="Arial" w:eastAsia="Arial" w:hint="default"/>
                <w:sz w:val="24"/>
                <w:szCs w:val="24"/>
              </w:rPr>
              <w:t>10%</w:t>
            </w:r>
            <w:r>
              <w:rPr>
                <w:rFonts w:ascii="宋体" w:hAnsi="宋体" w:cs="宋体" w:eastAsia="宋体" w:hint="default"/>
                <w:sz w:val="24"/>
                <w:szCs w:val="24"/>
              </w:rPr>
              <w:t>提取法定盈 余公积金，当法定盈余公积金累计额达到注册资本的</w:t>
            </w:r>
            <w:r>
              <w:rPr>
                <w:rFonts w:ascii="宋体" w:hAnsi="宋体" w:cs="宋体" w:eastAsia="宋体" w:hint="default"/>
                <w:spacing w:val="-71"/>
                <w:sz w:val="24"/>
                <w:szCs w:val="24"/>
              </w:rPr>
              <w:t> </w:t>
            </w:r>
            <w:r>
              <w:rPr>
                <w:rFonts w:ascii="Arial" w:hAnsi="Arial" w:cs="Arial" w:eastAsia="Arial" w:hint="default"/>
                <w:sz w:val="24"/>
                <w:szCs w:val="24"/>
              </w:rPr>
              <w:t>50%</w:t>
            </w:r>
            <w:r>
              <w:rPr>
                <w:rFonts w:ascii="宋体" w:hAnsi="宋体" w:cs="宋体" w:eastAsia="宋体" w:hint="default"/>
                <w:sz w:val="24"/>
                <w:szCs w:val="24"/>
              </w:rPr>
              <w:t>以上时，可不再提取。法定盈 余公积金经批准后可用于弥补亏损，或者增加股本。经董事会决议，本公司 </w:t>
            </w:r>
            <w:r>
              <w:rPr>
                <w:rFonts w:ascii="Arial" w:hAnsi="Arial" w:cs="Arial" w:eastAsia="Arial" w:hint="default"/>
                <w:spacing w:val="-6"/>
                <w:sz w:val="24"/>
                <w:szCs w:val="24"/>
              </w:rPr>
              <w:t>2011</w:t>
            </w:r>
            <w:r>
              <w:rPr>
                <w:rFonts w:ascii="Arial" w:hAnsi="Arial" w:cs="Arial" w:eastAsia="Arial" w:hint="default"/>
                <w:spacing w:val="51"/>
                <w:sz w:val="24"/>
                <w:szCs w:val="24"/>
              </w:rPr>
              <w:t> </w:t>
            </w:r>
            <w:r>
              <w:rPr>
                <w:rFonts w:ascii="宋体" w:hAnsi="宋体" w:cs="宋体" w:eastAsia="宋体" w:hint="default"/>
                <w:sz w:val="24"/>
                <w:szCs w:val="24"/>
              </w:rPr>
              <w:t>年按 净利润的</w:t>
            </w:r>
            <w:r>
              <w:rPr>
                <w:rFonts w:ascii="宋体" w:hAnsi="宋体" w:cs="宋体" w:eastAsia="宋体" w:hint="default"/>
                <w:spacing w:val="-63"/>
                <w:sz w:val="24"/>
                <w:szCs w:val="24"/>
              </w:rPr>
              <w:t> </w:t>
            </w:r>
            <w:r>
              <w:rPr>
                <w:rFonts w:ascii="Arial" w:hAnsi="Arial" w:cs="Arial" w:eastAsia="Arial" w:hint="default"/>
                <w:sz w:val="24"/>
                <w:szCs w:val="24"/>
              </w:rPr>
              <w:t>10%</w:t>
            </w:r>
            <w:r>
              <w:rPr>
                <w:rFonts w:ascii="宋体" w:hAnsi="宋体" w:cs="宋体" w:eastAsia="宋体" w:hint="default"/>
                <w:sz w:val="24"/>
                <w:szCs w:val="24"/>
              </w:rPr>
              <w:t>提取法定盈余公积金约人民币</w:t>
            </w:r>
            <w:r>
              <w:rPr>
                <w:rFonts w:ascii="宋体" w:hAnsi="宋体" w:cs="宋体" w:eastAsia="宋体" w:hint="default"/>
                <w:spacing w:val="-61"/>
                <w:sz w:val="24"/>
                <w:szCs w:val="24"/>
              </w:rPr>
              <w:t> </w:t>
            </w:r>
            <w:r>
              <w:rPr>
                <w:rFonts w:ascii="Arial" w:hAnsi="Arial" w:cs="Arial" w:eastAsia="Arial" w:hint="default"/>
                <w:sz w:val="24"/>
                <w:szCs w:val="24"/>
              </w:rPr>
              <w:t>2.61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pacing w:val="-5"/>
                <w:sz w:val="24"/>
                <w:szCs w:val="24"/>
              </w:rPr>
              <w:t>年：按净利润的</w:t>
            </w:r>
            <w:r>
              <w:rPr>
                <w:rFonts w:ascii="宋体" w:hAnsi="宋体" w:cs="宋体" w:eastAsia="宋体" w:hint="default"/>
                <w:spacing w:val="-62"/>
                <w:sz w:val="24"/>
                <w:szCs w:val="24"/>
              </w:rPr>
              <w:t> </w:t>
            </w:r>
            <w:r>
              <w:rPr>
                <w:rFonts w:ascii="Arial" w:hAnsi="Arial" w:cs="Arial" w:eastAsia="Arial" w:hint="default"/>
                <w:sz w:val="24"/>
                <w:szCs w:val="24"/>
              </w:rPr>
              <w:t>10%</w:t>
            </w:r>
            <w:r>
              <w:rPr>
                <w:rFonts w:ascii="宋体" w:hAnsi="宋体" w:cs="宋体" w:eastAsia="宋体" w:hint="default"/>
                <w:sz w:val="24"/>
                <w:szCs w:val="24"/>
              </w:rPr>
              <w:t>提取， 约人民币</w:t>
            </w:r>
            <w:r>
              <w:rPr>
                <w:rFonts w:ascii="宋体" w:hAnsi="宋体" w:cs="宋体" w:eastAsia="宋体" w:hint="default"/>
                <w:spacing w:val="-62"/>
                <w:sz w:val="24"/>
                <w:szCs w:val="24"/>
              </w:rPr>
              <w:t> </w:t>
            </w:r>
            <w:r>
              <w:rPr>
                <w:rFonts w:ascii="Arial" w:hAnsi="Arial" w:cs="Arial" w:eastAsia="Arial" w:hint="default"/>
                <w:sz w:val="24"/>
                <w:szCs w:val="24"/>
              </w:rPr>
              <w:t>2.29</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10"/>
        <w:rPr>
          <w:rFonts w:ascii="Times New Roman" w:hAnsi="Times New Roman" w:cs="Times New Roman" w:eastAsia="Times New Roman" w:hint="default"/>
          <w:sz w:val="25"/>
          <w:szCs w:val="25"/>
        </w:rPr>
      </w:pPr>
    </w:p>
    <w:tbl>
      <w:tblPr>
        <w:tblW w:w="0" w:type="auto"/>
        <w:jc w:val="left"/>
        <w:tblInd w:w="183" w:type="dxa"/>
        <w:tblLayout w:type="fixed"/>
        <w:tblCellMar>
          <w:top w:w="0" w:type="dxa"/>
          <w:left w:w="0" w:type="dxa"/>
          <w:bottom w:w="0" w:type="dxa"/>
          <w:right w:w="0" w:type="dxa"/>
        </w:tblCellMar>
        <w:tblLook w:val="01E0"/>
      </w:tblPr>
      <w:tblGrid>
        <w:gridCol w:w="716"/>
        <w:gridCol w:w="4010"/>
        <w:gridCol w:w="1351"/>
        <w:gridCol w:w="1390"/>
        <w:gridCol w:w="1225"/>
        <w:gridCol w:w="1650"/>
      </w:tblGrid>
      <w:tr>
        <w:trPr>
          <w:trHeight w:val="419"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(34)</w:t>
            </w:r>
          </w:p>
        </w:tc>
        <w:tc>
          <w:tcPr>
            <w:tcW w:w="4010" w:type="dxa"/>
            <w:tcBorders>
              <w:top w:val="nil" w:sz="6" w:space="0" w:color="auto"/>
              <w:left w:val="nil" w:sz="6" w:space="0" w:color="auto"/>
              <w:bottom w:val="nil" w:sz="6" w:space="0" w:color="auto"/>
              <w:right w:val="nil" w:sz="6" w:space="0" w:color="auto"/>
            </w:tcBorders>
          </w:tcPr>
          <w:p>
            <w:pPr>
              <w:pStyle w:val="TableParagraph"/>
              <w:spacing w:line="245" w:lineRule="exact"/>
              <w:ind w:left="87" w:right="0"/>
              <w:jc w:val="left"/>
              <w:rPr>
                <w:rFonts w:ascii="宋体" w:hAnsi="宋体" w:cs="宋体" w:eastAsia="宋体" w:hint="default"/>
                <w:sz w:val="24"/>
                <w:szCs w:val="24"/>
              </w:rPr>
            </w:pPr>
            <w:r>
              <w:rPr>
                <w:rFonts w:ascii="宋体" w:hAnsi="宋体" w:cs="宋体" w:eastAsia="宋体" w:hint="default"/>
                <w:b/>
                <w:bCs/>
                <w:sz w:val="24"/>
                <w:szCs w:val="24"/>
              </w:rPr>
              <w:t>未分配利润</w:t>
            </w:r>
            <w:r>
              <w:rPr>
                <w:rFonts w:ascii="宋体" w:hAnsi="宋体" w:cs="宋体" w:eastAsia="宋体" w:hint="default"/>
                <w:sz w:val="24"/>
                <w:szCs w:val="24"/>
              </w:rPr>
            </w:r>
          </w:p>
        </w:tc>
        <w:tc>
          <w:tcPr>
            <w:tcW w:w="135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461"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
        </w:tc>
        <w:tc>
          <w:tcPr>
            <w:tcW w:w="2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62"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8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70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761"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664"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90" w:type="dxa"/>
            <w:tcBorders>
              <w:top w:val="nil" w:sz="6" w:space="0" w:color="auto"/>
              <w:left w:val="nil" w:sz="6" w:space="0" w:color="auto"/>
              <w:bottom w:val="nil" w:sz="6" w:space="0" w:color="auto"/>
              <w:right w:val="nil" w:sz="6" w:space="0" w:color="auto"/>
            </w:tcBorders>
          </w:tcPr>
          <w:p>
            <w:pPr>
              <w:pStyle w:val="TableParagraph"/>
              <w:spacing w:line="274" w:lineRule="exact"/>
              <w:ind w:left="155" w:right="0" w:firstLine="240"/>
              <w:jc w:val="left"/>
              <w:rPr>
                <w:rFonts w:ascii="宋体" w:hAnsi="宋体" w:cs="宋体" w:eastAsia="宋体" w:hint="default"/>
                <w:sz w:val="24"/>
                <w:szCs w:val="24"/>
              </w:rPr>
            </w:pPr>
            <w:r>
              <w:rPr>
                <w:rFonts w:ascii="宋体" w:hAnsi="宋体" w:cs="宋体" w:eastAsia="宋体" w:hint="default"/>
                <w:sz w:val="24"/>
                <w:szCs w:val="24"/>
              </w:rPr>
              <w:t>提取或</w:t>
            </w:r>
          </w:p>
          <w:p>
            <w:pPr>
              <w:pStyle w:val="TableParagraph"/>
              <w:spacing w:line="313" w:lineRule="exact"/>
              <w:ind w:left="155" w:right="0"/>
              <w:jc w:val="left"/>
              <w:rPr>
                <w:rFonts w:ascii="宋体" w:hAnsi="宋体" w:cs="宋体" w:eastAsia="宋体" w:hint="default"/>
                <w:sz w:val="24"/>
                <w:szCs w:val="24"/>
              </w:rPr>
            </w:pPr>
            <w:r>
              <w:rPr>
                <w:rFonts w:ascii="宋体" w:hAnsi="宋体" w:cs="宋体" w:eastAsia="宋体" w:hint="default"/>
                <w:sz w:val="24"/>
                <w:szCs w:val="24"/>
              </w:rPr>
              <w:t>分配比例</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80"/>
              <w:jc w:val="right"/>
              <w:rPr>
                <w:rFonts w:ascii="宋体" w:hAnsi="宋体" w:cs="宋体" w:eastAsia="宋体" w:hint="default"/>
                <w:sz w:val="24"/>
                <w:szCs w:val="24"/>
              </w:rPr>
            </w:pPr>
            <w:r>
              <w:rPr>
                <w:rFonts w:ascii="宋体" w:hAnsi="宋体" w:cs="宋体" w:eastAsia="宋体" w:hint="default"/>
                <w:sz w:val="24"/>
                <w:szCs w:val="24"/>
              </w:rPr>
              <w:t>金额</w:t>
            </w:r>
          </w:p>
        </w:tc>
        <w:tc>
          <w:tcPr>
            <w:tcW w:w="1650" w:type="dxa"/>
            <w:tcBorders>
              <w:top w:val="nil" w:sz="6" w:space="0" w:color="auto"/>
              <w:left w:val="nil" w:sz="6" w:space="0" w:color="auto"/>
              <w:bottom w:val="nil" w:sz="6" w:space="0" w:color="auto"/>
              <w:right w:val="nil" w:sz="6" w:space="0" w:color="auto"/>
            </w:tcBorders>
          </w:tcPr>
          <w:p>
            <w:pPr>
              <w:pStyle w:val="TableParagraph"/>
              <w:spacing w:line="274" w:lineRule="exact"/>
              <w:ind w:left="376" w:right="0" w:firstLine="242"/>
              <w:jc w:val="left"/>
              <w:rPr>
                <w:rFonts w:ascii="宋体" w:hAnsi="宋体" w:cs="宋体" w:eastAsia="宋体" w:hint="default"/>
                <w:sz w:val="24"/>
                <w:szCs w:val="24"/>
              </w:rPr>
            </w:pPr>
            <w:r>
              <w:rPr>
                <w:rFonts w:ascii="宋体" w:hAnsi="宋体" w:cs="宋体" w:eastAsia="宋体" w:hint="default"/>
                <w:sz w:val="24"/>
                <w:szCs w:val="24"/>
              </w:rPr>
              <w:t>提取或</w:t>
            </w:r>
          </w:p>
          <w:p>
            <w:pPr>
              <w:pStyle w:val="TableParagraph"/>
              <w:spacing w:line="313" w:lineRule="exact"/>
              <w:ind w:left="376" w:right="0"/>
              <w:jc w:val="left"/>
              <w:rPr>
                <w:rFonts w:ascii="宋体" w:hAnsi="宋体" w:cs="宋体" w:eastAsia="宋体" w:hint="default"/>
                <w:sz w:val="24"/>
                <w:szCs w:val="24"/>
              </w:rPr>
            </w:pPr>
            <w:r>
              <w:rPr>
                <w:rFonts w:ascii="宋体" w:hAnsi="宋体" w:cs="宋体" w:eastAsia="宋体" w:hint="default"/>
                <w:sz w:val="24"/>
                <w:szCs w:val="24"/>
              </w:rPr>
              <w:t>分配比例</w:t>
            </w:r>
          </w:p>
        </w:tc>
      </w:tr>
      <w:tr>
        <w:trPr>
          <w:trHeight w:val="465"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95" w:right="0"/>
              <w:jc w:val="left"/>
              <w:rPr>
                <w:rFonts w:ascii="Arial" w:hAnsi="Arial" w:cs="Arial" w:eastAsia="Arial" w:hint="default"/>
                <w:sz w:val="24"/>
                <w:szCs w:val="24"/>
              </w:rPr>
            </w:pPr>
            <w:r>
              <w:rPr>
                <w:rFonts w:ascii="Arial"/>
                <w:sz w:val="24"/>
              </w:rPr>
              <w:t>9,932,866</w:t>
            </w:r>
          </w:p>
        </w:tc>
        <w:tc>
          <w:tcPr>
            <w:tcW w:w="139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5" w:right="0"/>
              <w:jc w:val="left"/>
              <w:rPr>
                <w:rFonts w:ascii="Arial" w:hAnsi="Arial" w:cs="Arial" w:eastAsia="Arial" w:hint="default"/>
                <w:sz w:val="24"/>
                <w:szCs w:val="24"/>
              </w:rPr>
            </w:pPr>
            <w:r>
              <w:rPr>
                <w:rFonts w:ascii="Arial"/>
                <w:sz w:val="24"/>
              </w:rPr>
              <w:t>6,383,317</w:t>
            </w:r>
          </w:p>
        </w:tc>
        <w:tc>
          <w:tcPr>
            <w:tcW w:w="1650" w:type="dxa"/>
            <w:tcBorders>
              <w:top w:val="nil" w:sz="6" w:space="0" w:color="auto"/>
              <w:left w:val="nil" w:sz="6" w:space="0" w:color="auto"/>
              <w:bottom w:val="nil" w:sz="6" w:space="0" w:color="auto"/>
              <w:right w:val="nil" w:sz="6" w:space="0" w:color="auto"/>
            </w:tcBorders>
          </w:tcPr>
          <w:p>
            <w:pPr/>
          </w:p>
        </w:tc>
      </w:tr>
      <w:tr>
        <w:trPr>
          <w:trHeight w:val="312"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4"/>
                <w:szCs w:val="24"/>
              </w:rPr>
            </w:pPr>
            <w:r>
              <w:rPr>
                <w:rFonts w:ascii="宋体" w:hAnsi="宋体" w:cs="宋体" w:eastAsia="宋体" w:hint="default"/>
                <w:sz w:val="24"/>
                <w:szCs w:val="24"/>
              </w:rPr>
              <w:t>加：本年归属于母公司股东的净利润</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5" w:right="0"/>
              <w:jc w:val="left"/>
              <w:rPr>
                <w:rFonts w:ascii="Arial" w:hAnsi="Arial" w:cs="Arial" w:eastAsia="Arial" w:hint="default"/>
                <w:sz w:val="24"/>
                <w:szCs w:val="24"/>
              </w:rPr>
            </w:pPr>
            <w:r>
              <w:rPr>
                <w:rFonts w:ascii="Arial"/>
                <w:sz w:val="24"/>
              </w:rPr>
              <w:t>4,820,594</w:t>
            </w:r>
          </w:p>
        </w:tc>
        <w:tc>
          <w:tcPr>
            <w:tcW w:w="139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4" w:right="0"/>
              <w:jc w:val="left"/>
              <w:rPr>
                <w:rFonts w:ascii="Arial" w:hAnsi="Arial" w:cs="Arial" w:eastAsia="Arial" w:hint="default"/>
                <w:sz w:val="24"/>
                <w:szCs w:val="24"/>
              </w:rPr>
            </w:pPr>
            <w:r>
              <w:rPr>
                <w:rFonts w:ascii="Arial"/>
                <w:spacing w:val="-3"/>
                <w:sz w:val="24"/>
              </w:rPr>
              <w:t>4,011,820</w:t>
            </w:r>
          </w:p>
        </w:tc>
        <w:tc>
          <w:tcPr>
            <w:tcW w:w="1650" w:type="dxa"/>
            <w:tcBorders>
              <w:top w:val="nil" w:sz="6" w:space="0" w:color="auto"/>
              <w:left w:val="nil" w:sz="6" w:space="0" w:color="auto"/>
              <w:bottom w:val="nil" w:sz="6" w:space="0" w:color="auto"/>
              <w:right w:val="nil" w:sz="6" w:space="0" w:color="auto"/>
            </w:tcBorders>
          </w:tcPr>
          <w:p>
            <w:pPr/>
          </w:p>
        </w:tc>
      </w:tr>
      <w:tr>
        <w:trPr>
          <w:trHeight w:val="450"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Style w:val="TableParagraph"/>
              <w:spacing w:line="261" w:lineRule="exact"/>
              <w:ind w:left="10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Arial" w:hAnsi="Arial" w:cs="Arial" w:eastAsia="Arial" w:hint="default"/>
                <w:sz w:val="24"/>
                <w:szCs w:val="24"/>
              </w:rPr>
            </w:pPr>
            <w:r>
              <w:rPr>
                <w:rFonts w:ascii="Arial"/>
                <w:spacing w:val="-1"/>
                <w:sz w:val="24"/>
              </w:rPr>
              <w:t>(260,601)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43" w:right="0"/>
              <w:jc w:val="left"/>
              <w:rPr>
                <w:rFonts w:ascii="Arial" w:hAnsi="Arial" w:cs="Arial" w:eastAsia="Arial" w:hint="default"/>
                <w:sz w:val="24"/>
                <w:szCs w:val="24"/>
              </w:rPr>
            </w:pPr>
            <w:r>
              <w:rPr>
                <w:rFonts w:ascii="Arial"/>
                <w:sz w:val="24"/>
              </w:rPr>
              <w:t>10%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2" w:right="0"/>
              <w:jc w:val="left"/>
              <w:rPr>
                <w:rFonts w:ascii="Arial" w:hAnsi="Arial" w:cs="Arial" w:eastAsia="Arial" w:hint="default"/>
                <w:sz w:val="24"/>
                <w:szCs w:val="24"/>
              </w:rPr>
            </w:pPr>
            <w:r>
              <w:rPr>
                <w:rFonts w:ascii="Arial"/>
                <w:sz w:val="24"/>
              </w:rPr>
              <w:t>(229,064)</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66" w:right="0"/>
              <w:jc w:val="left"/>
              <w:rPr>
                <w:rFonts w:ascii="Arial" w:hAnsi="Arial" w:cs="Arial" w:eastAsia="Arial" w:hint="default"/>
                <w:sz w:val="24"/>
                <w:szCs w:val="24"/>
              </w:rPr>
            </w:pPr>
            <w:r>
              <w:rPr>
                <w:rFonts w:ascii="Arial"/>
                <w:sz w:val="24"/>
              </w:rPr>
              <w:t>10%</w:t>
            </w:r>
          </w:p>
        </w:tc>
      </w:tr>
      <w:tr>
        <w:trPr>
          <w:trHeight w:val="767"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4"/>
                <w:szCs w:val="34"/>
              </w:rPr>
            </w:pPr>
          </w:p>
          <w:p>
            <w:pPr>
              <w:pStyle w:val="TableParagraph"/>
              <w:spacing w:line="240" w:lineRule="auto"/>
              <w:ind w:left="603"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287" w:val="left" w:leader="none"/>
              </w:tabs>
              <w:spacing w:line="240" w:lineRule="auto" w:before="195"/>
              <w:ind w:right="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(699,621)</w:t>
            </w:r>
            <w:r>
              <w:rPr>
                <w:rFonts w:ascii="Arial"/>
                <w:w w:val="95"/>
                <w:sz w:val="24"/>
              </w:rPr>
            </w:r>
            <w:r>
              <w:rPr>
                <w:rFonts w:ascii="Arial"/>
                <w:sz w:val="24"/>
              </w:rPr>
            </w:r>
          </w:p>
        </w:tc>
        <w:tc>
          <w:tcPr>
            <w:tcW w:w="1390" w:type="dxa"/>
            <w:tcBorders>
              <w:top w:val="nil" w:sz="6" w:space="0" w:color="auto"/>
              <w:left w:val="nil" w:sz="6" w:space="0" w:color="auto"/>
              <w:bottom w:val="nil" w:sz="6" w:space="0" w:color="auto"/>
              <w:right w:val="nil" w:sz="6" w:space="0" w:color="auto"/>
            </w:tcBorders>
          </w:tcPr>
          <w:p>
            <w:pPr>
              <w:pStyle w:val="TableParagraph"/>
              <w:spacing w:line="321" w:lineRule="exact" w:before="84"/>
              <w:ind w:left="193" w:right="0"/>
              <w:jc w:val="center"/>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w:t>
            </w:r>
          </w:p>
          <w:p>
            <w:pPr>
              <w:pStyle w:val="TableParagraph"/>
              <w:tabs>
                <w:tab w:pos="1552" w:val="left" w:leader="none"/>
              </w:tabs>
              <w:spacing w:line="321" w:lineRule="exact"/>
              <w:ind w:left="9" w:right="-163"/>
              <w:jc w:val="center"/>
              <w:rPr>
                <w:rFonts w:ascii="Arial" w:hAnsi="Arial" w:cs="Arial" w:eastAsia="Arial" w:hint="default"/>
                <w:sz w:val="24"/>
                <w:szCs w:val="24"/>
              </w:rPr>
            </w:pPr>
            <w:r>
              <w:rPr>
                <w:rFonts w:ascii="宋体" w:hAnsi="宋体" w:cs="宋体" w:eastAsia="宋体" w:hint="default"/>
                <w:position w:val="2"/>
                <w:sz w:val="24"/>
                <w:szCs w:val="24"/>
              </w:rPr>
              <w:t>人民币</w:t>
            </w:r>
            <w:r>
              <w:rPr>
                <w:rFonts w:ascii="宋体" w:hAnsi="宋体" w:cs="宋体" w:eastAsia="宋体" w:hint="default"/>
                <w:spacing w:val="-60"/>
                <w:position w:val="2"/>
                <w:sz w:val="24"/>
                <w:szCs w:val="24"/>
              </w:rPr>
              <w:t> </w:t>
            </w:r>
            <w:r>
              <w:rPr>
                <w:rFonts w:ascii="Arial" w:hAnsi="Arial" w:cs="Arial" w:eastAsia="Arial" w:hint="default"/>
                <w:position w:val="2"/>
                <w:sz w:val="24"/>
                <w:szCs w:val="24"/>
              </w:rPr>
              <w:t>1</w:t>
            </w:r>
            <w:r>
              <w:rPr>
                <w:rFonts w:ascii="Arial" w:hAnsi="Arial" w:cs="Arial" w:eastAsia="Arial" w:hint="default"/>
                <w:spacing w:val="-6"/>
                <w:position w:val="2"/>
                <w:sz w:val="24"/>
                <w:szCs w:val="24"/>
              </w:rPr>
              <w:t> </w:t>
            </w:r>
            <w:r>
              <w:rPr>
                <w:rFonts w:ascii="宋体" w:hAnsi="宋体" w:cs="宋体" w:eastAsia="宋体" w:hint="default"/>
                <w:position w:val="2"/>
                <w:sz w:val="24"/>
                <w:szCs w:val="24"/>
              </w:rPr>
              <w:t>元</w:t>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5"/>
              <w:ind w:left="162" w:right="0"/>
              <w:jc w:val="left"/>
              <w:rPr>
                <w:rFonts w:ascii="Arial" w:hAnsi="Arial" w:cs="Arial" w:eastAsia="Arial" w:hint="default"/>
                <w:sz w:val="24"/>
                <w:szCs w:val="24"/>
              </w:rPr>
            </w:pPr>
            <w:r>
              <w:rPr>
                <w:rFonts w:ascii="Arial"/>
                <w:w w:val="99"/>
                <w:sz w:val="24"/>
              </w:rPr>
            </w:r>
            <w:r>
              <w:rPr>
                <w:rFonts w:ascii="Arial"/>
                <w:sz w:val="24"/>
                <w:u w:val="single" w:color="000000"/>
              </w:rPr>
              <w:t>(233,207)</w:t>
            </w:r>
            <w:r>
              <w:rPr>
                <w:rFonts w:ascii="Arial"/>
                <w:sz w:val="24"/>
              </w:rPr>
            </w:r>
          </w:p>
        </w:tc>
        <w:tc>
          <w:tcPr>
            <w:tcW w:w="1650" w:type="dxa"/>
            <w:tcBorders>
              <w:top w:val="nil" w:sz="6" w:space="0" w:color="auto"/>
              <w:left w:val="nil" w:sz="6" w:space="0" w:color="auto"/>
              <w:bottom w:val="nil" w:sz="6" w:space="0" w:color="auto"/>
              <w:right w:val="nil" w:sz="6" w:space="0" w:color="auto"/>
            </w:tcBorders>
          </w:tcPr>
          <w:p>
            <w:pPr>
              <w:pStyle w:val="TableParagraph"/>
              <w:spacing w:line="322" w:lineRule="exact" w:before="84"/>
              <w:ind w:left="580"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w:t>
            </w:r>
          </w:p>
          <w:p>
            <w:pPr>
              <w:pStyle w:val="TableParagraph"/>
              <w:spacing w:line="322" w:lineRule="exact"/>
              <w:ind w:left="32"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0.5</w:t>
            </w:r>
            <w:r>
              <w:rPr>
                <w:rFonts w:ascii="Arial" w:hAnsi="Arial" w:cs="Arial" w:eastAsia="Arial" w:hint="default"/>
                <w:spacing w:val="-5"/>
                <w:sz w:val="24"/>
                <w:szCs w:val="24"/>
              </w:rPr>
              <w:t> </w:t>
            </w:r>
            <w:r>
              <w:rPr>
                <w:rFonts w:ascii="宋体" w:hAnsi="宋体" w:cs="宋体" w:eastAsia="宋体" w:hint="default"/>
                <w:sz w:val="24"/>
                <w:szCs w:val="24"/>
              </w:rPr>
              <w:t>元</w:t>
            </w:r>
          </w:p>
        </w:tc>
      </w:tr>
      <w:tr>
        <w:trPr>
          <w:trHeight w:val="296" w:hRule="exact"/>
        </w:trPr>
        <w:tc>
          <w:tcPr>
            <w:tcW w:w="716" w:type="dxa"/>
            <w:tcBorders>
              <w:top w:val="nil" w:sz="6" w:space="0" w:color="auto"/>
              <w:left w:val="nil" w:sz="6" w:space="0" w:color="auto"/>
              <w:bottom w:val="nil" w:sz="6" w:space="0" w:color="auto"/>
              <w:right w:val="nil" w:sz="6" w:space="0" w:color="auto"/>
            </w:tcBorders>
          </w:tcPr>
          <w:p>
            <w:pPr/>
          </w:p>
        </w:tc>
        <w:tc>
          <w:tcPr>
            <w:tcW w:w="4010" w:type="dxa"/>
            <w:tcBorders>
              <w:top w:val="nil" w:sz="6" w:space="0" w:color="auto"/>
              <w:left w:val="nil" w:sz="6" w:space="0" w:color="auto"/>
              <w:bottom w:val="nil" w:sz="6" w:space="0" w:color="auto"/>
              <w:right w:val="nil" w:sz="6" w:space="0" w:color="auto"/>
            </w:tcBorders>
          </w:tcPr>
          <w:p>
            <w:pPr>
              <w:pStyle w:val="TableParagraph"/>
              <w:spacing w:line="265" w:lineRule="exact"/>
              <w:ind w:left="60"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1351" w:type="dxa"/>
            <w:tcBorders>
              <w:top w:val="nil" w:sz="6" w:space="0" w:color="auto"/>
              <w:left w:val="nil" w:sz="6" w:space="0" w:color="auto"/>
              <w:bottom w:val="nil" w:sz="6" w:space="0" w:color="auto"/>
              <w:right w:val="nil" w:sz="6" w:space="0" w:color="auto"/>
            </w:tcBorders>
          </w:tcPr>
          <w:p>
            <w:pPr>
              <w:pStyle w:val="TableParagraph"/>
              <w:tabs>
                <w:tab w:pos="1363" w:val="left" w:leader="none"/>
              </w:tabs>
              <w:spacing w:line="240" w:lineRule="auto" w:before="25"/>
              <w:ind w:right="-22"/>
              <w:jc w:val="right"/>
              <w:rPr>
                <w:rFonts w:ascii="Arial" w:hAnsi="Arial" w:cs="Arial" w:eastAsia="Arial" w:hint="default"/>
                <w:sz w:val="24"/>
                <w:szCs w:val="24"/>
              </w:rPr>
            </w:pPr>
            <w:r>
              <w:rPr>
                <w:rFonts w:ascii="Arial"/>
                <w:w w:val="100"/>
                <w:sz w:val="24"/>
              </w:rPr>
            </w:r>
            <w:r>
              <w:rPr>
                <w:rFonts w:ascii="Arial"/>
                <w:spacing w:val="-14"/>
                <w:w w:val="100"/>
                <w:sz w:val="24"/>
                <w:u w:val="thick" w:color="000000"/>
              </w:rPr>
              <w:t> </w:t>
            </w:r>
            <w:r>
              <w:rPr>
                <w:rFonts w:ascii="Arial"/>
                <w:spacing w:val="-1"/>
                <w:sz w:val="24"/>
                <w:u w:val="thick" w:color="000000"/>
              </w:rPr>
              <w:t>13,793,238</w:t>
              <w:tab/>
            </w:r>
            <w:r>
              <w:rPr>
                <w:rFonts w:ascii="Arial"/>
                <w:spacing w:val="-1"/>
                <w:sz w:val="24"/>
              </w:rPr>
            </w:r>
          </w:p>
        </w:tc>
        <w:tc>
          <w:tcPr>
            <w:tcW w:w="1390"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25"/>
              <w:ind w:left="-181" w:right="-2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5"/>
                <w:sz w:val="24"/>
                <w:u w:val="thick" w:color="000000"/>
              </w:rPr>
              <w:t> </w:t>
            </w:r>
            <w:r>
              <w:rPr>
                <w:rFonts w:ascii="Arial"/>
                <w:spacing w:val="-1"/>
                <w:sz w:val="24"/>
                <w:u w:val="thick" w:color="000000"/>
              </w:rPr>
              <w:t>9,932,866</w:t>
              <w:tab/>
            </w:r>
            <w:r>
              <w:rPr>
                <w:rFonts w:ascii="Arial"/>
                <w:spacing w:val="-1"/>
                <w:sz w:val="24"/>
              </w:rPr>
            </w:r>
          </w:p>
        </w:tc>
        <w:tc>
          <w:tcPr>
            <w:tcW w:w="165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820" w:type="dxa"/>
        <w:tblLayout w:type="fixed"/>
        <w:tblCellMar>
          <w:top w:w="0" w:type="dxa"/>
          <w:left w:w="0" w:type="dxa"/>
          <w:bottom w:w="0" w:type="dxa"/>
          <w:right w:w="0" w:type="dxa"/>
        </w:tblCellMar>
        <w:tblLook w:val="01E0"/>
      </w:tblPr>
      <w:tblGrid>
        <w:gridCol w:w="9534"/>
      </w:tblGrid>
      <w:tr>
        <w:trPr>
          <w:trHeight w:val="1044"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pacing w:val="-6"/>
                <w:sz w:val="24"/>
                <w:szCs w:val="24"/>
              </w:rPr>
              <w:t>2011</w:t>
            </w:r>
            <w:r>
              <w:rPr>
                <w:rFonts w:ascii="Arial" w:hAnsi="Arial" w:cs="Arial" w:eastAsia="Arial" w:hint="default"/>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日，未分配利润中包含归属于母公司股东的子公司盈余公积余额约</w:t>
            </w:r>
          </w:p>
          <w:p>
            <w:pPr>
              <w:pStyle w:val="TableParagraph"/>
              <w:spacing w:line="312" w:lineRule="exact"/>
              <w:ind w:left="216"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9.84</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7"/>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7.02</w:t>
            </w:r>
            <w:r>
              <w:rPr>
                <w:rFonts w:ascii="Arial" w:hAnsi="Arial" w:cs="Arial" w:eastAsia="Arial" w:hint="default"/>
                <w:spacing w:val="-6"/>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w:t>
            </w:r>
            <w:r>
              <w:rPr>
                <w:rFonts w:ascii="宋体" w:hAnsi="宋体" w:cs="宋体" w:eastAsia="宋体" w:hint="default"/>
                <w:spacing w:val="-3"/>
                <w:sz w:val="24"/>
                <w:szCs w:val="24"/>
              </w:rPr>
              <w:t>，其中子公司本年度计提的</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归属于母公司股东的盈余公积约人民币</w:t>
            </w:r>
            <w:r>
              <w:rPr>
                <w:rFonts w:ascii="宋体" w:hAnsi="宋体" w:cs="宋体" w:eastAsia="宋体" w:hint="default"/>
                <w:spacing w:val="-61"/>
                <w:sz w:val="24"/>
                <w:szCs w:val="24"/>
              </w:rPr>
              <w:t> </w:t>
            </w:r>
            <w:r>
              <w:rPr>
                <w:rFonts w:ascii="Arial" w:hAnsi="Arial" w:cs="Arial" w:eastAsia="Arial" w:hint="default"/>
                <w:sz w:val="24"/>
                <w:szCs w:val="24"/>
              </w:rPr>
              <w:t>2.82</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年：约人民币</w:t>
            </w:r>
            <w:r>
              <w:rPr>
                <w:rFonts w:ascii="宋体" w:hAnsi="宋体" w:cs="宋体" w:eastAsia="宋体" w:hint="default"/>
                <w:spacing w:val="-61"/>
                <w:sz w:val="24"/>
                <w:szCs w:val="24"/>
              </w:rPr>
              <w:t> </w:t>
            </w:r>
            <w:r>
              <w:rPr>
                <w:rFonts w:ascii="Arial" w:hAnsi="Arial" w:cs="Arial" w:eastAsia="Arial" w:hint="default"/>
                <w:sz w:val="24"/>
                <w:szCs w:val="24"/>
              </w:rPr>
              <w:t>2.26</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519"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22" w:lineRule="exact" w:before="94"/>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Arial" w:hAnsi="Arial" w:cs="Arial" w:eastAsia="Arial" w:hint="default"/>
                <w:spacing w:val="-4"/>
                <w:sz w:val="24"/>
                <w:szCs w:val="24"/>
              </w:rPr>
              <w:t>2011</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4</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6</w:t>
            </w:r>
            <w:r>
              <w:rPr>
                <w:rFonts w:ascii="Arial" w:hAnsi="Arial" w:cs="Arial" w:eastAsia="Arial" w:hint="default"/>
                <w:spacing w:val="-12"/>
                <w:sz w:val="24"/>
                <w:szCs w:val="24"/>
              </w:rPr>
              <w:t> </w:t>
            </w:r>
            <w:r>
              <w:rPr>
                <w:rFonts w:ascii="宋体" w:hAnsi="宋体" w:cs="宋体" w:eastAsia="宋体" w:hint="default"/>
                <w:sz w:val="24"/>
                <w:szCs w:val="24"/>
              </w:rPr>
              <w:t>日召开的本公司</w:t>
            </w:r>
            <w:r>
              <w:rPr>
                <w:rFonts w:ascii="宋体" w:hAnsi="宋体" w:cs="宋体" w:eastAsia="宋体" w:hint="default"/>
                <w:spacing w:val="-66"/>
                <w:sz w:val="24"/>
                <w:szCs w:val="24"/>
              </w:rPr>
              <w:t> </w:t>
            </w:r>
            <w:r>
              <w:rPr>
                <w:rFonts w:ascii="Arial" w:hAnsi="Arial" w:cs="Arial" w:eastAsia="Arial" w:hint="default"/>
                <w:sz w:val="24"/>
                <w:szCs w:val="24"/>
              </w:rPr>
              <w:t>2010</w:t>
            </w:r>
            <w:r>
              <w:rPr>
                <w:rFonts w:ascii="Arial" w:hAnsi="Arial" w:cs="Arial" w:eastAsia="Arial" w:hint="default"/>
                <w:spacing w:val="-12"/>
                <w:sz w:val="24"/>
                <w:szCs w:val="24"/>
              </w:rPr>
              <w:t> </w:t>
            </w:r>
            <w:r>
              <w:rPr>
                <w:rFonts w:ascii="宋体" w:hAnsi="宋体" w:cs="宋体" w:eastAsia="宋体" w:hint="default"/>
                <w:sz w:val="24"/>
                <w:szCs w:val="24"/>
              </w:rPr>
              <w:t>年年度股东大会批准了董事会提议的</w:t>
            </w:r>
            <w:r>
              <w:rPr>
                <w:rFonts w:ascii="宋体" w:hAnsi="宋体" w:cs="宋体" w:eastAsia="宋体" w:hint="default"/>
                <w:spacing w:val="-65"/>
                <w:sz w:val="24"/>
                <w:szCs w:val="24"/>
              </w:rPr>
              <w:t> </w:t>
            </w:r>
            <w:r>
              <w:rPr>
                <w:rFonts w:ascii="Arial" w:hAnsi="Arial" w:cs="Arial" w:eastAsia="Arial" w:hint="default"/>
                <w:sz w:val="24"/>
                <w:szCs w:val="24"/>
              </w:rPr>
              <w:t>2010</w:t>
            </w:r>
            <w:r>
              <w:rPr>
                <w:rFonts w:ascii="Arial" w:hAnsi="Arial" w:cs="Arial" w:eastAsia="Arial" w:hint="default"/>
                <w:spacing w:val="-12"/>
                <w:sz w:val="24"/>
                <w:szCs w:val="24"/>
              </w:rPr>
              <w:t> </w:t>
            </w:r>
            <w:r>
              <w:rPr>
                <w:rFonts w:ascii="宋体" w:hAnsi="宋体" w:cs="宋体" w:eastAsia="宋体" w:hint="default"/>
                <w:sz w:val="24"/>
                <w:szCs w:val="24"/>
              </w:rPr>
              <w:t>年度</w:t>
            </w:r>
          </w:p>
          <w:p>
            <w:pPr>
              <w:pStyle w:val="TableParagraph"/>
              <w:spacing w:line="312" w:lineRule="exact"/>
              <w:ind w:left="216" w:right="0"/>
              <w:jc w:val="left"/>
              <w:rPr>
                <w:rFonts w:ascii="宋体" w:hAnsi="宋体" w:cs="宋体" w:eastAsia="宋体" w:hint="default"/>
                <w:sz w:val="24"/>
                <w:szCs w:val="24"/>
              </w:rPr>
            </w:pPr>
            <w:r>
              <w:rPr>
                <w:rFonts w:ascii="宋体" w:hAnsi="宋体" w:cs="宋体" w:eastAsia="宋体" w:hint="default"/>
                <w:sz w:val="24"/>
                <w:szCs w:val="24"/>
              </w:rPr>
              <w:t>现金股利方案，本公司以现有总股本 </w:t>
            </w:r>
            <w:r>
              <w:rPr>
                <w:rFonts w:ascii="Arial" w:hAnsi="Arial" w:cs="Arial" w:eastAsia="Arial" w:hint="default"/>
                <w:sz w:val="24"/>
                <w:szCs w:val="24"/>
              </w:rPr>
              <w:t>6,996,211,866 </w:t>
            </w:r>
            <w:r>
              <w:rPr>
                <w:rFonts w:ascii="宋体" w:hAnsi="宋体" w:cs="宋体" w:eastAsia="宋体" w:hint="default"/>
                <w:sz w:val="24"/>
                <w:szCs w:val="24"/>
              </w:rPr>
              <w:t>股为基数，向全体股东每 </w:t>
            </w:r>
            <w:r>
              <w:rPr>
                <w:rFonts w:ascii="Arial" w:hAnsi="Arial" w:cs="Arial" w:eastAsia="Arial" w:hint="default"/>
                <w:sz w:val="24"/>
                <w:szCs w:val="24"/>
              </w:rPr>
              <w:t>10</w:t>
            </w:r>
            <w:r>
              <w:rPr>
                <w:rFonts w:ascii="Arial" w:hAnsi="Arial" w:cs="Arial" w:eastAsia="Arial" w:hint="default"/>
                <w:spacing w:val="-29"/>
                <w:sz w:val="24"/>
                <w:szCs w:val="24"/>
              </w:rPr>
              <w:t> </w:t>
            </w:r>
            <w:r>
              <w:rPr>
                <w:rFonts w:ascii="宋体" w:hAnsi="宋体" w:cs="宋体" w:eastAsia="宋体" w:hint="default"/>
                <w:sz w:val="24"/>
                <w:szCs w:val="24"/>
              </w:rPr>
              <w:t>股派</w:t>
            </w:r>
          </w:p>
          <w:p>
            <w:pPr>
              <w:pStyle w:val="TableParagraph"/>
              <w:spacing w:line="312" w:lineRule="exact"/>
              <w:ind w:left="216" w:right="0"/>
              <w:jc w:val="left"/>
              <w:rPr>
                <w:rFonts w:ascii="Arial" w:hAnsi="Arial" w:cs="Arial" w:eastAsia="Arial" w:hint="default"/>
                <w:sz w:val="24"/>
                <w:szCs w:val="24"/>
              </w:rPr>
            </w:pPr>
            <w:r>
              <w:rPr>
                <w:rFonts w:ascii="宋体" w:hAnsi="宋体" w:cs="宋体" w:eastAsia="宋体" w:hint="default"/>
                <w:sz w:val="24"/>
                <w:szCs w:val="24"/>
              </w:rPr>
              <w:t>发现金股利</w:t>
            </w:r>
            <w:r>
              <w:rPr>
                <w:rFonts w:ascii="宋体" w:hAnsi="宋体" w:cs="宋体" w:eastAsia="宋体" w:hint="default"/>
                <w:spacing w:val="-64"/>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元人民币</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，共派发现金股利约人民币</w:t>
            </w:r>
            <w:r>
              <w:rPr>
                <w:rFonts w:ascii="宋体" w:hAnsi="宋体" w:cs="宋体" w:eastAsia="宋体" w:hint="default"/>
                <w:spacing w:val="-63"/>
                <w:sz w:val="24"/>
                <w:szCs w:val="24"/>
              </w:rPr>
              <w:t> </w:t>
            </w:r>
            <w:r>
              <w:rPr>
                <w:rFonts w:ascii="Arial" w:hAnsi="Arial" w:cs="Arial" w:eastAsia="Arial" w:hint="default"/>
                <w:sz w:val="24"/>
                <w:szCs w:val="24"/>
              </w:rPr>
              <w:t>6.99</w:t>
            </w:r>
            <w:r>
              <w:rPr>
                <w:rFonts w:ascii="Arial" w:hAnsi="Arial" w:cs="Arial" w:eastAsia="Arial" w:hint="default"/>
                <w:spacing w:val="-9"/>
                <w:sz w:val="24"/>
                <w:szCs w:val="24"/>
              </w:rPr>
              <w:t> </w:t>
            </w:r>
            <w:r>
              <w:rPr>
                <w:rFonts w:ascii="宋体" w:hAnsi="宋体" w:cs="宋体" w:eastAsia="宋体" w:hint="default"/>
                <w:spacing w:val="-7"/>
                <w:sz w:val="24"/>
                <w:szCs w:val="24"/>
              </w:rPr>
              <w:t>亿元。于</w:t>
            </w:r>
            <w:r>
              <w:rPr>
                <w:rFonts w:ascii="宋体" w:hAnsi="宋体" w:cs="宋体" w:eastAsia="宋体" w:hint="default"/>
                <w:spacing w:val="-63"/>
                <w:sz w:val="24"/>
                <w:szCs w:val="24"/>
              </w:rPr>
              <w:t> </w:t>
            </w:r>
            <w:r>
              <w:rPr>
                <w:rFonts w:ascii="Arial" w:hAnsi="Arial" w:cs="Arial" w:eastAsia="Arial" w:hint="default"/>
                <w:spacing w:val="-5"/>
                <w:sz w:val="24"/>
                <w:szCs w:val="24"/>
              </w:rPr>
              <w:t>2011</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5</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pacing w:val="-19"/>
                <w:sz w:val="24"/>
                <w:szCs w:val="24"/>
              </w:rPr>
              <w:t>11</w:t>
            </w:r>
            <w:r>
              <w:rPr>
                <w:rFonts w:ascii="Arial" w:hAnsi="Arial" w:cs="Arial" w:eastAsia="Arial" w:hint="default"/>
                <w:sz w:val="24"/>
                <w:szCs w:val="24"/>
              </w:rPr>
            </w:r>
          </w:p>
          <w:p>
            <w:pPr>
              <w:pStyle w:val="TableParagraph"/>
              <w:spacing w:line="304" w:lineRule="exact"/>
              <w:ind w:left="216" w:right="0"/>
              <w:jc w:val="left"/>
              <w:rPr>
                <w:rFonts w:ascii="宋体" w:hAnsi="宋体" w:cs="宋体" w:eastAsia="宋体" w:hint="default"/>
                <w:sz w:val="24"/>
                <w:szCs w:val="24"/>
              </w:rPr>
            </w:pPr>
            <w:r>
              <w:rPr>
                <w:rFonts w:ascii="宋体" w:hAnsi="宋体" w:cs="宋体" w:eastAsia="宋体" w:hint="default"/>
                <w:sz w:val="24"/>
                <w:szCs w:val="24"/>
              </w:rPr>
              <w:t>日，现金股利派发完成。</w:t>
            </w:r>
          </w:p>
        </w:tc>
      </w:tr>
      <w:tr>
        <w:trPr>
          <w:trHeight w:val="1638" w:hRule="exact"/>
        </w:trPr>
        <w:tc>
          <w:tcPr>
            <w:tcW w:w="9534"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200"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35"/>
                <w:sz w:val="24"/>
                <w:szCs w:val="24"/>
              </w:rPr>
              <w:t> </w:t>
            </w:r>
            <w:r>
              <w:rPr>
                <w:rFonts w:ascii="Arial" w:hAnsi="Arial" w:cs="Arial" w:eastAsia="Arial" w:hint="default"/>
                <w:sz w:val="24"/>
                <w:szCs w:val="24"/>
              </w:rPr>
              <w:t>2012</w:t>
            </w:r>
            <w:r>
              <w:rPr>
                <w:rFonts w:ascii="Arial" w:hAnsi="Arial" w:cs="Arial" w:eastAsia="Arial" w:hint="default"/>
                <w:spacing w:val="20"/>
                <w:sz w:val="24"/>
                <w:szCs w:val="24"/>
              </w:rPr>
              <w:t> </w:t>
            </w:r>
            <w:r>
              <w:rPr>
                <w:rFonts w:ascii="宋体" w:hAnsi="宋体" w:cs="宋体" w:eastAsia="宋体" w:hint="default"/>
                <w:sz w:val="24"/>
                <w:szCs w:val="24"/>
              </w:rPr>
              <w:t>年</w:t>
            </w:r>
            <w:r>
              <w:rPr>
                <w:rFonts w:ascii="宋体" w:hAnsi="宋体" w:cs="宋体" w:eastAsia="宋体" w:hint="default"/>
                <w:spacing w:val="-37"/>
                <w:sz w:val="24"/>
                <w:szCs w:val="24"/>
              </w:rPr>
              <w:t> </w:t>
            </w:r>
            <w:r>
              <w:rPr>
                <w:rFonts w:ascii="Arial" w:hAnsi="Arial" w:cs="Arial" w:eastAsia="Arial" w:hint="default"/>
                <w:sz w:val="24"/>
                <w:szCs w:val="24"/>
              </w:rPr>
              <w:t>3</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37"/>
                <w:sz w:val="24"/>
                <w:szCs w:val="24"/>
              </w:rPr>
              <w:t> </w:t>
            </w:r>
            <w:r>
              <w:rPr>
                <w:rFonts w:ascii="Arial" w:hAnsi="Arial" w:cs="Arial" w:eastAsia="Arial" w:hint="default"/>
                <w:sz w:val="24"/>
                <w:szCs w:val="24"/>
              </w:rPr>
              <w:t>29</w:t>
            </w:r>
            <w:r>
              <w:rPr>
                <w:rFonts w:ascii="Arial" w:hAnsi="Arial" w:cs="Arial" w:eastAsia="Arial" w:hint="default"/>
                <w:spacing w:val="17"/>
                <w:sz w:val="24"/>
                <w:szCs w:val="24"/>
              </w:rPr>
              <w:t> </w:t>
            </w:r>
            <w:r>
              <w:rPr>
                <w:rFonts w:ascii="宋体" w:hAnsi="宋体" w:cs="宋体" w:eastAsia="宋体" w:hint="default"/>
                <w:sz w:val="24"/>
                <w:szCs w:val="24"/>
              </w:rPr>
              <w:t>日董事会决议，董事会提议本公司向全体股东派发现金股利，每</w:t>
            </w:r>
          </w:p>
          <w:p>
            <w:pPr>
              <w:pStyle w:val="TableParagraph"/>
              <w:spacing w:line="312" w:lineRule="exact"/>
              <w:ind w:left="216" w:right="0"/>
              <w:jc w:val="lef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2"/>
                <w:sz w:val="24"/>
                <w:szCs w:val="24"/>
              </w:rPr>
              <w:t> </w:t>
            </w:r>
            <w:r>
              <w:rPr>
                <w:rFonts w:ascii="宋体" w:hAnsi="宋体" w:cs="宋体" w:eastAsia="宋体" w:hint="default"/>
                <w:sz w:val="24"/>
                <w:szCs w:val="24"/>
              </w:rPr>
              <w:t>股派发现金股利</w:t>
            </w:r>
            <w:r>
              <w:rPr>
                <w:rFonts w:ascii="宋体" w:hAnsi="宋体" w:cs="宋体" w:eastAsia="宋体" w:hint="default"/>
                <w:spacing w:val="-55"/>
                <w:sz w:val="24"/>
                <w:szCs w:val="24"/>
              </w:rPr>
              <w:t> </w:t>
            </w:r>
            <w:r>
              <w:rPr>
                <w:rFonts w:ascii="Arial" w:hAnsi="Arial" w:cs="Arial" w:eastAsia="Arial" w:hint="default"/>
                <w:sz w:val="24"/>
                <w:szCs w:val="24"/>
              </w:rPr>
              <w:t>1.5</w:t>
            </w:r>
            <w:r>
              <w:rPr>
                <w:rFonts w:ascii="Arial" w:hAnsi="Arial" w:cs="Arial" w:eastAsia="Arial" w:hint="default"/>
                <w:spacing w:val="-2"/>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55"/>
                <w:sz w:val="24"/>
                <w:szCs w:val="24"/>
              </w:rPr>
              <w:t> </w:t>
            </w:r>
            <w:r>
              <w:rPr>
                <w:rFonts w:ascii="Arial" w:hAnsi="Arial" w:cs="Arial" w:eastAsia="Arial" w:hint="default"/>
                <w:sz w:val="24"/>
                <w:szCs w:val="24"/>
              </w:rPr>
              <w:t>6,996,211,866 </w:t>
            </w:r>
            <w:r>
              <w:rPr>
                <w:rFonts w:ascii="宋体" w:hAnsi="宋体" w:cs="宋体" w:eastAsia="宋体" w:hint="default"/>
                <w:sz w:val="24"/>
                <w:szCs w:val="24"/>
              </w:rPr>
              <w:t>股为基数，拟派发现金</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股利共计约人民币</w:t>
            </w:r>
            <w:r>
              <w:rPr>
                <w:rFonts w:ascii="宋体" w:hAnsi="宋体" w:cs="宋体" w:eastAsia="宋体" w:hint="default"/>
                <w:spacing w:val="-62"/>
                <w:sz w:val="24"/>
                <w:szCs w:val="24"/>
              </w:rPr>
              <w:t> </w:t>
            </w:r>
            <w:r>
              <w:rPr>
                <w:rFonts w:ascii="Arial" w:hAnsi="Arial" w:cs="Arial" w:eastAsia="Arial" w:hint="default"/>
                <w:sz w:val="24"/>
                <w:szCs w:val="24"/>
              </w:rPr>
              <w:t>10.5</w:t>
            </w:r>
            <w:r>
              <w:rPr>
                <w:rFonts w:ascii="Arial" w:hAnsi="Arial" w:cs="Arial" w:eastAsia="Arial" w:hint="default"/>
                <w:spacing w:val="-8"/>
                <w:sz w:val="24"/>
                <w:szCs w:val="24"/>
              </w:rPr>
              <w:t> </w:t>
            </w:r>
            <w:r>
              <w:rPr>
                <w:rFonts w:ascii="宋体" w:hAnsi="宋体" w:cs="宋体" w:eastAsia="宋体" w:hint="default"/>
                <w:sz w:val="24"/>
                <w:szCs w:val="24"/>
              </w:rPr>
              <w:t>亿元。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上述提议尚待股东大会批准</w:t>
            </w:r>
            <w:r>
              <w:rPr>
                <w:rFonts w:ascii="Arial" w:hAnsi="Arial" w:cs="Arial" w:eastAsia="Arial" w:hint="default"/>
                <w:sz w:val="24"/>
                <w:szCs w:val="24"/>
              </w:rPr>
              <w:t>(</w:t>
            </w:r>
            <w:r>
              <w:rPr>
                <w:rFonts w:ascii="宋体" w:hAnsi="宋体" w:cs="宋体" w:eastAsia="宋体" w:hint="default"/>
                <w:sz w:val="24"/>
                <w:szCs w:val="24"/>
              </w:rPr>
              <w:t>附注九</w:t>
            </w:r>
            <w:r>
              <w:rPr>
                <w:rFonts w:ascii="Arial" w:hAnsi="Arial" w:cs="Arial" w:eastAsia="Arial" w:hint="default"/>
                <w:sz w:val="24"/>
                <w:szCs w:val="24"/>
              </w:rPr>
              <w:t>(2))</w:t>
            </w:r>
            <w:r>
              <w:rPr>
                <w:rFonts w:ascii="宋体" w:hAnsi="宋体" w:cs="宋体" w:eastAsia="宋体" w:hint="default"/>
                <w:sz w:val="24"/>
                <w:szCs w:val="24"/>
              </w:rPr>
              <w:t>，不确认为</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日的负债。</w:t>
            </w:r>
          </w:p>
        </w:tc>
      </w:tr>
    </w:tbl>
    <w:p>
      <w:pPr>
        <w:spacing w:after="0" w:line="240" w:lineRule="auto"/>
        <w:jc w:val="left"/>
        <w:rPr>
          <w:rFonts w:ascii="宋体" w:hAnsi="宋体" w:cs="宋体" w:eastAsia="宋体" w:hint="default"/>
          <w:sz w:val="24"/>
          <w:szCs w:val="24"/>
        </w:rPr>
        <w:sectPr>
          <w:pgSz w:w="11910" w:h="16850"/>
          <w:pgMar w:header="754" w:footer="956" w:top="2240" w:bottom="1140" w:left="7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3917"/>
        <w:gridCol w:w="2350"/>
        <w:gridCol w:w="698"/>
        <w:gridCol w:w="2420"/>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917"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2"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350" w:type="dxa"/>
            <w:tcBorders>
              <w:top w:val="single" w:sz="6" w:space="0" w:color="000000"/>
              <w:left w:val="nil" w:sz="6" w:space="0" w:color="auto"/>
              <w:bottom w:val="nil" w:sz="6" w:space="0" w:color="auto"/>
              <w:right w:val="nil" w:sz="6" w:space="0" w:color="auto"/>
            </w:tcBorders>
          </w:tcPr>
          <w:p>
            <w:pPr/>
          </w:p>
        </w:tc>
        <w:tc>
          <w:tcPr>
            <w:tcW w:w="698" w:type="dxa"/>
            <w:tcBorders>
              <w:top w:val="single" w:sz="6" w:space="0" w:color="000000"/>
              <w:left w:val="nil" w:sz="6" w:space="0" w:color="auto"/>
              <w:bottom w:val="nil" w:sz="6" w:space="0" w:color="auto"/>
              <w:right w:val="nil" w:sz="6" w:space="0" w:color="auto"/>
            </w:tcBorders>
          </w:tcPr>
          <w:p>
            <w:pPr/>
          </w:p>
        </w:tc>
        <w:tc>
          <w:tcPr>
            <w:tcW w:w="2420"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(35)</w:t>
            </w:r>
          </w:p>
        </w:tc>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2" w:right="0"/>
              <w:jc w:val="left"/>
              <w:rPr>
                <w:rFonts w:ascii="宋体" w:hAnsi="宋体" w:cs="宋体" w:eastAsia="宋体" w:hint="default"/>
                <w:sz w:val="24"/>
                <w:szCs w:val="24"/>
              </w:rPr>
            </w:pPr>
            <w:r>
              <w:rPr>
                <w:rFonts w:ascii="宋体" w:hAnsi="宋体" w:cs="宋体" w:eastAsia="宋体" w:hint="default"/>
                <w:b/>
                <w:bCs/>
                <w:sz w:val="24"/>
                <w:szCs w:val="24"/>
              </w:rPr>
              <w:t>少数股东权益</w:t>
            </w:r>
            <w:r>
              <w:rPr>
                <w:rFonts w:ascii="宋体" w:hAnsi="宋体" w:cs="宋体" w:eastAsia="宋体" w:hint="default"/>
                <w:sz w:val="24"/>
                <w:szCs w:val="24"/>
              </w:rPr>
            </w:r>
          </w:p>
        </w:tc>
        <w:tc>
          <w:tcPr>
            <w:tcW w:w="2350"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62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22" w:right="0"/>
              <w:jc w:val="left"/>
              <w:rPr>
                <w:rFonts w:ascii="宋体" w:hAnsi="宋体" w:cs="宋体" w:eastAsia="宋体" w:hint="default"/>
                <w:sz w:val="24"/>
                <w:szCs w:val="24"/>
              </w:rPr>
            </w:pPr>
            <w:r>
              <w:rPr>
                <w:rFonts w:ascii="宋体" w:hAnsi="宋体" w:cs="宋体" w:eastAsia="宋体" w:hint="default"/>
                <w:sz w:val="24"/>
                <w:szCs w:val="24"/>
              </w:rPr>
              <w:t>归属于各子公司少数股东的少数股东权益</w:t>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2"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2"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spacing w:val="-1"/>
                <w:sz w:val="24"/>
              </w:rPr>
              <w:t>632,669</w:t>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江苏苏宁易购有限公司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7"/>
                <w:sz w:val="24"/>
              </w:rPr>
              <w:t>27,111</w:t>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1"/>
                <w:sz w:val="24"/>
              </w:rPr>
              <w:t>121,553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Arial" w:hAnsi="Arial" w:cs="Arial" w:eastAsia="Arial" w:hint="default"/>
                <w:sz w:val="24"/>
                <w:szCs w:val="24"/>
              </w:rPr>
            </w:pPr>
            <w:r>
              <w:rPr>
                <w:rFonts w:ascii="Arial"/>
                <w:w w:val="95"/>
                <w:sz w:val="24"/>
              </w:rPr>
              <w:t>97,622</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1"/>
                <w:sz w:val="24"/>
              </w:rPr>
              <w:t>60,128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1"/>
                <w:sz w:val="24"/>
              </w:rPr>
              <w:t>44,575</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陕西苏宁电器有限责任公司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4"/>
                <w:sz w:val="24"/>
              </w:rPr>
              <w:t>35,611</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福建苏宁电器有限公司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1"/>
                <w:sz w:val="24"/>
              </w:rPr>
              <w:t>31,354</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厦门福厦苏宁电器有限公司</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Arial" w:hAnsi="Arial" w:cs="Arial" w:eastAsia="Arial" w:hint="default"/>
                <w:sz w:val="24"/>
                <w:szCs w:val="24"/>
              </w:rPr>
            </w:pPr>
            <w:r>
              <w:rPr>
                <w:rFonts w:ascii="Arial"/>
                <w:spacing w:val="-1"/>
                <w:sz w:val="24"/>
              </w:rPr>
              <w:t>14,967</w:t>
            </w:r>
          </w:p>
        </w:tc>
      </w:tr>
      <w:tr>
        <w:trPr>
          <w:trHeight w:val="939"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spacing w:line="268"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其他子公司</w:t>
            </w:r>
            <w:r>
              <w:rPr>
                <w:rFonts w:ascii="Arial" w:hAnsi="Arial" w:cs="Arial" w:eastAsia="Arial" w:hint="default"/>
                <w:sz w:val="24"/>
                <w:szCs w:val="24"/>
              </w:rPr>
              <w:t>(</w:t>
            </w:r>
            <w:r>
              <w:rPr>
                <w:rFonts w:ascii="宋体" w:hAnsi="宋体" w:cs="宋体" w:eastAsia="宋体" w:hint="default"/>
                <w:sz w:val="24"/>
                <w:szCs w:val="24"/>
              </w:rPr>
              <w:t>单个子公司的少</w:t>
            </w:r>
          </w:p>
          <w:p>
            <w:pPr>
              <w:pStyle w:val="TableParagraph"/>
              <w:spacing w:line="304" w:lineRule="exact"/>
              <w:ind w:left="122" w:right="0"/>
              <w:jc w:val="left"/>
              <w:rPr>
                <w:rFonts w:ascii="宋体" w:hAnsi="宋体" w:cs="宋体" w:eastAsia="宋体" w:hint="default"/>
                <w:sz w:val="24"/>
                <w:szCs w:val="24"/>
              </w:rPr>
            </w:pPr>
            <w:r>
              <w:rPr>
                <w:rFonts w:ascii="宋体" w:hAnsi="宋体" w:cs="宋体" w:eastAsia="宋体" w:hint="default"/>
                <w:sz w:val="24"/>
                <w:szCs w:val="24"/>
              </w:rPr>
              <w:t>数股东权益金额均小于人民币</w:t>
            </w:r>
          </w:p>
          <w:p>
            <w:pPr>
              <w:pStyle w:val="TableParagraph"/>
              <w:spacing w:line="330" w:lineRule="exact"/>
              <w:ind w:left="122" w:right="0"/>
              <w:jc w:val="left"/>
              <w:rPr>
                <w:rFonts w:ascii="Arial" w:hAnsi="Arial" w:cs="Arial" w:eastAsia="Arial" w:hint="default"/>
                <w:sz w:val="24"/>
                <w:szCs w:val="24"/>
              </w:rPr>
            </w:pPr>
            <w:r>
              <w:rPr>
                <w:rFonts w:ascii="Arial" w:hAnsi="Arial" w:cs="Arial" w:eastAsia="Arial" w:hint="default"/>
                <w:sz w:val="24"/>
                <w:szCs w:val="24"/>
              </w:rPr>
              <w:t>1,200</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tabs>
                <w:tab w:pos="1493" w:val="left" w:leader="none"/>
                <w:tab w:pos="2335" w:val="left" w:leader="none"/>
              </w:tabs>
              <w:spacing w:line="240" w:lineRule="auto"/>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42,424</w:t>
              <w:tab/>
            </w:r>
            <w:r>
              <w:rPr>
                <w:rFonts w:ascii="Arial"/>
                <w:spacing w:val="-1"/>
                <w:sz w:val="24"/>
              </w:rPr>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tabs>
                <w:tab w:pos="1433" w:val="left" w:leader="none"/>
                <w:tab w:pos="2405" w:val="left" w:leader="none"/>
              </w:tabs>
              <w:spacing w:line="240" w:lineRule="auto"/>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101,392</w:t>
              <w:tab/>
            </w:r>
            <w:r>
              <w:rPr>
                <w:rFonts w:ascii="Arial"/>
                <w:spacing w:val="-1"/>
                <w:sz w:val="24"/>
              </w:rPr>
            </w:r>
          </w:p>
        </w:tc>
      </w:tr>
      <w:tr>
        <w:trPr>
          <w:trHeight w:val="287" w:hRule="exact"/>
        </w:trPr>
        <w:tc>
          <w:tcPr>
            <w:tcW w:w="772"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single" w:sz="12" w:space="0" w:color="000000"/>
              <w:right w:val="nil" w:sz="6" w:space="0" w:color="auto"/>
            </w:tcBorders>
          </w:tcPr>
          <w:p>
            <w:pPr>
              <w:pStyle w:val="TableParagraph"/>
              <w:spacing w:line="268" w:lineRule="exact"/>
              <w:ind w:right="104"/>
              <w:jc w:val="right"/>
              <w:rPr>
                <w:rFonts w:ascii="Arial" w:hAnsi="Arial" w:cs="Arial" w:eastAsia="Arial" w:hint="default"/>
                <w:sz w:val="24"/>
                <w:szCs w:val="24"/>
              </w:rPr>
            </w:pPr>
            <w:r>
              <w:rPr>
                <w:rFonts w:ascii="Arial"/>
                <w:spacing w:val="-1"/>
                <w:sz w:val="24"/>
              </w:rPr>
              <w:t>702,204</w:t>
            </w:r>
          </w:p>
        </w:tc>
        <w:tc>
          <w:tcPr>
            <w:tcW w:w="698"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single" w:sz="12" w:space="0" w:color="000000"/>
              <w:right w:val="nil" w:sz="6" w:space="0" w:color="auto"/>
            </w:tcBorders>
          </w:tcPr>
          <w:p>
            <w:pPr>
              <w:pStyle w:val="TableParagraph"/>
              <w:spacing w:line="268" w:lineRule="exact"/>
              <w:ind w:right="102"/>
              <w:jc w:val="right"/>
              <w:rPr>
                <w:rFonts w:ascii="Arial" w:hAnsi="Arial" w:cs="Arial" w:eastAsia="Arial" w:hint="default"/>
                <w:sz w:val="24"/>
                <w:szCs w:val="24"/>
              </w:rPr>
            </w:pPr>
            <w:r>
              <w:rPr>
                <w:rFonts w:ascii="Arial"/>
                <w:spacing w:val="-1"/>
                <w:sz w:val="24"/>
              </w:rPr>
              <w:t>507,202</w:t>
            </w:r>
          </w:p>
        </w:tc>
      </w:tr>
    </w:tbl>
    <w:p>
      <w:pPr>
        <w:spacing w:after="0" w:line="268" w:lineRule="exact"/>
        <w:jc w:val="right"/>
        <w:rPr>
          <w:rFonts w:ascii="Arial" w:hAnsi="Arial" w:cs="Arial" w:eastAsia="Arial" w:hint="default"/>
          <w:sz w:val="24"/>
          <w:szCs w:val="24"/>
        </w:rPr>
        <w:sectPr>
          <w:pgSz w:w="11910" w:h="16850"/>
          <w:pgMar w:header="754" w:footer="956" w:top="2240" w:bottom="1140" w:left="7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3408"/>
        <w:gridCol w:w="3847"/>
        <w:gridCol w:w="2220"/>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40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847" w:type="dxa"/>
            <w:tcBorders>
              <w:top w:val="single" w:sz="6" w:space="0" w:color="000000"/>
              <w:left w:val="nil" w:sz="6" w:space="0" w:color="auto"/>
              <w:bottom w:val="nil" w:sz="6" w:space="0" w:color="auto"/>
              <w:right w:val="nil" w:sz="6" w:space="0" w:color="auto"/>
            </w:tcBorders>
          </w:tcPr>
          <w:p>
            <w:pPr/>
          </w:p>
        </w:tc>
        <w:tc>
          <w:tcPr>
            <w:tcW w:w="2220"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(36)</w:t>
            </w:r>
          </w:p>
        </w:tc>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宋体" w:hAnsi="宋体" w:cs="宋体" w:eastAsia="宋体" w:hint="default"/>
                <w:sz w:val="24"/>
                <w:szCs w:val="24"/>
              </w:rPr>
            </w:pP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3847"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r>
      <w:tr>
        <w:trPr>
          <w:trHeight w:val="613"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
        </w:tc>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7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85"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3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1829" w:right="0"/>
              <w:jc w:val="left"/>
              <w:rPr>
                <w:rFonts w:ascii="Arial" w:hAnsi="Arial" w:cs="Arial" w:eastAsia="Arial" w:hint="default"/>
                <w:sz w:val="24"/>
                <w:szCs w:val="24"/>
              </w:rPr>
            </w:pPr>
            <w:r>
              <w:rPr>
                <w:rFonts w:ascii="Arial"/>
                <w:sz w:val="24"/>
              </w:rPr>
              <w:t>92,465,377</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87"/>
              <w:ind w:right="202"/>
              <w:jc w:val="right"/>
              <w:rPr>
                <w:rFonts w:ascii="Arial" w:hAnsi="Arial" w:cs="Arial" w:eastAsia="Arial" w:hint="default"/>
                <w:sz w:val="24"/>
                <w:szCs w:val="24"/>
              </w:rPr>
            </w:pPr>
            <w:r>
              <w:rPr>
                <w:rFonts w:ascii="Arial"/>
                <w:spacing w:val="-1"/>
                <w:sz w:val="24"/>
              </w:rPr>
              <w:t>74,227,457</w:t>
            </w:r>
          </w:p>
        </w:tc>
      </w:tr>
      <w:tr>
        <w:trPr>
          <w:trHeight w:val="323"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Style w:val="TableParagraph"/>
              <w:spacing w:line="267"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847" w:type="dxa"/>
            <w:tcBorders>
              <w:top w:val="nil" w:sz="6" w:space="0" w:color="auto"/>
              <w:left w:val="nil" w:sz="6" w:space="0" w:color="auto"/>
              <w:bottom w:val="nil" w:sz="6" w:space="0" w:color="auto"/>
              <w:right w:val="nil" w:sz="6" w:space="0" w:color="auto"/>
            </w:tcBorders>
          </w:tcPr>
          <w:p>
            <w:pPr>
              <w:pStyle w:val="TableParagraph"/>
              <w:tabs>
                <w:tab w:pos="1961" w:val="left" w:leader="none"/>
                <w:tab w:pos="3703" w:val="left" w:leader="none"/>
                <w:tab w:pos="4796" w:val="left" w:leader="none"/>
              </w:tabs>
              <w:spacing w:line="240" w:lineRule="auto" w:before="27"/>
              <w:ind w:left="871" w:right="-95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1,423,203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20"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40" w:lineRule="auto" w:before="27"/>
              <w:ind w:right="92"/>
              <w:jc w:val="right"/>
              <w:rPr>
                <w:rFonts w:ascii="Arial" w:hAnsi="Arial" w:cs="Arial" w:eastAsia="Arial" w:hint="default"/>
                <w:sz w:val="24"/>
                <w:szCs w:val="24"/>
              </w:rPr>
            </w:pPr>
            <w:r>
              <w:rPr>
                <w:rFonts w:ascii="Arial"/>
                <w:w w:val="99"/>
                <w:sz w:val="24"/>
              </w:rPr>
            </w:r>
            <w:r>
              <w:rPr>
                <w:rFonts w:ascii="Arial"/>
                <w:spacing w:val="-1"/>
                <w:sz w:val="24"/>
                <w:u w:val="single" w:color="000000"/>
              </w:rPr>
              <w:t>1,277,282</w:t>
              <w:tab/>
            </w:r>
            <w:r>
              <w:rPr>
                <w:rFonts w:ascii="Arial"/>
                <w:spacing w:val="-1"/>
                <w:sz w:val="24"/>
              </w:rPr>
            </w:r>
          </w:p>
        </w:tc>
      </w:tr>
      <w:tr>
        <w:trPr>
          <w:trHeight w:val="443"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
        </w:tc>
        <w:tc>
          <w:tcPr>
            <w:tcW w:w="3847" w:type="dxa"/>
            <w:tcBorders>
              <w:top w:val="nil" w:sz="6" w:space="0" w:color="auto"/>
              <w:left w:val="nil" w:sz="6" w:space="0" w:color="auto"/>
              <w:bottom w:val="nil" w:sz="6" w:space="0" w:color="auto"/>
              <w:right w:val="nil" w:sz="6" w:space="0" w:color="auto"/>
            </w:tcBorders>
          </w:tcPr>
          <w:p>
            <w:pPr>
              <w:pStyle w:val="TableParagraph"/>
              <w:tabs>
                <w:tab w:pos="1829" w:val="left" w:leader="none"/>
                <w:tab w:pos="3703" w:val="left" w:leader="none"/>
                <w:tab w:pos="4664" w:val="left" w:leader="none"/>
              </w:tabs>
              <w:spacing w:line="271" w:lineRule="exact"/>
              <w:ind w:left="871" w:right="-81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93,888,580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20" w:type="dxa"/>
            <w:tcBorders>
              <w:top w:val="nil" w:sz="6" w:space="0" w:color="auto"/>
              <w:left w:val="nil" w:sz="6" w:space="0" w:color="auto"/>
              <w:bottom w:val="nil" w:sz="6" w:space="0" w:color="auto"/>
              <w:right w:val="nil" w:sz="6" w:space="0" w:color="auto"/>
            </w:tcBorders>
          </w:tcPr>
          <w:p>
            <w:pPr>
              <w:pStyle w:val="TableParagraph"/>
              <w:tabs>
                <w:tab w:pos="1307" w:val="left" w:leader="none"/>
              </w:tabs>
              <w:spacing w:line="271" w:lineRule="exact"/>
              <w:ind w:right="92"/>
              <w:jc w:val="right"/>
              <w:rPr>
                <w:rFonts w:ascii="Arial" w:hAnsi="Arial" w:cs="Arial" w:eastAsia="Arial" w:hint="default"/>
                <w:sz w:val="24"/>
                <w:szCs w:val="24"/>
              </w:rPr>
            </w:pPr>
            <w:r>
              <w:rPr>
                <w:rFonts w:ascii="Arial"/>
                <w:w w:val="99"/>
                <w:sz w:val="24"/>
              </w:rPr>
            </w:r>
            <w:r>
              <w:rPr>
                <w:rFonts w:ascii="Arial"/>
                <w:spacing w:val="-1"/>
                <w:sz w:val="24"/>
                <w:u w:val="thick" w:color="000000"/>
              </w:rPr>
              <w:t>75,504,739</w:t>
              <w:tab/>
            </w:r>
            <w:r>
              <w:rPr>
                <w:rFonts w:ascii="Arial"/>
                <w:spacing w:val="-1"/>
                <w:sz w:val="24"/>
              </w:rPr>
            </w:r>
          </w:p>
        </w:tc>
      </w:tr>
      <w:tr>
        <w:trPr>
          <w:trHeight w:val="598"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
        </w:tc>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73"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84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829" w:right="0"/>
              <w:jc w:val="left"/>
              <w:rPr>
                <w:rFonts w:ascii="Arial" w:hAnsi="Arial" w:cs="Arial" w:eastAsia="Arial" w:hint="default"/>
                <w:sz w:val="24"/>
                <w:szCs w:val="24"/>
              </w:rPr>
            </w:pPr>
            <w:r>
              <w:rPr>
                <w:rFonts w:ascii="Arial"/>
                <w:sz w:val="24"/>
              </w:rPr>
              <w:t>75,855,609</w:t>
            </w: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00"/>
              <w:jc w:val="right"/>
              <w:rPr>
                <w:rFonts w:ascii="Arial" w:hAnsi="Arial" w:cs="Arial" w:eastAsia="Arial" w:hint="default"/>
                <w:sz w:val="24"/>
                <w:szCs w:val="24"/>
              </w:rPr>
            </w:pPr>
            <w:r>
              <w:rPr>
                <w:rFonts w:ascii="Arial"/>
                <w:spacing w:val="-1"/>
                <w:sz w:val="24"/>
              </w:rPr>
              <w:t>61,915,817</w:t>
            </w:r>
          </w:p>
        </w:tc>
      </w:tr>
      <w:tr>
        <w:trPr>
          <w:trHeight w:val="315"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847" w:type="dxa"/>
            <w:tcBorders>
              <w:top w:val="nil" w:sz="6" w:space="0" w:color="auto"/>
              <w:left w:val="nil" w:sz="6" w:space="0" w:color="auto"/>
              <w:bottom w:val="nil" w:sz="6" w:space="0" w:color="auto"/>
              <w:right w:val="nil" w:sz="6" w:space="0" w:color="auto"/>
            </w:tcBorders>
          </w:tcPr>
          <w:p>
            <w:pPr>
              <w:pStyle w:val="TableParagraph"/>
              <w:tabs>
                <w:tab w:pos="2162" w:val="left" w:leader="none"/>
                <w:tab w:pos="3703" w:val="left" w:leader="none"/>
                <w:tab w:pos="4997" w:val="left" w:leader="none"/>
              </w:tabs>
              <w:spacing w:line="240" w:lineRule="auto" w:before="21"/>
              <w:ind w:left="871" w:right="-1152"/>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249,047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20" w:type="dxa"/>
            <w:tcBorders>
              <w:top w:val="nil" w:sz="6" w:space="0" w:color="auto"/>
              <w:left w:val="nil" w:sz="6" w:space="0" w:color="auto"/>
              <w:bottom w:val="nil" w:sz="6" w:space="0" w:color="auto"/>
              <w:right w:val="nil" w:sz="6" w:space="0" w:color="auto"/>
            </w:tcBorders>
          </w:tcPr>
          <w:p>
            <w:pPr>
              <w:pStyle w:val="TableParagraph"/>
              <w:tabs>
                <w:tab w:pos="974" w:val="left" w:leader="none"/>
              </w:tabs>
              <w:spacing w:line="240" w:lineRule="auto" w:before="21"/>
              <w:ind w:right="92"/>
              <w:jc w:val="right"/>
              <w:rPr>
                <w:rFonts w:ascii="Arial" w:hAnsi="Arial" w:cs="Arial" w:eastAsia="Arial" w:hint="default"/>
                <w:sz w:val="24"/>
                <w:szCs w:val="24"/>
              </w:rPr>
            </w:pPr>
            <w:r>
              <w:rPr>
                <w:rFonts w:ascii="Arial"/>
                <w:w w:val="99"/>
                <w:sz w:val="24"/>
              </w:rPr>
            </w:r>
            <w:r>
              <w:rPr>
                <w:rFonts w:ascii="Arial"/>
                <w:spacing w:val="-1"/>
                <w:sz w:val="24"/>
                <w:u w:val="single" w:color="000000"/>
              </w:rPr>
              <w:t>124,895</w:t>
              <w:tab/>
            </w:r>
            <w:r>
              <w:rPr>
                <w:rFonts w:ascii="Arial"/>
                <w:spacing w:val="-1"/>
                <w:sz w:val="24"/>
              </w:rPr>
            </w:r>
          </w:p>
        </w:tc>
      </w:tr>
      <w:tr>
        <w:trPr>
          <w:trHeight w:val="264" w:hRule="exact"/>
        </w:trPr>
        <w:tc>
          <w:tcPr>
            <w:tcW w:w="772" w:type="dxa"/>
            <w:tcBorders>
              <w:top w:val="nil" w:sz="6" w:space="0" w:color="auto"/>
              <w:left w:val="nil" w:sz="6" w:space="0" w:color="auto"/>
              <w:bottom w:val="nil" w:sz="6" w:space="0" w:color="auto"/>
              <w:right w:val="nil" w:sz="6" w:space="0" w:color="auto"/>
            </w:tcBorders>
          </w:tcPr>
          <w:p>
            <w:pPr/>
          </w:p>
        </w:tc>
        <w:tc>
          <w:tcPr>
            <w:tcW w:w="3408" w:type="dxa"/>
            <w:tcBorders>
              <w:top w:val="nil" w:sz="6" w:space="0" w:color="auto"/>
              <w:left w:val="nil" w:sz="6" w:space="0" w:color="auto"/>
              <w:bottom w:val="nil" w:sz="6" w:space="0" w:color="auto"/>
              <w:right w:val="nil" w:sz="6" w:space="0" w:color="auto"/>
            </w:tcBorders>
          </w:tcPr>
          <w:p>
            <w:pPr/>
          </w:p>
        </w:tc>
        <w:tc>
          <w:tcPr>
            <w:tcW w:w="3847" w:type="dxa"/>
            <w:tcBorders>
              <w:top w:val="nil" w:sz="6" w:space="0" w:color="auto"/>
              <w:left w:val="nil" w:sz="6" w:space="0" w:color="auto"/>
              <w:bottom w:val="nil" w:sz="6" w:space="0" w:color="auto"/>
              <w:right w:val="nil" w:sz="6" w:space="0" w:color="auto"/>
            </w:tcBorders>
          </w:tcPr>
          <w:p>
            <w:pPr>
              <w:pStyle w:val="TableParagraph"/>
              <w:tabs>
                <w:tab w:pos="1829" w:val="left" w:leader="none"/>
                <w:tab w:pos="3689" w:val="left" w:leader="none"/>
                <w:tab w:pos="4664" w:val="left" w:leader="none"/>
              </w:tabs>
              <w:spacing w:line="269" w:lineRule="exact"/>
              <w:ind w:left="856" w:right="-81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76,104,656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20" w:type="dxa"/>
            <w:tcBorders>
              <w:top w:val="nil" w:sz="6" w:space="0" w:color="auto"/>
              <w:left w:val="nil" w:sz="6" w:space="0" w:color="auto"/>
              <w:bottom w:val="nil" w:sz="6" w:space="0" w:color="auto"/>
              <w:right w:val="nil" w:sz="6" w:space="0" w:color="auto"/>
            </w:tcBorders>
          </w:tcPr>
          <w:p>
            <w:pPr>
              <w:pStyle w:val="TableParagraph"/>
              <w:tabs>
                <w:tab w:pos="1307" w:val="left" w:leader="none"/>
              </w:tabs>
              <w:spacing w:line="269" w:lineRule="exact"/>
              <w:ind w:right="92"/>
              <w:jc w:val="right"/>
              <w:rPr>
                <w:rFonts w:ascii="Arial" w:hAnsi="Arial" w:cs="Arial" w:eastAsia="Arial" w:hint="default"/>
                <w:sz w:val="24"/>
                <w:szCs w:val="24"/>
              </w:rPr>
            </w:pPr>
            <w:r>
              <w:rPr>
                <w:rFonts w:ascii="Arial"/>
                <w:w w:val="99"/>
                <w:sz w:val="24"/>
              </w:rPr>
            </w:r>
            <w:r>
              <w:rPr>
                <w:rFonts w:ascii="Arial"/>
                <w:spacing w:val="-1"/>
                <w:sz w:val="24"/>
                <w:u w:val="thick" w:color="000000"/>
              </w:rPr>
              <w:t>62,040,712</w:t>
              <w:tab/>
            </w:r>
            <w:r>
              <w:rPr>
                <w:rFonts w:ascii="Arial"/>
                <w:spacing w:val="-1"/>
                <w:sz w:val="24"/>
              </w:rPr>
            </w:r>
          </w:p>
        </w:tc>
      </w:tr>
    </w:tbl>
    <w:p>
      <w:pPr>
        <w:spacing w:line="240" w:lineRule="auto" w:before="8"/>
        <w:rPr>
          <w:rFonts w:ascii="Times New Roman" w:hAnsi="Times New Roman" w:cs="Times New Roman" w:eastAsia="Times New Roman"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702"/>
        <w:gridCol w:w="2011"/>
        <w:gridCol w:w="1795"/>
        <w:gridCol w:w="1910"/>
        <w:gridCol w:w="1937"/>
        <w:gridCol w:w="1899"/>
      </w:tblGrid>
      <w:tr>
        <w:trPr>
          <w:trHeight w:val="419"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3806"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8"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91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588" w:hRule="exact"/>
        </w:trPr>
        <w:tc>
          <w:tcPr>
            <w:tcW w:w="702" w:type="dxa"/>
            <w:tcBorders>
              <w:top w:val="nil" w:sz="6" w:space="0" w:color="auto"/>
              <w:left w:val="nil" w:sz="6" w:space="0" w:color="auto"/>
              <w:bottom w:val="nil" w:sz="6" w:space="0" w:color="auto"/>
              <w:right w:val="nil" w:sz="6" w:space="0" w:color="auto"/>
            </w:tcBorders>
          </w:tcPr>
          <w:p>
            <w:pPr/>
          </w:p>
        </w:tc>
        <w:tc>
          <w:tcPr>
            <w:tcW w:w="38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08"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91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461" w:hRule="exact"/>
        </w:trPr>
        <w:tc>
          <w:tcPr>
            <w:tcW w:w="70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37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54"/>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8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6"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w:t>
            </w:r>
          </w:p>
        </w:tc>
      </w:tr>
      <w:tr>
        <w:trPr>
          <w:trHeight w:val="501" w:hRule="exact"/>
        </w:trPr>
        <w:tc>
          <w:tcPr>
            <w:tcW w:w="70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910" w:type="dxa"/>
            <w:tcBorders>
              <w:top w:val="nil" w:sz="6" w:space="0" w:color="auto"/>
              <w:left w:val="nil" w:sz="6" w:space="0" w:color="auto"/>
              <w:bottom w:val="nil" w:sz="6" w:space="0" w:color="auto"/>
              <w:right w:val="nil" w:sz="6" w:space="0" w:color="auto"/>
            </w:tcBorders>
          </w:tcPr>
          <w:p>
            <w:pPr>
              <w:pStyle w:val="TableParagraph"/>
              <w:spacing w:line="275" w:lineRule="exact"/>
              <w:ind w:left="231"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937" w:type="dxa"/>
            <w:tcBorders>
              <w:top w:val="nil" w:sz="6" w:space="0" w:color="auto"/>
              <w:left w:val="nil" w:sz="6" w:space="0" w:color="auto"/>
              <w:bottom w:val="nil" w:sz="6" w:space="0" w:color="auto"/>
              <w:right w:val="nil" w:sz="6" w:space="0" w:color="auto"/>
            </w:tcBorders>
          </w:tcPr>
          <w:p>
            <w:pPr>
              <w:pStyle w:val="TableParagraph"/>
              <w:spacing w:line="275" w:lineRule="exact"/>
              <w:ind w:left="23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99" w:type="dxa"/>
            <w:tcBorders>
              <w:top w:val="nil" w:sz="6" w:space="0" w:color="auto"/>
              <w:left w:val="nil" w:sz="6" w:space="0" w:color="auto"/>
              <w:bottom w:val="nil" w:sz="6" w:space="0" w:color="auto"/>
              <w:right w:val="nil" w:sz="6" w:space="0" w:color="auto"/>
            </w:tcBorders>
          </w:tcPr>
          <w:p>
            <w:pPr>
              <w:pStyle w:val="TableParagraph"/>
              <w:spacing w:line="275" w:lineRule="exact"/>
              <w:ind w:left="258"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17" w:hRule="exact"/>
        </w:trPr>
        <w:tc>
          <w:tcPr>
            <w:tcW w:w="70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8"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2" w:right="0"/>
              <w:jc w:val="left"/>
              <w:rPr>
                <w:rFonts w:ascii="Arial" w:hAnsi="Arial" w:cs="Arial" w:eastAsia="Arial" w:hint="default"/>
                <w:sz w:val="24"/>
                <w:szCs w:val="24"/>
              </w:rPr>
            </w:pPr>
            <w:r>
              <w:rPr>
                <w:rFonts w:ascii="Arial"/>
                <w:sz w:val="24"/>
              </w:rPr>
              <w:t>91,555,766</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71" w:right="0"/>
              <w:jc w:val="left"/>
              <w:rPr>
                <w:rFonts w:ascii="Arial" w:hAnsi="Arial" w:cs="Arial" w:eastAsia="Arial" w:hint="default"/>
                <w:sz w:val="24"/>
                <w:szCs w:val="24"/>
              </w:rPr>
            </w:pPr>
            <w:r>
              <w:rPr>
                <w:rFonts w:ascii="Arial"/>
                <w:sz w:val="24"/>
              </w:rPr>
              <w:t>75,255,210</w:t>
            </w: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78" w:right="0"/>
              <w:jc w:val="left"/>
              <w:rPr>
                <w:rFonts w:ascii="Arial" w:hAnsi="Arial" w:cs="Arial" w:eastAsia="Arial" w:hint="default"/>
                <w:sz w:val="24"/>
                <w:szCs w:val="24"/>
              </w:rPr>
            </w:pPr>
            <w:r>
              <w:rPr>
                <w:rFonts w:ascii="Arial"/>
                <w:sz w:val="24"/>
              </w:rPr>
              <w:t>73,372,868</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Arial" w:hAnsi="Arial" w:cs="Arial" w:eastAsia="Arial" w:hint="default"/>
                <w:sz w:val="24"/>
                <w:szCs w:val="24"/>
              </w:rPr>
            </w:pPr>
            <w:r>
              <w:rPr>
                <w:rFonts w:ascii="Arial"/>
                <w:spacing w:val="-1"/>
                <w:sz w:val="24"/>
              </w:rPr>
              <w:t>61,329,383</w:t>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61" w:lineRule="exact"/>
              <w:ind w:left="208"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795" w:type="dxa"/>
            <w:tcBorders>
              <w:top w:val="nil" w:sz="6" w:space="0" w:color="auto"/>
              <w:left w:val="nil" w:sz="6" w:space="0" w:color="auto"/>
              <w:bottom w:val="nil" w:sz="6" w:space="0" w:color="auto"/>
              <w:right w:val="nil" w:sz="6" w:space="0" w:color="auto"/>
            </w:tcBorders>
          </w:tcPr>
          <w:p>
            <w:pPr>
              <w:pStyle w:val="TableParagraph"/>
              <w:tabs>
                <w:tab w:pos="712" w:val="left" w:leader="none"/>
                <w:tab w:pos="1670" w:val="left" w:leader="none"/>
              </w:tabs>
              <w:spacing w:line="240" w:lineRule="auto" w:before="21"/>
              <w:ind w:left="-2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909,611</w:t>
              <w:tab/>
            </w:r>
            <w:r>
              <w:rPr>
                <w:rFonts w:ascii="Arial"/>
                <w:spacing w:val="-3"/>
                <w:sz w:val="24"/>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88" w:val="left" w:leader="none"/>
                <w:tab w:pos="1663" w:val="left" w:leader="none"/>
              </w:tabs>
              <w:spacing w:line="240" w:lineRule="auto" w:before="21"/>
              <w:ind w:right="12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600,399</w:t>
              <w:tab/>
            </w:r>
            <w:r>
              <w:rPr>
                <w:rFonts w:ascii="Arial"/>
                <w:spacing w:val="-1"/>
                <w:sz w:val="24"/>
              </w:rPr>
            </w:r>
          </w:p>
        </w:tc>
        <w:tc>
          <w:tcPr>
            <w:tcW w:w="1937" w:type="dxa"/>
            <w:tcBorders>
              <w:top w:val="nil" w:sz="6" w:space="0" w:color="auto"/>
              <w:left w:val="nil" w:sz="6" w:space="0" w:color="auto"/>
              <w:bottom w:val="nil" w:sz="6" w:space="0" w:color="auto"/>
              <w:right w:val="nil" w:sz="6" w:space="0" w:color="auto"/>
            </w:tcBorders>
          </w:tcPr>
          <w:p>
            <w:pPr>
              <w:pStyle w:val="TableParagraph"/>
              <w:tabs>
                <w:tab w:pos="812" w:val="left" w:leader="none"/>
                <w:tab w:pos="1784" w:val="left" w:leader="none"/>
              </w:tabs>
              <w:spacing w:line="240" w:lineRule="auto" w:before="21"/>
              <w:ind w:left="10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854,589</w:t>
              <w:tab/>
            </w:r>
            <w:r>
              <w:rPr>
                <w:rFonts w:ascii="Arial"/>
                <w:sz w:val="24"/>
              </w:rPr>
            </w:r>
          </w:p>
        </w:tc>
        <w:tc>
          <w:tcPr>
            <w:tcW w:w="1899" w:type="dxa"/>
            <w:tcBorders>
              <w:top w:val="nil" w:sz="6" w:space="0" w:color="auto"/>
              <w:left w:val="nil" w:sz="6" w:space="0" w:color="auto"/>
              <w:bottom w:val="nil" w:sz="6" w:space="0" w:color="auto"/>
              <w:right w:val="nil" w:sz="6" w:space="0" w:color="auto"/>
            </w:tcBorders>
          </w:tcPr>
          <w:p>
            <w:pPr>
              <w:pStyle w:val="TableParagraph"/>
              <w:tabs>
                <w:tab w:pos="746" w:val="left" w:leader="none"/>
                <w:tab w:pos="1720" w:val="left" w:leader="none"/>
              </w:tabs>
              <w:spacing w:line="240" w:lineRule="auto" w:before="21"/>
              <w:ind w:right="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586,434</w:t>
              <w:tab/>
            </w:r>
            <w:r>
              <w:rPr>
                <w:rFonts w:ascii="Arial"/>
                <w:spacing w:val="-1"/>
                <w:sz w:val="24"/>
              </w:rPr>
            </w:r>
          </w:p>
        </w:tc>
      </w:tr>
      <w:tr>
        <w:trPr>
          <w:trHeight w:val="263" w:hRule="exact"/>
        </w:trPr>
        <w:tc>
          <w:tcPr>
            <w:tcW w:w="702"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tabs>
                <w:tab w:pos="362" w:val="left" w:leader="none"/>
                <w:tab w:pos="1670" w:val="left" w:leader="none"/>
              </w:tabs>
              <w:spacing w:line="268" w:lineRule="exact"/>
              <w:ind w:left="-3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92,465,377</w:t>
              <w:tab/>
            </w:r>
            <w:r>
              <w:rPr>
                <w:rFonts w:ascii="Arial"/>
                <w:sz w:val="24"/>
              </w:rPr>
            </w:r>
          </w:p>
        </w:tc>
        <w:tc>
          <w:tcPr>
            <w:tcW w:w="1910" w:type="dxa"/>
            <w:tcBorders>
              <w:top w:val="nil" w:sz="6" w:space="0" w:color="auto"/>
              <w:left w:val="nil" w:sz="6" w:space="0" w:color="auto"/>
              <w:bottom w:val="nil" w:sz="6" w:space="0" w:color="auto"/>
              <w:right w:val="nil" w:sz="6" w:space="0" w:color="auto"/>
            </w:tcBorders>
          </w:tcPr>
          <w:p>
            <w:pPr>
              <w:pStyle w:val="TableParagraph"/>
              <w:tabs>
                <w:tab w:pos="369" w:val="left" w:leader="none"/>
                <w:tab w:pos="1678" w:val="left" w:leader="none"/>
              </w:tabs>
              <w:spacing w:line="268" w:lineRule="exact"/>
              <w:ind w:right="12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75,855,609</w:t>
              <w:tab/>
            </w:r>
            <w:r>
              <w:rPr>
                <w:rFonts w:ascii="Arial"/>
                <w:spacing w:val="-1"/>
                <w:sz w:val="24"/>
              </w:rPr>
            </w:r>
          </w:p>
        </w:tc>
        <w:tc>
          <w:tcPr>
            <w:tcW w:w="1937" w:type="dxa"/>
            <w:tcBorders>
              <w:top w:val="nil" w:sz="6" w:space="0" w:color="auto"/>
              <w:left w:val="nil" w:sz="6" w:space="0" w:color="auto"/>
              <w:bottom w:val="nil" w:sz="6" w:space="0" w:color="auto"/>
              <w:right w:val="nil" w:sz="6" w:space="0" w:color="auto"/>
            </w:tcBorders>
          </w:tcPr>
          <w:p>
            <w:pPr>
              <w:pStyle w:val="TableParagraph"/>
              <w:tabs>
                <w:tab w:pos="478" w:val="left" w:leader="none"/>
                <w:tab w:pos="1784" w:val="left" w:leader="none"/>
              </w:tabs>
              <w:spacing w:line="268" w:lineRule="exact"/>
              <w:ind w:left="9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74,227,457</w:t>
              <w:tab/>
            </w:r>
            <w:r>
              <w:rPr>
                <w:rFonts w:ascii="Arial"/>
                <w:sz w:val="24"/>
              </w:rPr>
            </w:r>
          </w:p>
        </w:tc>
        <w:tc>
          <w:tcPr>
            <w:tcW w:w="1899" w:type="dxa"/>
            <w:tcBorders>
              <w:top w:val="nil" w:sz="6" w:space="0" w:color="auto"/>
              <w:left w:val="nil" w:sz="6" w:space="0" w:color="auto"/>
              <w:bottom w:val="nil" w:sz="6" w:space="0" w:color="auto"/>
              <w:right w:val="nil" w:sz="6" w:space="0" w:color="auto"/>
            </w:tcBorders>
          </w:tcPr>
          <w:p>
            <w:pPr>
              <w:pStyle w:val="TableParagraph"/>
              <w:tabs>
                <w:tab w:pos="427" w:val="left" w:leader="none"/>
                <w:tab w:pos="1735" w:val="left" w:leader="none"/>
              </w:tabs>
              <w:spacing w:line="268" w:lineRule="exact"/>
              <w:ind w:right="9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61,915,817</w:t>
              <w:tab/>
            </w:r>
            <w:r>
              <w:rPr>
                <w:rFonts w:ascii="Arial"/>
                <w:spacing w:val="-1"/>
                <w:sz w:val="24"/>
              </w:rPr>
            </w:r>
          </w:p>
        </w:tc>
      </w:tr>
    </w:tbl>
    <w:p>
      <w:pPr>
        <w:spacing w:line="240" w:lineRule="auto" w:before="2"/>
        <w:rPr>
          <w:rFonts w:ascii="Times New Roman" w:hAnsi="Times New Roman" w:cs="Times New Roman" w:eastAsia="Times New Roman" w:hint="default"/>
          <w:sz w:val="27"/>
          <w:szCs w:val="27"/>
        </w:rPr>
      </w:pPr>
    </w:p>
    <w:tbl>
      <w:tblPr>
        <w:tblW w:w="0" w:type="auto"/>
        <w:jc w:val="left"/>
        <w:tblInd w:w="808" w:type="dxa"/>
        <w:tblLayout w:type="fixed"/>
        <w:tblCellMar>
          <w:top w:w="0" w:type="dxa"/>
          <w:left w:w="0" w:type="dxa"/>
          <w:bottom w:w="0" w:type="dxa"/>
          <w:right w:w="0" w:type="dxa"/>
        </w:tblCellMar>
        <w:tblLook w:val="01E0"/>
      </w:tblPr>
      <w:tblGrid>
        <w:gridCol w:w="2052"/>
        <w:gridCol w:w="1749"/>
        <w:gridCol w:w="1910"/>
        <w:gridCol w:w="1936"/>
        <w:gridCol w:w="1897"/>
      </w:tblGrid>
      <w:tr>
        <w:trPr>
          <w:trHeight w:val="276" w:hRule="exact"/>
        </w:trPr>
        <w:tc>
          <w:tcPr>
            <w:tcW w:w="9544"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r>
      <w:tr>
        <w:trPr>
          <w:trHeight w:val="323" w:hRule="exact"/>
        </w:trPr>
        <w:tc>
          <w:tcPr>
            <w:tcW w:w="2052" w:type="dxa"/>
            <w:tcBorders>
              <w:top w:val="nil" w:sz="6" w:space="0" w:color="auto"/>
              <w:left w:val="nil" w:sz="6" w:space="0" w:color="auto"/>
              <w:bottom w:val="nil" w:sz="6" w:space="0" w:color="auto"/>
              <w:right w:val="nil" w:sz="6" w:space="0" w:color="auto"/>
            </w:tcBorders>
          </w:tcPr>
          <w:p>
            <w:pPr/>
          </w:p>
        </w:tc>
        <w:tc>
          <w:tcPr>
            <w:tcW w:w="3660"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119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832"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12"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w:t>
            </w:r>
          </w:p>
        </w:tc>
      </w:tr>
      <w:tr>
        <w:trPr>
          <w:trHeight w:val="462" w:hRule="exact"/>
        </w:trPr>
        <w:tc>
          <w:tcPr>
            <w:tcW w:w="2052"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75" w:lineRule="exact"/>
              <w:ind w:left="7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910" w:type="dxa"/>
            <w:tcBorders>
              <w:top w:val="nil" w:sz="6" w:space="0" w:color="auto"/>
              <w:left w:val="nil" w:sz="6" w:space="0" w:color="auto"/>
              <w:bottom w:val="nil" w:sz="6" w:space="0" w:color="auto"/>
              <w:right w:val="nil" w:sz="6" w:space="0" w:color="auto"/>
            </w:tcBorders>
          </w:tcPr>
          <w:p>
            <w:pPr>
              <w:pStyle w:val="TableParagraph"/>
              <w:spacing w:line="275" w:lineRule="exact"/>
              <w:ind w:left="23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936" w:type="dxa"/>
            <w:tcBorders>
              <w:top w:val="nil" w:sz="6" w:space="0" w:color="auto"/>
              <w:left w:val="nil" w:sz="6" w:space="0" w:color="auto"/>
              <w:bottom w:val="nil" w:sz="6" w:space="0" w:color="auto"/>
              <w:right w:val="nil" w:sz="6" w:space="0" w:color="auto"/>
            </w:tcBorders>
          </w:tcPr>
          <w:p>
            <w:pPr>
              <w:pStyle w:val="TableParagraph"/>
              <w:spacing w:line="275" w:lineRule="exact"/>
              <w:ind w:left="23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97" w:type="dxa"/>
            <w:tcBorders>
              <w:top w:val="nil" w:sz="6" w:space="0" w:color="auto"/>
              <w:left w:val="nil" w:sz="6" w:space="0" w:color="auto"/>
              <w:bottom w:val="nil" w:sz="6" w:space="0" w:color="auto"/>
              <w:right w:val="nil" w:sz="6" w:space="0" w:color="auto"/>
            </w:tcBorders>
          </w:tcPr>
          <w:p>
            <w:pPr>
              <w:pStyle w:val="TableParagraph"/>
              <w:spacing w:line="275" w:lineRule="exact"/>
              <w:ind w:left="25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85"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00"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315" w:right="0"/>
              <w:jc w:val="left"/>
              <w:rPr>
                <w:rFonts w:ascii="Arial" w:hAnsi="Arial" w:cs="Arial" w:eastAsia="Arial" w:hint="default"/>
                <w:sz w:val="24"/>
                <w:szCs w:val="24"/>
              </w:rPr>
            </w:pPr>
            <w:r>
              <w:rPr>
                <w:rFonts w:ascii="Arial"/>
                <w:sz w:val="24"/>
              </w:rPr>
              <w:t>23,696,928</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472" w:right="0"/>
              <w:jc w:val="left"/>
              <w:rPr>
                <w:rFonts w:ascii="Arial" w:hAnsi="Arial" w:cs="Arial" w:eastAsia="Arial" w:hint="default"/>
                <w:sz w:val="24"/>
                <w:szCs w:val="24"/>
              </w:rPr>
            </w:pPr>
            <w:r>
              <w:rPr>
                <w:rFonts w:ascii="Arial"/>
                <w:sz w:val="24"/>
              </w:rPr>
              <w:t>18,776,020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477" w:right="0"/>
              <w:jc w:val="left"/>
              <w:rPr>
                <w:rFonts w:ascii="Arial" w:hAnsi="Arial" w:cs="Arial" w:eastAsia="Arial" w:hint="default"/>
                <w:sz w:val="24"/>
                <w:szCs w:val="24"/>
              </w:rPr>
            </w:pPr>
            <w:r>
              <w:rPr>
                <w:rFonts w:ascii="Arial"/>
                <w:sz w:val="24"/>
              </w:rPr>
              <w:t>19,713,007</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88"/>
              <w:ind w:right="198"/>
              <w:jc w:val="right"/>
              <w:rPr>
                <w:rFonts w:ascii="Arial" w:hAnsi="Arial" w:cs="Arial" w:eastAsia="Arial" w:hint="default"/>
                <w:sz w:val="24"/>
                <w:szCs w:val="24"/>
              </w:rPr>
            </w:pPr>
            <w:r>
              <w:rPr>
                <w:rFonts w:ascii="Arial"/>
                <w:spacing w:val="-1"/>
                <w:sz w:val="24"/>
              </w:rPr>
              <w:t>15,950,653</w:t>
            </w:r>
          </w:p>
        </w:tc>
      </w:tr>
      <w:tr>
        <w:trPr>
          <w:trHeight w:val="323"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67" w:lineRule="exact"/>
              <w:ind w:left="200"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15" w:right="0"/>
              <w:jc w:val="left"/>
              <w:rPr>
                <w:rFonts w:ascii="Arial" w:hAnsi="Arial" w:cs="Arial" w:eastAsia="Arial" w:hint="default"/>
                <w:sz w:val="24"/>
                <w:szCs w:val="24"/>
              </w:rPr>
            </w:pPr>
            <w:r>
              <w:rPr>
                <w:rFonts w:ascii="Arial"/>
                <w:sz w:val="24"/>
              </w:rPr>
              <w:t>15,687,100</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2" w:right="0"/>
              <w:jc w:val="left"/>
              <w:rPr>
                <w:rFonts w:ascii="Arial" w:hAnsi="Arial" w:cs="Arial" w:eastAsia="Arial" w:hint="default"/>
                <w:sz w:val="24"/>
                <w:szCs w:val="24"/>
              </w:rPr>
            </w:pPr>
            <w:r>
              <w:rPr>
                <w:rFonts w:ascii="Arial"/>
                <w:sz w:val="24"/>
              </w:rPr>
              <w:t>12,135,406</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77" w:right="0"/>
              <w:jc w:val="left"/>
              <w:rPr>
                <w:rFonts w:ascii="Arial" w:hAnsi="Arial" w:cs="Arial" w:eastAsia="Arial" w:hint="default"/>
                <w:sz w:val="24"/>
                <w:szCs w:val="24"/>
              </w:rPr>
            </w:pPr>
            <w:r>
              <w:rPr>
                <w:rFonts w:ascii="Arial"/>
                <w:sz w:val="24"/>
              </w:rPr>
              <w:t>12,937,736</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8"/>
              <w:jc w:val="right"/>
              <w:rPr>
                <w:rFonts w:ascii="Arial" w:hAnsi="Arial" w:cs="Arial" w:eastAsia="Arial" w:hint="default"/>
                <w:sz w:val="24"/>
                <w:szCs w:val="24"/>
              </w:rPr>
            </w:pPr>
            <w:r>
              <w:rPr>
                <w:rFonts w:ascii="Arial"/>
                <w:spacing w:val="-3"/>
                <w:sz w:val="24"/>
              </w:rPr>
              <w:t>10,201,114</w:t>
            </w:r>
          </w:p>
        </w:tc>
      </w:tr>
      <w:tr>
        <w:trPr>
          <w:trHeight w:val="32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1"/>
                <w:sz w:val="24"/>
                <w:szCs w:val="24"/>
              </w:rPr>
              <w:t> </w:t>
            </w:r>
            <w:r>
              <w:rPr>
                <w:rFonts w:ascii="Arial" w:hAnsi="Arial" w:cs="Arial" w:eastAsia="Arial" w:hint="default"/>
                <w:sz w:val="24"/>
                <w:szCs w:val="24"/>
              </w:rPr>
              <w:t>IT</w:t>
            </w:r>
            <w:r>
              <w:rPr>
                <w:rFonts w:ascii="Arial" w:hAnsi="Arial" w:cs="Arial" w:eastAsia="Arial" w:hint="default"/>
                <w:spacing w:val="-5"/>
                <w:sz w:val="24"/>
                <w:szCs w:val="24"/>
              </w:rPr>
              <w:t> </w:t>
            </w:r>
            <w:r>
              <w:rPr>
                <w:rFonts w:ascii="宋体" w:hAnsi="宋体" w:cs="宋体" w:eastAsia="宋体" w:hint="default"/>
                <w:sz w:val="24"/>
                <w:szCs w:val="24"/>
              </w:rPr>
              <w:t>产品</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5" w:right="0"/>
              <w:jc w:val="left"/>
              <w:rPr>
                <w:rFonts w:ascii="Arial" w:hAnsi="Arial" w:cs="Arial" w:eastAsia="Arial" w:hint="default"/>
                <w:sz w:val="24"/>
                <w:szCs w:val="24"/>
              </w:rPr>
            </w:pPr>
            <w:r>
              <w:rPr>
                <w:rFonts w:ascii="Arial"/>
                <w:sz w:val="24"/>
              </w:rPr>
              <w:t>17,148,892</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72" w:right="0"/>
              <w:jc w:val="left"/>
              <w:rPr>
                <w:rFonts w:ascii="Arial" w:hAnsi="Arial" w:cs="Arial" w:eastAsia="Arial" w:hint="default"/>
                <w:sz w:val="24"/>
                <w:szCs w:val="24"/>
              </w:rPr>
            </w:pPr>
            <w:r>
              <w:rPr>
                <w:rFonts w:ascii="Arial"/>
                <w:sz w:val="24"/>
              </w:rPr>
              <w:t>15,643,520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77" w:right="0"/>
              <w:jc w:val="left"/>
              <w:rPr>
                <w:rFonts w:ascii="Arial" w:hAnsi="Arial" w:cs="Arial" w:eastAsia="Arial" w:hint="default"/>
                <w:sz w:val="24"/>
                <w:szCs w:val="24"/>
              </w:rPr>
            </w:pPr>
            <w:r>
              <w:rPr>
                <w:rFonts w:ascii="Arial"/>
                <w:sz w:val="24"/>
              </w:rPr>
              <w:t>12,364,458</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pacing w:val="-3"/>
                <w:sz w:val="24"/>
              </w:rPr>
              <w:t>11,460,497</w:t>
            </w:r>
          </w:p>
        </w:tc>
      </w:tr>
      <w:tr>
        <w:trPr>
          <w:trHeight w:val="32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2" w:right="0"/>
              <w:jc w:val="left"/>
              <w:rPr>
                <w:rFonts w:ascii="Arial" w:hAnsi="Arial" w:cs="Arial" w:eastAsia="Arial" w:hint="default"/>
                <w:sz w:val="24"/>
                <w:szCs w:val="24"/>
              </w:rPr>
            </w:pPr>
            <w:r>
              <w:rPr>
                <w:rFonts w:ascii="Arial"/>
                <w:spacing w:val="-3"/>
                <w:sz w:val="24"/>
              </w:rPr>
              <w:t>11,272,584</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04" w:right="0"/>
              <w:jc w:val="left"/>
              <w:rPr>
                <w:rFonts w:ascii="Arial" w:hAnsi="Arial" w:cs="Arial" w:eastAsia="Arial" w:hint="default"/>
                <w:sz w:val="24"/>
                <w:szCs w:val="24"/>
              </w:rPr>
            </w:pPr>
            <w:r>
              <w:rPr>
                <w:rFonts w:ascii="Arial"/>
                <w:sz w:val="24"/>
              </w:rPr>
              <w:t>8,936,158</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09" w:right="0"/>
              <w:jc w:val="left"/>
              <w:rPr>
                <w:rFonts w:ascii="Arial" w:hAnsi="Arial" w:cs="Arial" w:eastAsia="Arial" w:hint="default"/>
                <w:sz w:val="24"/>
                <w:szCs w:val="24"/>
              </w:rPr>
            </w:pPr>
            <w:r>
              <w:rPr>
                <w:rFonts w:ascii="Arial"/>
                <w:sz w:val="24"/>
              </w:rPr>
              <w:t>9,698,574</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pacing w:val="-1"/>
                <w:sz w:val="24"/>
              </w:rPr>
              <w:t>7,932,245</w:t>
            </w:r>
          </w:p>
        </w:tc>
      </w:tr>
      <w:tr>
        <w:trPr>
          <w:trHeight w:val="32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Arial" w:hAnsi="Arial" w:cs="Arial" w:eastAsia="Arial" w:hint="default"/>
                <w:sz w:val="24"/>
                <w:szCs w:val="24"/>
              </w:rPr>
            </w:pPr>
            <w:r>
              <w:rPr>
                <w:rFonts w:ascii="宋体" w:hAnsi="宋体" w:cs="宋体" w:eastAsia="宋体" w:hint="default"/>
                <w:sz w:val="24"/>
                <w:szCs w:val="24"/>
              </w:rPr>
              <w:t>小家电产品</w:t>
            </w:r>
            <w:r>
              <w:rPr>
                <w:rFonts w:ascii="Arial" w:hAnsi="Arial" w:cs="Arial" w:eastAsia="Arial" w:hint="default"/>
                <w:sz w:val="24"/>
                <w:szCs w:val="24"/>
              </w:rPr>
              <w:t>(i)</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32" w:right="0"/>
              <w:jc w:val="left"/>
              <w:rPr>
                <w:rFonts w:ascii="Arial" w:hAnsi="Arial" w:cs="Arial" w:eastAsia="Arial" w:hint="default"/>
                <w:sz w:val="24"/>
                <w:szCs w:val="24"/>
              </w:rPr>
            </w:pPr>
            <w:r>
              <w:rPr>
                <w:rFonts w:ascii="Arial"/>
                <w:spacing w:val="-3"/>
                <w:sz w:val="24"/>
              </w:rPr>
              <w:t>11,066,883</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04" w:right="0"/>
              <w:jc w:val="left"/>
              <w:rPr>
                <w:rFonts w:ascii="Arial" w:hAnsi="Arial" w:cs="Arial" w:eastAsia="Arial" w:hint="default"/>
                <w:sz w:val="24"/>
                <w:szCs w:val="24"/>
              </w:rPr>
            </w:pPr>
            <w:r>
              <w:rPr>
                <w:rFonts w:ascii="Arial"/>
                <w:sz w:val="24"/>
              </w:rPr>
              <w:t>8,533,839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09" w:right="0"/>
              <w:jc w:val="left"/>
              <w:rPr>
                <w:rFonts w:ascii="Arial" w:hAnsi="Arial" w:cs="Arial" w:eastAsia="Arial" w:hint="default"/>
                <w:sz w:val="24"/>
                <w:szCs w:val="24"/>
              </w:rPr>
            </w:pPr>
            <w:r>
              <w:rPr>
                <w:rFonts w:ascii="Arial"/>
                <w:sz w:val="24"/>
              </w:rPr>
              <w:t>9,528,368</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pacing w:val="-1"/>
                <w:sz w:val="24"/>
              </w:rPr>
              <w:t>7,546,425</w:t>
            </w:r>
          </w:p>
        </w:tc>
      </w:tr>
      <w:tr>
        <w:trPr>
          <w:trHeight w:val="317"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15" w:right="0"/>
              <w:jc w:val="left"/>
              <w:rPr>
                <w:rFonts w:ascii="Arial" w:hAnsi="Arial" w:cs="Arial" w:eastAsia="Arial" w:hint="default"/>
                <w:sz w:val="24"/>
                <w:szCs w:val="24"/>
              </w:rPr>
            </w:pPr>
            <w:r>
              <w:rPr>
                <w:rFonts w:ascii="Arial"/>
                <w:sz w:val="24"/>
              </w:rPr>
              <w:t>12,373,602</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72" w:right="0"/>
              <w:jc w:val="left"/>
              <w:rPr>
                <w:rFonts w:ascii="Arial" w:hAnsi="Arial" w:cs="Arial" w:eastAsia="Arial" w:hint="default"/>
                <w:sz w:val="24"/>
                <w:szCs w:val="24"/>
              </w:rPr>
            </w:pPr>
            <w:r>
              <w:rPr>
                <w:rFonts w:ascii="Arial"/>
                <w:sz w:val="24"/>
              </w:rPr>
              <w:t>10,965,513</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09" w:right="0"/>
              <w:jc w:val="left"/>
              <w:rPr>
                <w:rFonts w:ascii="Arial" w:hAnsi="Arial" w:cs="Arial" w:eastAsia="Arial" w:hint="default"/>
                <w:sz w:val="24"/>
                <w:szCs w:val="24"/>
              </w:rPr>
            </w:pPr>
            <w:r>
              <w:rPr>
                <w:rFonts w:ascii="Arial"/>
                <w:sz w:val="24"/>
              </w:rPr>
              <w:t>8,898,849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pacing w:val="-1"/>
                <w:sz w:val="24"/>
              </w:rPr>
              <w:t>8,007,147</w:t>
            </w:r>
          </w:p>
        </w:tc>
      </w:tr>
      <w:tr>
        <w:trPr>
          <w:trHeight w:val="31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66" w:right="0"/>
              <w:jc w:val="left"/>
              <w:rPr>
                <w:rFonts w:ascii="Arial" w:hAnsi="Arial" w:cs="Arial" w:eastAsia="Arial" w:hint="default"/>
                <w:sz w:val="24"/>
                <w:szCs w:val="24"/>
              </w:rPr>
            </w:pPr>
            <w:r>
              <w:rPr>
                <w:rFonts w:ascii="Arial"/>
                <w:spacing w:val="-3"/>
                <w:sz w:val="24"/>
              </w:rPr>
              <w:t>909,611</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06" w:right="0"/>
              <w:jc w:val="left"/>
              <w:rPr>
                <w:rFonts w:ascii="Arial" w:hAnsi="Arial" w:cs="Arial" w:eastAsia="Arial" w:hint="default"/>
                <w:sz w:val="24"/>
                <w:szCs w:val="24"/>
              </w:rPr>
            </w:pPr>
            <w:r>
              <w:rPr>
                <w:rFonts w:ascii="Arial"/>
                <w:sz w:val="24"/>
              </w:rPr>
              <w:t>600,399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11" w:right="0"/>
              <w:jc w:val="left"/>
              <w:rPr>
                <w:rFonts w:ascii="Arial" w:hAnsi="Arial" w:cs="Arial" w:eastAsia="Arial" w:hint="default"/>
                <w:sz w:val="24"/>
                <w:szCs w:val="24"/>
              </w:rPr>
            </w:pPr>
            <w:r>
              <w:rPr>
                <w:rFonts w:ascii="Arial"/>
                <w:sz w:val="24"/>
              </w:rPr>
              <w:t>854,589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pacing w:val="-1"/>
                <w:sz w:val="24"/>
              </w:rPr>
              <w:t>586,434</w:t>
            </w:r>
          </w:p>
        </w:tc>
      </w:tr>
      <w:tr>
        <w:trPr>
          <w:trHeight w:val="314" w:hRule="exact"/>
        </w:trPr>
        <w:tc>
          <w:tcPr>
            <w:tcW w:w="2052" w:type="dxa"/>
            <w:tcBorders>
              <w:top w:val="nil" w:sz="6" w:space="0" w:color="auto"/>
              <w:left w:val="nil" w:sz="6" w:space="0" w:color="auto"/>
              <w:bottom w:val="nil" w:sz="6" w:space="0" w:color="auto"/>
              <w:right w:val="nil" w:sz="6" w:space="0" w:color="auto"/>
            </w:tcBorders>
          </w:tcPr>
          <w:p>
            <w:pPr>
              <w:pStyle w:val="TableParagraph"/>
              <w:tabs>
                <w:tab w:pos="1983" w:val="left" w:leader="none"/>
                <w:tab w:pos="2701" w:val="left" w:leader="none"/>
              </w:tabs>
              <w:spacing w:line="260" w:lineRule="exact"/>
              <w:ind w:left="200" w:right="-650"/>
              <w:jc w:val="left"/>
              <w:rPr>
                <w:rFonts w:ascii="Arial" w:hAnsi="Arial" w:cs="Arial" w:eastAsia="Arial" w:hint="default"/>
                <w:sz w:val="24"/>
                <w:szCs w:val="24"/>
              </w:rPr>
            </w:pPr>
            <w:r>
              <w:rPr>
                <w:rFonts w:ascii="宋体" w:hAnsi="宋体" w:cs="宋体" w:eastAsia="宋体" w:hint="default"/>
                <w:position w:val="2"/>
                <w:sz w:val="24"/>
                <w:szCs w:val="24"/>
              </w:rPr>
              <w:t>其他产品</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49" w:type="dxa"/>
            <w:tcBorders>
              <w:top w:val="nil" w:sz="6" w:space="0" w:color="auto"/>
              <w:left w:val="nil" w:sz="6" w:space="0" w:color="auto"/>
              <w:bottom w:val="nil" w:sz="6" w:space="0" w:color="auto"/>
              <w:right w:val="nil" w:sz="6" w:space="0" w:color="auto"/>
            </w:tcBorders>
          </w:tcPr>
          <w:p>
            <w:pPr>
              <w:pStyle w:val="TableParagraph"/>
              <w:tabs>
                <w:tab w:pos="1623" w:val="left" w:leader="none"/>
              </w:tabs>
              <w:spacing w:line="240" w:lineRule="auto" w:before="21"/>
              <w:ind w:left="649" w:right="0"/>
              <w:jc w:val="left"/>
              <w:rPr>
                <w:rFonts w:ascii="Arial" w:hAnsi="Arial" w:cs="Arial" w:eastAsia="Arial" w:hint="default"/>
                <w:sz w:val="24"/>
                <w:szCs w:val="24"/>
              </w:rPr>
            </w:pPr>
            <w:r>
              <w:rPr>
                <w:rFonts w:ascii="Arial"/>
                <w:w w:val="99"/>
                <w:sz w:val="24"/>
              </w:rPr>
            </w:r>
            <w:r>
              <w:rPr>
                <w:rFonts w:ascii="Arial"/>
                <w:sz w:val="24"/>
                <w:u w:val="single" w:color="000000"/>
              </w:rPr>
              <w:t>309,777</w:t>
              <w:tab/>
            </w:r>
            <w:r>
              <w:rPr>
                <w:rFonts w:ascii="Arial"/>
                <w:sz w:val="24"/>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91" w:val="left" w:leader="none"/>
                <w:tab w:pos="1666" w:val="left" w:leader="none"/>
              </w:tabs>
              <w:spacing w:line="240" w:lineRule="auto" w:before="21"/>
              <w:ind w:right="1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264,754</w:t>
              <w:tab/>
            </w:r>
            <w:r>
              <w:rPr>
                <w:rFonts w:ascii="Arial"/>
                <w:spacing w:val="-1"/>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705" w:val="left" w:leader="none"/>
                <w:tab w:pos="1680" w:val="left" w:leader="none"/>
              </w:tabs>
              <w:spacing w:line="240" w:lineRule="auto" w:before="21"/>
              <w:ind w:right="1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231,876</w:t>
              <w:tab/>
            </w:r>
            <w:r>
              <w:rPr>
                <w:rFonts w:ascii="Arial"/>
                <w:spacing w:val="-1"/>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739" w:val="left" w:leader="none"/>
                <w:tab w:pos="1711" w:val="left" w:leader="none"/>
              </w:tabs>
              <w:spacing w:line="240" w:lineRule="auto" w:before="21"/>
              <w:ind w:right="9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231,302</w:t>
              <w:tab/>
            </w:r>
            <w:r>
              <w:rPr>
                <w:rFonts w:ascii="Arial"/>
                <w:spacing w:val="-1"/>
                <w:sz w:val="24"/>
              </w:rPr>
            </w:r>
          </w:p>
        </w:tc>
      </w:tr>
      <w:tr>
        <w:trPr>
          <w:trHeight w:val="437" w:hRule="exact"/>
        </w:trPr>
        <w:tc>
          <w:tcPr>
            <w:tcW w:w="3801" w:type="dxa"/>
            <w:gridSpan w:val="2"/>
            <w:tcBorders>
              <w:top w:val="nil" w:sz="6" w:space="0" w:color="auto"/>
              <w:left w:val="nil" w:sz="6" w:space="0" w:color="auto"/>
              <w:bottom w:val="nil" w:sz="6" w:space="0" w:color="auto"/>
              <w:right w:val="nil" w:sz="6" w:space="0" w:color="auto"/>
            </w:tcBorders>
          </w:tcPr>
          <w:p>
            <w:pPr>
              <w:pStyle w:val="TableParagraph"/>
              <w:tabs>
                <w:tab w:pos="2367" w:val="left" w:leader="none"/>
                <w:tab w:pos="3675" w:val="left" w:leader="none"/>
              </w:tabs>
              <w:spacing w:line="268" w:lineRule="exact"/>
              <w:ind w:left="198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92,465,377</w:t>
              <w:tab/>
            </w:r>
            <w:r>
              <w:rPr>
                <w:rFonts w:ascii="Arial"/>
                <w:sz w:val="24"/>
              </w:rPr>
            </w:r>
          </w:p>
        </w:tc>
        <w:tc>
          <w:tcPr>
            <w:tcW w:w="1910" w:type="dxa"/>
            <w:tcBorders>
              <w:top w:val="nil" w:sz="6" w:space="0" w:color="auto"/>
              <w:left w:val="nil" w:sz="6" w:space="0" w:color="auto"/>
              <w:bottom w:val="nil" w:sz="6" w:space="0" w:color="auto"/>
              <w:right w:val="nil" w:sz="6" w:space="0" w:color="auto"/>
            </w:tcBorders>
          </w:tcPr>
          <w:p>
            <w:pPr>
              <w:pStyle w:val="TableParagraph"/>
              <w:tabs>
                <w:tab w:pos="357" w:val="left" w:leader="none"/>
                <w:tab w:pos="1666" w:val="left" w:leader="none"/>
              </w:tabs>
              <w:spacing w:line="268" w:lineRule="exact"/>
              <w:ind w:right="12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75,855,609</w:t>
              <w:tab/>
            </w:r>
            <w:r>
              <w:rPr>
                <w:rFonts w:ascii="Arial"/>
                <w:spacing w:val="-1"/>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371" w:val="left" w:leader="none"/>
                <w:tab w:pos="1680" w:val="left" w:leader="none"/>
              </w:tabs>
              <w:spacing w:line="268" w:lineRule="exact"/>
              <w:ind w:right="14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74,227,457</w:t>
              <w:tab/>
            </w:r>
            <w:r>
              <w:rPr>
                <w:rFonts w:ascii="Arial"/>
                <w:spacing w:val="-1"/>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405" w:val="left" w:leader="none"/>
                <w:tab w:pos="1711" w:val="left" w:leader="none"/>
              </w:tabs>
              <w:spacing w:line="268" w:lineRule="exact"/>
              <w:ind w:right="9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61,915,817</w:t>
              <w:tab/>
            </w:r>
            <w:r>
              <w:rPr>
                <w:rFonts w:ascii="Arial"/>
                <w:spacing w:val="-1"/>
                <w:sz w:val="24"/>
              </w:rPr>
            </w:r>
          </w:p>
        </w:tc>
      </w:tr>
      <w:tr>
        <w:trPr>
          <w:trHeight w:val="426" w:hRule="exact"/>
        </w:trPr>
        <w:tc>
          <w:tcPr>
            <w:tcW w:w="571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1"/>
                <w:sz w:val="24"/>
                <w:szCs w:val="24"/>
              </w:rPr>
              <w:t> </w:t>
            </w:r>
            <w:r>
              <w:rPr>
                <w:rFonts w:ascii="宋体" w:hAnsi="宋体" w:cs="宋体" w:eastAsia="宋体" w:hint="default"/>
                <w:sz w:val="24"/>
                <w:szCs w:val="24"/>
              </w:rPr>
              <w:t>本集团小家电产品包括小家电及百货类产品。</w:t>
            </w:r>
          </w:p>
        </w:tc>
        <w:tc>
          <w:tcPr>
            <w:tcW w:w="193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754" w:footer="956" w:top="2240" w:bottom="1140" w:left="7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1906"/>
        <w:gridCol w:w="1707"/>
        <w:gridCol w:w="226"/>
        <w:gridCol w:w="1680"/>
        <w:gridCol w:w="221"/>
        <w:gridCol w:w="1695"/>
        <w:gridCol w:w="226"/>
        <w:gridCol w:w="1735"/>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14"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61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71"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26" w:type="dxa"/>
            <w:tcBorders>
              <w:top w:val="single" w:sz="6" w:space="0" w:color="000000"/>
              <w:left w:val="nil" w:sz="6" w:space="0" w:color="auto"/>
              <w:bottom w:val="nil" w:sz="6" w:space="0" w:color="auto"/>
              <w:right w:val="nil" w:sz="6" w:space="0" w:color="auto"/>
            </w:tcBorders>
          </w:tcPr>
          <w:p>
            <w:pPr/>
          </w:p>
        </w:tc>
        <w:tc>
          <w:tcPr>
            <w:tcW w:w="1680" w:type="dxa"/>
            <w:tcBorders>
              <w:top w:val="single" w:sz="6" w:space="0" w:color="000000"/>
              <w:left w:val="nil" w:sz="6" w:space="0" w:color="auto"/>
              <w:bottom w:val="nil" w:sz="6" w:space="0" w:color="auto"/>
              <w:right w:val="nil" w:sz="6" w:space="0" w:color="auto"/>
            </w:tcBorders>
          </w:tcPr>
          <w:p>
            <w:pPr/>
          </w:p>
        </w:tc>
        <w:tc>
          <w:tcPr>
            <w:tcW w:w="221" w:type="dxa"/>
            <w:tcBorders>
              <w:top w:val="single" w:sz="6" w:space="0" w:color="000000"/>
              <w:left w:val="nil" w:sz="6" w:space="0" w:color="auto"/>
              <w:bottom w:val="nil" w:sz="6" w:space="0" w:color="auto"/>
              <w:right w:val="nil" w:sz="6" w:space="0" w:color="auto"/>
            </w:tcBorders>
          </w:tcPr>
          <w:p>
            <w:pPr/>
          </w:p>
        </w:tc>
        <w:tc>
          <w:tcPr>
            <w:tcW w:w="1695" w:type="dxa"/>
            <w:tcBorders>
              <w:top w:val="single" w:sz="6" w:space="0" w:color="000000"/>
              <w:left w:val="nil" w:sz="6" w:space="0" w:color="auto"/>
              <w:bottom w:val="nil" w:sz="6" w:space="0" w:color="auto"/>
              <w:right w:val="nil" w:sz="6" w:space="0" w:color="auto"/>
            </w:tcBorders>
          </w:tcPr>
          <w:p>
            <w:pPr/>
          </w:p>
        </w:tc>
        <w:tc>
          <w:tcPr>
            <w:tcW w:w="226" w:type="dxa"/>
            <w:tcBorders>
              <w:top w:val="single" w:sz="6" w:space="0" w:color="000000"/>
              <w:left w:val="nil" w:sz="6" w:space="0" w:color="auto"/>
              <w:bottom w:val="nil" w:sz="6" w:space="0" w:color="auto"/>
              <w:right w:val="nil" w:sz="6" w:space="0" w:color="auto"/>
            </w:tcBorders>
          </w:tcPr>
          <w:p>
            <w:pPr/>
          </w:p>
        </w:tc>
        <w:tc>
          <w:tcPr>
            <w:tcW w:w="1735"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(36)</w:t>
            </w:r>
          </w:p>
        </w:tc>
        <w:tc>
          <w:tcPr>
            <w:tcW w:w="3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3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45"/>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
        </w:tc>
        <w:tc>
          <w:tcPr>
            <w:tcW w:w="36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按地区分析如下：</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461"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361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9" w:right="0"/>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87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151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w:t>
            </w:r>
          </w:p>
        </w:tc>
      </w:tr>
      <w:tr>
        <w:trPr>
          <w:trHeight w:val="467"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75" w:lineRule="exact"/>
              <w:ind w:left="15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75" w:lineRule="exact"/>
              <w:ind w:left="131"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75" w:lineRule="exact"/>
              <w:ind w:left="14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75" w:lineRule="exact"/>
              <w:ind w:left="18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88"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36" w:right="0"/>
              <w:jc w:val="left"/>
              <w:rPr>
                <w:rFonts w:ascii="宋体" w:hAnsi="宋体" w:cs="宋体" w:eastAsia="宋体" w:hint="default"/>
                <w:sz w:val="24"/>
                <w:szCs w:val="24"/>
              </w:rPr>
            </w:pPr>
            <w:r>
              <w:rPr>
                <w:rFonts w:ascii="宋体" w:hAnsi="宋体" w:cs="宋体" w:eastAsia="宋体" w:hint="default"/>
                <w:sz w:val="24"/>
                <w:szCs w:val="24"/>
              </w:rPr>
              <w:t>华东一区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98" w:right="0"/>
              <w:jc w:val="left"/>
              <w:rPr>
                <w:rFonts w:ascii="Arial" w:hAnsi="Arial" w:cs="Arial" w:eastAsia="Arial" w:hint="default"/>
                <w:sz w:val="24"/>
                <w:szCs w:val="24"/>
              </w:rPr>
            </w:pPr>
            <w:r>
              <w:rPr>
                <w:rFonts w:ascii="Arial"/>
                <w:sz w:val="24"/>
              </w:rPr>
              <w:t>22,647,570</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81" w:right="0"/>
              <w:jc w:val="left"/>
              <w:rPr>
                <w:rFonts w:ascii="Arial" w:hAnsi="Arial" w:cs="Arial" w:eastAsia="Arial" w:hint="default"/>
                <w:sz w:val="24"/>
                <w:szCs w:val="24"/>
              </w:rPr>
            </w:pPr>
            <w:r>
              <w:rPr>
                <w:rFonts w:ascii="Arial"/>
                <w:sz w:val="24"/>
              </w:rPr>
              <w:t>18,877,084</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96" w:right="0"/>
              <w:jc w:val="left"/>
              <w:rPr>
                <w:rFonts w:ascii="Arial" w:hAnsi="Arial" w:cs="Arial" w:eastAsia="Arial" w:hint="default"/>
                <w:sz w:val="24"/>
                <w:szCs w:val="24"/>
              </w:rPr>
            </w:pPr>
            <w:r>
              <w:rPr>
                <w:rFonts w:ascii="Arial"/>
                <w:sz w:val="24"/>
              </w:rPr>
              <w:t>17,442,207</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108"/>
              <w:jc w:val="right"/>
              <w:rPr>
                <w:rFonts w:ascii="Arial" w:hAnsi="Arial" w:cs="Arial" w:eastAsia="Arial" w:hint="default"/>
                <w:sz w:val="24"/>
                <w:szCs w:val="24"/>
              </w:rPr>
            </w:pPr>
            <w:r>
              <w:rPr>
                <w:rFonts w:ascii="Arial"/>
                <w:spacing w:val="-1"/>
                <w:sz w:val="24"/>
              </w:rPr>
              <w:t>14,909,226</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华东二区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5" w:right="0"/>
              <w:jc w:val="left"/>
              <w:rPr>
                <w:rFonts w:ascii="Arial" w:hAnsi="Arial" w:cs="Arial" w:eastAsia="Arial" w:hint="default"/>
                <w:sz w:val="24"/>
                <w:szCs w:val="24"/>
              </w:rPr>
            </w:pPr>
            <w:r>
              <w:rPr>
                <w:rFonts w:ascii="Arial"/>
                <w:spacing w:val="-3"/>
                <w:sz w:val="24"/>
              </w:rPr>
              <w:t>15,115,193</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81" w:right="0"/>
              <w:jc w:val="left"/>
              <w:rPr>
                <w:rFonts w:ascii="Arial" w:hAnsi="Arial" w:cs="Arial" w:eastAsia="Arial" w:hint="default"/>
                <w:sz w:val="24"/>
                <w:szCs w:val="24"/>
              </w:rPr>
            </w:pPr>
            <w:r>
              <w:rPr>
                <w:rFonts w:ascii="Arial"/>
                <w:sz w:val="24"/>
              </w:rPr>
              <w:t>12,252,195</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6" w:right="0"/>
              <w:jc w:val="left"/>
              <w:rPr>
                <w:rFonts w:ascii="Arial" w:hAnsi="Arial" w:cs="Arial" w:eastAsia="Arial" w:hint="default"/>
                <w:sz w:val="24"/>
                <w:szCs w:val="24"/>
              </w:rPr>
            </w:pPr>
            <w:r>
              <w:rPr>
                <w:rFonts w:ascii="Arial"/>
                <w:sz w:val="24"/>
              </w:rPr>
              <w:t>13,581,781</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3"/>
                <w:sz w:val="24"/>
              </w:rPr>
              <w:t>11,170,193</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8" w:right="0"/>
              <w:jc w:val="left"/>
              <w:rPr>
                <w:rFonts w:ascii="Arial" w:hAnsi="Arial" w:cs="Arial" w:eastAsia="Arial" w:hint="default"/>
                <w:sz w:val="24"/>
                <w:szCs w:val="24"/>
              </w:rPr>
            </w:pPr>
            <w:r>
              <w:rPr>
                <w:rFonts w:ascii="Arial"/>
                <w:sz w:val="24"/>
              </w:rPr>
              <w:t>14,362,746</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8" w:right="0"/>
              <w:jc w:val="left"/>
              <w:rPr>
                <w:rFonts w:ascii="Arial" w:hAnsi="Arial" w:cs="Arial" w:eastAsia="Arial" w:hint="default"/>
                <w:sz w:val="24"/>
                <w:szCs w:val="24"/>
              </w:rPr>
            </w:pPr>
            <w:r>
              <w:rPr>
                <w:rFonts w:ascii="Arial"/>
                <w:spacing w:val="-3"/>
                <w:sz w:val="24"/>
              </w:rPr>
              <w:t>11,715,021</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2" w:right="0"/>
              <w:jc w:val="left"/>
              <w:rPr>
                <w:rFonts w:ascii="Arial" w:hAnsi="Arial" w:cs="Arial" w:eastAsia="Arial" w:hint="default"/>
                <w:sz w:val="24"/>
                <w:szCs w:val="24"/>
              </w:rPr>
            </w:pPr>
            <w:r>
              <w:rPr>
                <w:rFonts w:ascii="Arial"/>
                <w:spacing w:val="-3"/>
                <w:sz w:val="24"/>
              </w:rPr>
              <w:t>11,707,477</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1"/>
                <w:sz w:val="24"/>
              </w:rPr>
              <w:t>9,728,991</w:t>
            </w:r>
          </w:p>
        </w:tc>
      </w:tr>
      <w:tr>
        <w:trPr>
          <w:trHeight w:val="323"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8" w:right="0"/>
              <w:jc w:val="left"/>
              <w:rPr>
                <w:rFonts w:ascii="Arial" w:hAnsi="Arial" w:cs="Arial" w:eastAsia="Arial" w:hint="default"/>
                <w:sz w:val="24"/>
                <w:szCs w:val="24"/>
              </w:rPr>
            </w:pPr>
            <w:r>
              <w:rPr>
                <w:rFonts w:ascii="Arial"/>
                <w:sz w:val="24"/>
              </w:rPr>
              <w:t>13,635,283</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8" w:right="0"/>
              <w:jc w:val="left"/>
              <w:rPr>
                <w:rFonts w:ascii="Arial" w:hAnsi="Arial" w:cs="Arial" w:eastAsia="Arial" w:hint="default"/>
                <w:sz w:val="24"/>
                <w:szCs w:val="24"/>
              </w:rPr>
            </w:pPr>
            <w:r>
              <w:rPr>
                <w:rFonts w:ascii="Arial"/>
                <w:spacing w:val="-3"/>
                <w:sz w:val="24"/>
              </w:rPr>
              <w:t>11,130,195</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2" w:right="0"/>
              <w:jc w:val="left"/>
              <w:rPr>
                <w:rFonts w:ascii="Arial" w:hAnsi="Arial" w:cs="Arial" w:eastAsia="Arial" w:hint="default"/>
                <w:sz w:val="24"/>
                <w:szCs w:val="24"/>
              </w:rPr>
            </w:pPr>
            <w:r>
              <w:rPr>
                <w:rFonts w:ascii="Arial"/>
                <w:spacing w:val="-3"/>
                <w:sz w:val="24"/>
              </w:rPr>
              <w:t>11,349,500</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1"/>
                <w:sz w:val="24"/>
              </w:rPr>
              <w:t>9,382,525</w:t>
            </w:r>
          </w:p>
        </w:tc>
      </w:tr>
      <w:tr>
        <w:trPr>
          <w:trHeight w:val="323"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7" w:lineRule="exact"/>
              <w:ind w:left="136" w:right="0"/>
              <w:jc w:val="left"/>
              <w:rPr>
                <w:rFonts w:ascii="宋体" w:hAnsi="宋体" w:cs="宋体" w:eastAsia="宋体" w:hint="default"/>
                <w:sz w:val="24"/>
                <w:szCs w:val="24"/>
              </w:rPr>
            </w:pPr>
            <w:r>
              <w:rPr>
                <w:rFonts w:ascii="宋体" w:hAnsi="宋体" w:cs="宋体" w:eastAsia="宋体" w:hint="default"/>
                <w:sz w:val="24"/>
                <w:szCs w:val="24"/>
              </w:rPr>
              <w:t>西南地区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30" w:right="0"/>
              <w:jc w:val="left"/>
              <w:rPr>
                <w:rFonts w:ascii="Arial" w:hAnsi="Arial" w:cs="Arial" w:eastAsia="Arial" w:hint="default"/>
                <w:sz w:val="24"/>
                <w:szCs w:val="24"/>
              </w:rPr>
            </w:pPr>
            <w:r>
              <w:rPr>
                <w:rFonts w:ascii="Arial"/>
                <w:sz w:val="24"/>
              </w:rPr>
              <w:t>9,905,433</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3" w:right="0"/>
              <w:jc w:val="left"/>
              <w:rPr>
                <w:rFonts w:ascii="Arial" w:hAnsi="Arial" w:cs="Arial" w:eastAsia="Arial" w:hint="default"/>
                <w:sz w:val="24"/>
                <w:szCs w:val="24"/>
              </w:rPr>
            </w:pPr>
            <w:r>
              <w:rPr>
                <w:rFonts w:ascii="Arial"/>
                <w:sz w:val="24"/>
              </w:rPr>
              <w:t>8,024,710</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27" w:right="0"/>
              <w:jc w:val="left"/>
              <w:rPr>
                <w:rFonts w:ascii="Arial" w:hAnsi="Arial" w:cs="Arial" w:eastAsia="Arial" w:hint="default"/>
                <w:sz w:val="24"/>
                <w:szCs w:val="24"/>
              </w:rPr>
            </w:pPr>
            <w:r>
              <w:rPr>
                <w:rFonts w:ascii="Arial"/>
                <w:sz w:val="24"/>
              </w:rPr>
              <w:t>7,513,241</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sz w:val="24"/>
              </w:rPr>
              <w:t>6,162,654</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0" w:right="0"/>
              <w:jc w:val="left"/>
              <w:rPr>
                <w:rFonts w:ascii="Arial" w:hAnsi="Arial" w:cs="Arial" w:eastAsia="Arial" w:hint="default"/>
                <w:sz w:val="24"/>
                <w:szCs w:val="24"/>
              </w:rPr>
            </w:pPr>
            <w:r>
              <w:rPr>
                <w:rFonts w:ascii="Arial"/>
                <w:sz w:val="24"/>
              </w:rPr>
              <w:t>5,197,520</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3" w:right="0"/>
              <w:jc w:val="left"/>
              <w:rPr>
                <w:rFonts w:ascii="Arial" w:hAnsi="Arial" w:cs="Arial" w:eastAsia="Arial" w:hint="default"/>
                <w:sz w:val="24"/>
                <w:szCs w:val="24"/>
              </w:rPr>
            </w:pPr>
            <w:r>
              <w:rPr>
                <w:rFonts w:ascii="Arial"/>
                <w:sz w:val="24"/>
              </w:rPr>
              <w:t>4,275,034</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7" w:right="0"/>
              <w:jc w:val="left"/>
              <w:rPr>
                <w:rFonts w:ascii="Arial" w:hAnsi="Arial" w:cs="Arial" w:eastAsia="Arial" w:hint="default"/>
                <w:sz w:val="24"/>
                <w:szCs w:val="24"/>
              </w:rPr>
            </w:pPr>
            <w:r>
              <w:rPr>
                <w:rFonts w:ascii="Arial"/>
                <w:sz w:val="24"/>
              </w:rPr>
              <w:t>4,298,562</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1"/>
                <w:sz w:val="24"/>
              </w:rPr>
              <w:t>3,590,636</w:t>
            </w:r>
          </w:p>
        </w:tc>
      </w:tr>
      <w:tr>
        <w:trPr>
          <w:trHeight w:val="322"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0" w:right="0"/>
              <w:jc w:val="left"/>
              <w:rPr>
                <w:rFonts w:ascii="Arial" w:hAnsi="Arial" w:cs="Arial" w:eastAsia="Arial" w:hint="default"/>
                <w:sz w:val="24"/>
                <w:szCs w:val="24"/>
              </w:rPr>
            </w:pPr>
            <w:r>
              <w:rPr>
                <w:rFonts w:ascii="Arial"/>
                <w:sz w:val="24"/>
              </w:rPr>
              <w:t>5,294,576</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3" w:right="0"/>
              <w:jc w:val="left"/>
              <w:rPr>
                <w:rFonts w:ascii="Arial" w:hAnsi="Arial" w:cs="Arial" w:eastAsia="Arial" w:hint="default"/>
                <w:sz w:val="24"/>
                <w:szCs w:val="24"/>
              </w:rPr>
            </w:pPr>
            <w:r>
              <w:rPr>
                <w:rFonts w:ascii="Arial"/>
                <w:sz w:val="24"/>
              </w:rPr>
              <w:t>4,334,268</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7" w:right="0"/>
              <w:jc w:val="left"/>
              <w:rPr>
                <w:rFonts w:ascii="Arial" w:hAnsi="Arial" w:cs="Arial" w:eastAsia="Arial" w:hint="default"/>
                <w:sz w:val="24"/>
                <w:szCs w:val="24"/>
              </w:rPr>
            </w:pPr>
            <w:r>
              <w:rPr>
                <w:rFonts w:ascii="Arial"/>
                <w:sz w:val="24"/>
              </w:rPr>
              <w:t>4,245,513</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1"/>
                <w:sz w:val="24"/>
              </w:rPr>
              <w:t>3,513,971</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5" w:lineRule="exact"/>
              <w:ind w:left="136"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0" w:right="0"/>
              <w:jc w:val="left"/>
              <w:rPr>
                <w:rFonts w:ascii="Arial" w:hAnsi="Arial" w:cs="Arial" w:eastAsia="Arial" w:hint="default"/>
                <w:sz w:val="24"/>
                <w:szCs w:val="24"/>
              </w:rPr>
            </w:pPr>
            <w:r>
              <w:rPr>
                <w:rFonts w:ascii="Arial"/>
                <w:sz w:val="24"/>
              </w:rPr>
              <w:t>4,325,590</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3" w:right="0"/>
              <w:jc w:val="left"/>
              <w:rPr>
                <w:rFonts w:ascii="Arial" w:hAnsi="Arial" w:cs="Arial" w:eastAsia="Arial" w:hint="default"/>
                <w:sz w:val="24"/>
                <w:szCs w:val="24"/>
              </w:rPr>
            </w:pPr>
            <w:r>
              <w:rPr>
                <w:rFonts w:ascii="Arial"/>
                <w:sz w:val="24"/>
              </w:rPr>
              <w:t>3,503,352</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27" w:right="0"/>
              <w:jc w:val="left"/>
              <w:rPr>
                <w:rFonts w:ascii="Arial" w:hAnsi="Arial" w:cs="Arial" w:eastAsia="Arial" w:hint="default"/>
                <w:sz w:val="24"/>
                <w:szCs w:val="24"/>
              </w:rPr>
            </w:pPr>
            <w:r>
              <w:rPr>
                <w:rFonts w:ascii="Arial"/>
                <w:sz w:val="24"/>
              </w:rPr>
              <w:t>3,252,174</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spacing w:val="-1"/>
                <w:sz w:val="24"/>
              </w:rPr>
              <w:t>2,693,573</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香港地区</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0" w:right="0"/>
              <w:jc w:val="left"/>
              <w:rPr>
                <w:rFonts w:ascii="Arial" w:hAnsi="Arial" w:cs="Arial" w:eastAsia="Arial" w:hint="default"/>
                <w:sz w:val="24"/>
                <w:szCs w:val="24"/>
              </w:rPr>
            </w:pPr>
            <w:r>
              <w:rPr>
                <w:rFonts w:ascii="Arial"/>
                <w:sz w:val="24"/>
              </w:rPr>
              <w:t>1,653,427</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13" w:right="0"/>
              <w:jc w:val="left"/>
              <w:rPr>
                <w:rFonts w:ascii="Arial" w:hAnsi="Arial" w:cs="Arial" w:eastAsia="Arial" w:hint="default"/>
                <w:sz w:val="24"/>
                <w:szCs w:val="24"/>
              </w:rPr>
            </w:pPr>
            <w:r>
              <w:rPr>
                <w:rFonts w:ascii="Arial"/>
                <w:sz w:val="24"/>
              </w:rPr>
              <w:t>1,485,209</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9" w:right="0"/>
              <w:jc w:val="left"/>
              <w:rPr>
                <w:rFonts w:ascii="Arial" w:hAnsi="Arial" w:cs="Arial" w:eastAsia="Arial" w:hint="default"/>
                <w:sz w:val="24"/>
                <w:szCs w:val="24"/>
              </w:rPr>
            </w:pPr>
            <w:r>
              <w:rPr>
                <w:rFonts w:ascii="Arial"/>
                <w:sz w:val="24"/>
              </w:rPr>
              <w:t>837,002</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Arial" w:hAnsi="Arial" w:cs="Arial" w:eastAsia="Arial" w:hint="default"/>
                <w:sz w:val="24"/>
                <w:szCs w:val="24"/>
              </w:rPr>
            </w:pPr>
            <w:r>
              <w:rPr>
                <w:rFonts w:ascii="Arial"/>
                <w:spacing w:val="-1"/>
                <w:sz w:val="24"/>
              </w:rPr>
              <w:t>764,048</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日本地区</w:t>
            </w:r>
          </w:p>
        </w:tc>
        <w:tc>
          <w:tcPr>
            <w:tcW w:w="1707" w:type="dxa"/>
            <w:tcBorders>
              <w:top w:val="nil" w:sz="6" w:space="0" w:color="auto"/>
              <w:left w:val="nil" w:sz="6" w:space="0" w:color="auto"/>
              <w:bottom w:val="nil" w:sz="6" w:space="0" w:color="auto"/>
              <w:right w:val="nil" w:sz="6" w:space="0" w:color="auto"/>
            </w:tcBorders>
          </w:tcPr>
          <w:p>
            <w:pPr>
              <w:pStyle w:val="TableParagraph"/>
              <w:tabs>
                <w:tab w:pos="732" w:val="left" w:leader="none"/>
                <w:tab w:pos="1706"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328,039</w:t>
              <w:tab/>
            </w:r>
            <w:r>
              <w:rPr>
                <w:rFonts w:ascii="Arial"/>
                <w:sz w:val="24"/>
              </w:rPr>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tabs>
                <w:tab w:pos="715" w:val="left" w:leader="none"/>
                <w:tab w:pos="1680"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258,541</w:t>
              <w:tab/>
            </w:r>
            <w:r>
              <w:rPr>
                <w:rFonts w:ascii="Arial"/>
                <w:sz w:val="24"/>
              </w:rPr>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tabs>
                <w:tab w:pos="1517" w:val="left" w:leader="none"/>
                <w:tab w:pos="1694"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tabs>
                <w:tab w:pos="1531" w:val="left" w:leader="none"/>
                <w:tab w:pos="1720"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7" w:hRule="exact"/>
        </w:trPr>
        <w:tc>
          <w:tcPr>
            <w:tcW w:w="772"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12" w:space="0" w:color="000000"/>
              <w:right w:val="nil" w:sz="6" w:space="0" w:color="auto"/>
            </w:tcBorders>
          </w:tcPr>
          <w:p>
            <w:pPr>
              <w:pStyle w:val="TableParagraph"/>
              <w:spacing w:line="268" w:lineRule="exact"/>
              <w:ind w:left="396" w:right="0"/>
              <w:jc w:val="left"/>
              <w:rPr>
                <w:rFonts w:ascii="Arial" w:hAnsi="Arial" w:cs="Arial" w:eastAsia="Arial" w:hint="default"/>
                <w:sz w:val="24"/>
                <w:szCs w:val="24"/>
              </w:rPr>
            </w:pPr>
            <w:r>
              <w:rPr>
                <w:rFonts w:ascii="Arial"/>
                <w:sz w:val="24"/>
              </w:rPr>
              <w:t>92,465,377</w:t>
            </w:r>
          </w:p>
        </w:tc>
        <w:tc>
          <w:tcPr>
            <w:tcW w:w="226"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2" w:space="0" w:color="000000"/>
              <w:right w:val="nil" w:sz="6" w:space="0" w:color="auto"/>
            </w:tcBorders>
          </w:tcPr>
          <w:p>
            <w:pPr>
              <w:pStyle w:val="TableParagraph"/>
              <w:spacing w:line="268" w:lineRule="exact"/>
              <w:ind w:left="367" w:right="0"/>
              <w:jc w:val="left"/>
              <w:rPr>
                <w:rFonts w:ascii="Arial" w:hAnsi="Arial" w:cs="Arial" w:eastAsia="Arial" w:hint="default"/>
                <w:sz w:val="24"/>
                <w:szCs w:val="24"/>
              </w:rPr>
            </w:pPr>
            <w:r>
              <w:rPr>
                <w:rFonts w:ascii="Arial"/>
                <w:sz w:val="24"/>
              </w:rPr>
              <w:t>75,855,609</w:t>
            </w:r>
          </w:p>
        </w:tc>
        <w:tc>
          <w:tcPr>
            <w:tcW w:w="221"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12" w:space="0" w:color="000000"/>
              <w:right w:val="nil" w:sz="6" w:space="0" w:color="auto"/>
            </w:tcBorders>
          </w:tcPr>
          <w:p>
            <w:pPr>
              <w:pStyle w:val="TableParagraph"/>
              <w:spacing w:line="268" w:lineRule="exact"/>
              <w:ind w:left="383" w:right="0"/>
              <w:jc w:val="left"/>
              <w:rPr>
                <w:rFonts w:ascii="Arial" w:hAnsi="Arial" w:cs="Arial" w:eastAsia="Arial" w:hint="default"/>
                <w:sz w:val="24"/>
                <w:szCs w:val="24"/>
              </w:rPr>
            </w:pPr>
            <w:r>
              <w:rPr>
                <w:rFonts w:ascii="Arial"/>
                <w:sz w:val="24"/>
              </w:rPr>
              <w:t>74,227,457</w:t>
            </w:r>
          </w:p>
        </w:tc>
        <w:tc>
          <w:tcPr>
            <w:tcW w:w="226"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single" w:sz="12" w:space="0" w:color="000000"/>
              <w:right w:val="nil" w:sz="6" w:space="0" w:color="auto"/>
            </w:tcBorders>
          </w:tcPr>
          <w:p>
            <w:pPr>
              <w:pStyle w:val="TableParagraph"/>
              <w:spacing w:line="268" w:lineRule="exact"/>
              <w:ind w:right="110"/>
              <w:jc w:val="right"/>
              <w:rPr>
                <w:rFonts w:ascii="Arial" w:hAnsi="Arial" w:cs="Arial" w:eastAsia="Arial" w:hint="default"/>
                <w:sz w:val="24"/>
                <w:szCs w:val="24"/>
              </w:rPr>
            </w:pPr>
            <w:r>
              <w:rPr>
                <w:rFonts w:ascii="Arial"/>
                <w:spacing w:val="-1"/>
                <w:sz w:val="24"/>
              </w:rPr>
              <w:t>61,915,817</w:t>
            </w:r>
          </w:p>
        </w:tc>
      </w:tr>
    </w:tbl>
    <w:p>
      <w:pPr>
        <w:spacing w:line="240" w:lineRule="auto" w:before="4"/>
        <w:rPr>
          <w:rFonts w:ascii="Times New Roman" w:hAnsi="Times New Roman" w:cs="Times New Roman" w:eastAsia="Times New Roman"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698"/>
        <w:gridCol w:w="2224"/>
        <w:gridCol w:w="1560"/>
        <w:gridCol w:w="283"/>
        <w:gridCol w:w="1563"/>
        <w:gridCol w:w="425"/>
        <w:gridCol w:w="1560"/>
        <w:gridCol w:w="283"/>
        <w:gridCol w:w="1560"/>
      </w:tblGrid>
      <w:tr>
        <w:trPr>
          <w:trHeight w:val="417"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784"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5"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420"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c>
          <w:tcPr>
            <w:tcW w:w="34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8"/>
              <w:ind w:right="3"/>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82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8"/>
              <w:ind w:left="165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r>
      <w:tr>
        <w:trPr>
          <w:trHeight w:val="388" w:hRule="exact"/>
        </w:trPr>
        <w:tc>
          <w:tcPr>
            <w:tcW w:w="698" w:type="dxa"/>
            <w:tcBorders>
              <w:top w:val="nil" w:sz="6" w:space="0" w:color="auto"/>
              <w:left w:val="nil" w:sz="6" w:space="0" w:color="auto"/>
              <w:bottom w:val="nil" w:sz="6" w:space="0" w:color="auto"/>
              <w:right w:val="nil" w:sz="6" w:space="0" w:color="auto"/>
            </w:tcBorders>
          </w:tcPr>
          <w:p>
            <w:pPr/>
          </w:p>
        </w:tc>
        <w:tc>
          <w:tcPr>
            <w:tcW w:w="3784"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left="241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37" w:lineRule="exact"/>
              <w:ind w:left="194"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7" w:lineRule="exact"/>
              <w:ind w:left="19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7" w:lineRule="exact"/>
              <w:ind w:left="191" w:right="0"/>
              <w:jc w:val="left"/>
              <w:rPr>
                <w:rFonts w:ascii="宋体" w:hAnsi="宋体" w:cs="宋体" w:eastAsia="宋体" w:hint="default"/>
                <w:sz w:val="21"/>
                <w:szCs w:val="21"/>
              </w:rPr>
            </w:pPr>
            <w:r>
              <w:rPr>
                <w:rFonts w:ascii="宋体" w:hAnsi="宋体" w:cs="宋体" w:eastAsia="宋体" w:hint="default"/>
                <w:sz w:val="21"/>
                <w:szCs w:val="21"/>
              </w:rPr>
              <w:t>其他业务成本</w:t>
            </w:r>
          </w:p>
        </w:tc>
      </w:tr>
      <w:tr>
        <w:trPr>
          <w:trHeight w:val="405"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5" w:right="0"/>
              <w:jc w:val="left"/>
              <w:rPr>
                <w:rFonts w:ascii="Arial" w:hAnsi="Arial" w:cs="Arial" w:eastAsia="Arial" w:hint="default"/>
                <w:sz w:val="21"/>
                <w:szCs w:val="21"/>
              </w:rPr>
            </w:pPr>
            <w:r>
              <w:rPr>
                <w:rFonts w:ascii="宋体" w:hAnsi="宋体" w:cs="宋体" w:eastAsia="宋体" w:hint="default"/>
                <w:sz w:val="21"/>
                <w:szCs w:val="21"/>
              </w:rPr>
              <w:t>连锁店服务收入</w:t>
            </w:r>
            <w:r>
              <w:rPr>
                <w:rFonts w:ascii="Arial" w:hAnsi="Arial" w:cs="Arial" w:eastAsia="Arial" w:hint="default"/>
                <w:sz w:val="21"/>
                <w:szCs w:val="21"/>
              </w:rPr>
              <w:t>(</w:t>
            </w:r>
            <w:r>
              <w:rPr>
                <w:rFonts w:ascii="宋体" w:hAnsi="宋体" w:cs="宋体" w:eastAsia="宋体" w:hint="default"/>
                <w:sz w:val="21"/>
                <w:szCs w:val="21"/>
              </w:rPr>
              <w:t>注</w:t>
            </w:r>
            <w:r>
              <w:rPr>
                <w:rFonts w:ascii="Arial" w:hAnsi="Arial" w:cs="Arial" w:eastAsia="Arial" w:hint="default"/>
                <w:sz w:val="21"/>
                <w:szCs w:val="21"/>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pacing w:val="-1"/>
                <w:sz w:val="21"/>
              </w:rPr>
              <w:t>764,547</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pacing w:val="-4"/>
                <w:sz w:val="21"/>
              </w:rPr>
              <w:t>1,711</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4"/>
              <w:jc w:val="right"/>
              <w:rPr>
                <w:rFonts w:ascii="Arial" w:hAnsi="Arial" w:cs="Arial" w:eastAsia="Arial" w:hint="default"/>
                <w:sz w:val="21"/>
                <w:szCs w:val="21"/>
              </w:rPr>
            </w:pPr>
            <w:r>
              <w:rPr>
                <w:rFonts w:ascii="Arial"/>
                <w:spacing w:val="-1"/>
                <w:sz w:val="21"/>
              </w:rPr>
              <w:t>784,470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z w:val="21"/>
              </w:rPr>
              <w:t>57</w:t>
            </w:r>
          </w:p>
        </w:tc>
      </w:tr>
      <w:tr>
        <w:trPr>
          <w:trHeight w:val="274"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31" w:lineRule="exact"/>
              <w:ind w:left="205"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pacing w:val="-1"/>
                <w:sz w:val="21"/>
              </w:rPr>
              <w:t>302,816</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pacing w:val="-1"/>
                <w:sz w:val="21"/>
              </w:rPr>
              <w:t>247,336</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1"/>
                <w:szCs w:val="21"/>
              </w:rPr>
            </w:pPr>
            <w:r>
              <w:rPr>
                <w:rFonts w:ascii="Arial"/>
                <w:spacing w:val="-1"/>
                <w:sz w:val="21"/>
              </w:rPr>
              <w:t>191,243</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pacing w:val="-1"/>
                <w:sz w:val="21"/>
              </w:rPr>
              <w:t>124,838</w:t>
            </w:r>
          </w:p>
        </w:tc>
      </w:tr>
      <w:tr>
        <w:trPr>
          <w:trHeight w:val="274"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31" w:lineRule="exact"/>
              <w:ind w:left="205" w:right="0"/>
              <w:jc w:val="left"/>
              <w:rPr>
                <w:rFonts w:ascii="宋体" w:hAnsi="宋体" w:cs="宋体" w:eastAsia="宋体" w:hint="default"/>
                <w:sz w:val="21"/>
                <w:szCs w:val="21"/>
              </w:rPr>
            </w:pPr>
            <w:r>
              <w:rPr>
                <w:rFonts w:ascii="宋体" w:hAnsi="宋体" w:cs="宋体" w:eastAsia="宋体" w:hint="default"/>
                <w:sz w:val="21"/>
                <w:szCs w:val="21"/>
              </w:rPr>
              <w:t>广告位使用费收入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pacing w:val="-1"/>
                <w:sz w:val="21"/>
              </w:rPr>
              <w:t>212,379</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1"/>
                <w:szCs w:val="21"/>
              </w:rPr>
            </w:pPr>
            <w:r>
              <w:rPr>
                <w:rFonts w:ascii="Arial"/>
                <w:w w:val="100"/>
                <w:sz w:val="21"/>
              </w:rPr>
              <w:t>-</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1"/>
                <w:szCs w:val="21"/>
              </w:rPr>
            </w:pPr>
            <w:r>
              <w:rPr>
                <w:rFonts w:ascii="Arial"/>
                <w:spacing w:val="-1"/>
                <w:sz w:val="21"/>
              </w:rPr>
              <w:t>182,525</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1"/>
                <w:szCs w:val="21"/>
              </w:rPr>
            </w:pPr>
            <w:r>
              <w:rPr>
                <w:rFonts w:ascii="Arial"/>
                <w:w w:val="100"/>
                <w:sz w:val="21"/>
              </w:rPr>
              <w:t>-</w:t>
            </w:r>
          </w:p>
        </w:tc>
      </w:tr>
      <w:tr>
        <w:trPr>
          <w:trHeight w:val="275"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31" w:lineRule="exact"/>
              <w:ind w:left="205" w:right="0"/>
              <w:jc w:val="left"/>
              <w:rPr>
                <w:rFonts w:ascii="宋体" w:hAnsi="宋体" w:cs="宋体" w:eastAsia="宋体" w:hint="default"/>
                <w:sz w:val="21"/>
                <w:szCs w:val="21"/>
              </w:rPr>
            </w:pPr>
            <w:r>
              <w:rPr>
                <w:rFonts w:ascii="宋体" w:hAnsi="宋体" w:cs="宋体" w:eastAsia="宋体" w:hint="default"/>
                <w:sz w:val="21"/>
                <w:szCs w:val="21"/>
              </w:rPr>
              <w:t>代理费收入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1"/>
                <w:szCs w:val="21"/>
              </w:rPr>
            </w:pPr>
            <w:r>
              <w:rPr>
                <w:rFonts w:ascii="Arial"/>
                <w:spacing w:val="-1"/>
                <w:sz w:val="21"/>
              </w:rPr>
              <w:t>143,326</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1"/>
                <w:szCs w:val="21"/>
              </w:rPr>
            </w:pPr>
            <w:r>
              <w:rPr>
                <w:rFonts w:ascii="Arial"/>
                <w:w w:val="100"/>
                <w:sz w:val="21"/>
              </w:rPr>
              <w:t>-</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Arial" w:hAnsi="Arial" w:cs="Arial" w:eastAsia="Arial" w:hint="default"/>
                <w:sz w:val="21"/>
                <w:szCs w:val="21"/>
              </w:rPr>
            </w:pPr>
            <w:r>
              <w:rPr>
                <w:rFonts w:ascii="Arial"/>
                <w:spacing w:val="-3"/>
                <w:sz w:val="21"/>
              </w:rPr>
              <w:t>115,536</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w:hAnsi="Arial" w:cs="Arial" w:eastAsia="Arial" w:hint="default"/>
                <w:sz w:val="21"/>
                <w:szCs w:val="21"/>
              </w:rPr>
            </w:pPr>
            <w:r>
              <w:rPr>
                <w:rFonts w:ascii="Arial"/>
                <w:w w:val="100"/>
                <w:sz w:val="21"/>
              </w:rPr>
              <w:t>-</w:t>
            </w:r>
          </w:p>
        </w:tc>
      </w:tr>
      <w:tr>
        <w:trPr>
          <w:trHeight w:val="292" w:hRule="exact"/>
        </w:trPr>
        <w:tc>
          <w:tcPr>
            <w:tcW w:w="69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spacing w:line="232" w:lineRule="exact"/>
              <w:ind w:left="205" w:right="0"/>
              <w:jc w:val="left"/>
              <w:rPr>
                <w:rFonts w:ascii="宋体" w:hAnsi="宋体" w:cs="宋体" w:eastAsia="宋体" w:hint="default"/>
                <w:sz w:val="21"/>
                <w:szCs w:val="21"/>
              </w:rPr>
            </w:pPr>
            <w:r>
              <w:rPr>
                <w:rFonts w:ascii="宋体" w:hAnsi="宋体" w:cs="宋体" w:eastAsia="宋体" w:hint="default"/>
                <w:sz w:val="21"/>
                <w:szCs w:val="21"/>
              </w:rPr>
              <w:t>培训费收入</w:t>
            </w:r>
          </w:p>
        </w:tc>
        <w:tc>
          <w:tcPr>
            <w:tcW w:w="1560" w:type="dxa"/>
            <w:tcBorders>
              <w:top w:val="nil" w:sz="6" w:space="0" w:color="auto"/>
              <w:left w:val="nil" w:sz="6" w:space="0" w:color="auto"/>
              <w:bottom w:val="nil" w:sz="6" w:space="0" w:color="auto"/>
              <w:right w:val="nil" w:sz="6" w:space="0" w:color="auto"/>
            </w:tcBorders>
          </w:tcPr>
          <w:p>
            <w:pPr>
              <w:pStyle w:val="TableParagraph"/>
              <w:tabs>
                <w:tab w:pos="1101" w:val="left" w:leader="none"/>
                <w:tab w:pos="1559"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135</w:t>
              <w:tab/>
            </w:r>
            <w:r>
              <w:rPr>
                <w:rFonts w:ascii="Arial"/>
                <w:sz w:val="21"/>
              </w:rPr>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tabs>
                <w:tab w:pos="1385" w:val="left" w:leader="none"/>
                <w:tab w:pos="1562"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926" w:val="left" w:leader="none"/>
                <w:tab w:pos="1560"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3,508</w:t>
              <w:tab/>
            </w:r>
            <w:r>
              <w:rPr>
                <w:rFonts w:ascii="Arial"/>
                <w:spacing w:val="-1"/>
                <w:sz w:val="21"/>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1382" w:val="left" w:leader="none"/>
                <w:tab w:pos="1559" w:val="left" w:leader="none"/>
              </w:tabs>
              <w:spacing w:line="240" w:lineRule="auto" w:before="17"/>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273" w:hRule="exact"/>
        </w:trPr>
        <w:tc>
          <w:tcPr>
            <w:tcW w:w="698" w:type="dxa"/>
            <w:tcBorders>
              <w:top w:val="nil" w:sz="6" w:space="0" w:color="auto"/>
              <w:left w:val="nil" w:sz="6" w:space="0" w:color="auto"/>
              <w:bottom w:val="nil" w:sz="6" w:space="0" w:color="auto"/>
              <w:right w:val="nil" w:sz="6" w:space="0" w:color="auto"/>
            </w:tcBorders>
          </w:tcPr>
          <w:p>
            <w:pPr/>
          </w:p>
        </w:tc>
        <w:tc>
          <w:tcPr>
            <w:tcW w:w="37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1,423,203</w:t>
            </w:r>
          </w:p>
        </w:tc>
        <w:tc>
          <w:tcPr>
            <w:tcW w:w="283"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249,047</w:t>
            </w:r>
          </w:p>
        </w:tc>
        <w:tc>
          <w:tcPr>
            <w:tcW w:w="42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04"/>
              <w:jc w:val="right"/>
              <w:rPr>
                <w:rFonts w:ascii="Arial" w:hAnsi="Arial" w:cs="Arial" w:eastAsia="Arial" w:hint="default"/>
                <w:sz w:val="21"/>
                <w:szCs w:val="21"/>
              </w:rPr>
            </w:pPr>
            <w:r>
              <w:rPr>
                <w:rFonts w:ascii="Arial"/>
                <w:spacing w:val="-1"/>
                <w:sz w:val="21"/>
              </w:rPr>
              <w:t>1,277,282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103"/>
              <w:jc w:val="right"/>
              <w:rPr>
                <w:rFonts w:ascii="Arial" w:hAnsi="Arial" w:cs="Arial" w:eastAsia="Arial" w:hint="default"/>
                <w:sz w:val="21"/>
                <w:szCs w:val="21"/>
              </w:rPr>
            </w:pPr>
            <w:r>
              <w:rPr>
                <w:rFonts w:ascii="Arial"/>
                <w:spacing w:val="-1"/>
                <w:sz w:val="21"/>
              </w:rPr>
              <w:t>124,895</w:t>
            </w:r>
          </w:p>
        </w:tc>
      </w:tr>
      <w:tr>
        <w:trPr>
          <w:trHeight w:val="564" w:hRule="exact"/>
        </w:trPr>
        <w:tc>
          <w:tcPr>
            <w:tcW w:w="698" w:type="dxa"/>
            <w:tcBorders>
              <w:top w:val="nil" w:sz="6" w:space="0" w:color="auto"/>
              <w:left w:val="nil" w:sz="6" w:space="0" w:color="auto"/>
              <w:bottom w:val="nil" w:sz="6" w:space="0" w:color="auto"/>
              <w:right w:val="nil" w:sz="6" w:space="0" w:color="auto"/>
            </w:tcBorders>
          </w:tcPr>
          <w:p>
            <w:pPr/>
          </w:p>
        </w:tc>
        <w:tc>
          <w:tcPr>
            <w:tcW w:w="945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5" w:right="0"/>
              <w:jc w:val="left"/>
              <w:rPr>
                <w:rFonts w:ascii="宋体" w:hAnsi="宋体" w:cs="宋体" w:eastAsia="宋体" w:hint="default"/>
                <w:sz w:val="24"/>
                <w:szCs w:val="24"/>
              </w:rPr>
            </w:pPr>
            <w:r>
              <w:rPr>
                <w:rFonts w:ascii="宋体" w:hAnsi="宋体" w:cs="宋体" w:eastAsia="宋体" w:hint="default"/>
                <w:sz w:val="24"/>
                <w:szCs w:val="24"/>
              </w:rPr>
              <w:t>注：连锁店服务收入指供应商支付的广告促销服务收入及广告服务费收入等。</w:t>
            </w:r>
          </w:p>
        </w:tc>
      </w:tr>
    </w:tbl>
    <w:p>
      <w:pPr>
        <w:spacing w:after="0" w:line="240" w:lineRule="auto"/>
        <w:jc w:val="left"/>
        <w:rPr>
          <w:rFonts w:ascii="宋体" w:hAnsi="宋体" w:cs="宋体" w:eastAsia="宋体" w:hint="default"/>
          <w:sz w:val="24"/>
          <w:szCs w:val="24"/>
        </w:rPr>
        <w:sectPr>
          <w:pgSz w:w="11910" w:h="16850"/>
          <w:pgMar w:header="754" w:footer="956" w:top="2240" w:bottom="1140" w:left="7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4688"/>
        <w:gridCol w:w="2117"/>
        <w:gridCol w:w="223"/>
        <w:gridCol w:w="2357"/>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68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1"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117" w:type="dxa"/>
            <w:tcBorders>
              <w:top w:val="single" w:sz="6" w:space="0" w:color="000000"/>
              <w:left w:val="nil" w:sz="6" w:space="0" w:color="auto"/>
              <w:bottom w:val="nil" w:sz="6" w:space="0" w:color="auto"/>
              <w:right w:val="nil" w:sz="6" w:space="0" w:color="auto"/>
            </w:tcBorders>
          </w:tcPr>
          <w:p>
            <w:pPr/>
          </w:p>
        </w:tc>
        <w:tc>
          <w:tcPr>
            <w:tcW w:w="223" w:type="dxa"/>
            <w:tcBorders>
              <w:top w:val="single" w:sz="6" w:space="0" w:color="000000"/>
              <w:left w:val="nil" w:sz="6" w:space="0" w:color="auto"/>
              <w:bottom w:val="nil" w:sz="6" w:space="0" w:color="auto"/>
              <w:right w:val="nil" w:sz="6" w:space="0" w:color="auto"/>
            </w:tcBorders>
          </w:tcPr>
          <w:p>
            <w:pPr/>
          </w:p>
        </w:tc>
        <w:tc>
          <w:tcPr>
            <w:tcW w:w="2357"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(36)</w:t>
            </w:r>
          </w:p>
        </w:tc>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1" w:right="0"/>
              <w:jc w:val="left"/>
              <w:rPr>
                <w:rFonts w:ascii="Arial" w:hAnsi="Arial" w:cs="Arial" w:eastAsia="Arial" w:hint="default"/>
                <w:sz w:val="24"/>
                <w:szCs w:val="24"/>
              </w:rPr>
            </w:pP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117"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(c)</w:t>
            </w:r>
          </w:p>
        </w:tc>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1" w:right="0"/>
              <w:jc w:val="left"/>
              <w:rPr>
                <w:rFonts w:ascii="宋体" w:hAnsi="宋体" w:cs="宋体" w:eastAsia="宋体" w:hint="default"/>
                <w:sz w:val="24"/>
                <w:szCs w:val="24"/>
              </w:rPr>
            </w:pPr>
            <w:r>
              <w:rPr>
                <w:rFonts w:ascii="宋体" w:hAnsi="宋体" w:cs="宋体" w:eastAsia="宋体" w:hint="default"/>
                <w:sz w:val="24"/>
                <w:szCs w:val="24"/>
              </w:rPr>
              <w:t>本集团前五名客户的营业收入情况</w:t>
            </w:r>
          </w:p>
        </w:tc>
        <w:tc>
          <w:tcPr>
            <w:tcW w:w="2117"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906" w:hRule="exact"/>
        </w:trPr>
        <w:tc>
          <w:tcPr>
            <w:tcW w:w="772" w:type="dxa"/>
            <w:tcBorders>
              <w:top w:val="nil" w:sz="6" w:space="0" w:color="auto"/>
              <w:left w:val="nil" w:sz="6" w:space="0" w:color="auto"/>
              <w:bottom w:val="nil" w:sz="6" w:space="0" w:color="auto"/>
              <w:right w:val="nil" w:sz="6" w:space="0" w:color="auto"/>
            </w:tcBorders>
          </w:tcPr>
          <w:p>
            <w:pPr/>
          </w:p>
        </w:tc>
        <w:tc>
          <w:tcPr>
            <w:tcW w:w="9385"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00"/>
              <w:ind w:left="131" w:right="0"/>
              <w:jc w:val="left"/>
              <w:rPr>
                <w:rFonts w:ascii="宋体" w:hAnsi="宋体" w:cs="宋体" w:eastAsia="宋体" w:hint="default"/>
                <w:sz w:val="24"/>
                <w:szCs w:val="24"/>
              </w:rPr>
            </w:pPr>
            <w:r>
              <w:rPr>
                <w:rFonts w:ascii="宋体" w:hAnsi="宋体" w:cs="宋体" w:eastAsia="宋体" w:hint="default"/>
                <w:sz w:val="24"/>
                <w:szCs w:val="24"/>
              </w:rPr>
              <w:t>本集团前五名客户营业收入的总额约人民币</w:t>
            </w:r>
            <w:r>
              <w:rPr>
                <w:rFonts w:ascii="宋体" w:hAnsi="宋体" w:cs="宋体" w:eastAsia="宋体" w:hint="default"/>
                <w:spacing w:val="-54"/>
                <w:sz w:val="24"/>
                <w:szCs w:val="24"/>
              </w:rPr>
              <w:t> </w:t>
            </w:r>
            <w:r>
              <w:rPr>
                <w:rFonts w:ascii="Arial" w:hAnsi="Arial" w:cs="Arial" w:eastAsia="Arial" w:hint="default"/>
                <w:sz w:val="24"/>
                <w:szCs w:val="24"/>
              </w:rPr>
              <w:t>82,916 </w:t>
            </w:r>
            <w:r>
              <w:rPr>
                <w:rFonts w:ascii="宋体" w:hAnsi="宋体" w:cs="宋体" w:eastAsia="宋体" w:hint="default"/>
                <w:sz w:val="24"/>
                <w:szCs w:val="24"/>
              </w:rPr>
              <w:t>万元</w:t>
            </w:r>
            <w:r>
              <w:rPr>
                <w:rFonts w:ascii="Arial" w:hAnsi="Arial" w:cs="Arial" w:eastAsia="Arial" w:hint="default"/>
                <w:sz w:val="24"/>
                <w:szCs w:val="24"/>
              </w:rPr>
              <w:t>(2010 </w:t>
            </w:r>
            <w:r>
              <w:rPr>
                <w:rFonts w:ascii="宋体" w:hAnsi="宋体" w:cs="宋体" w:eastAsia="宋体" w:hint="default"/>
                <w:sz w:val="24"/>
                <w:szCs w:val="24"/>
              </w:rPr>
              <w:t>年：约人民币</w:t>
            </w:r>
            <w:r>
              <w:rPr>
                <w:rFonts w:ascii="宋体" w:hAnsi="宋体" w:cs="宋体" w:eastAsia="宋体" w:hint="default"/>
                <w:spacing w:val="-54"/>
                <w:sz w:val="24"/>
                <w:szCs w:val="24"/>
              </w:rPr>
              <w:t> </w:t>
            </w:r>
            <w:r>
              <w:rPr>
                <w:rFonts w:ascii="Arial" w:hAnsi="Arial" w:cs="Arial" w:eastAsia="Arial" w:hint="default"/>
                <w:sz w:val="24"/>
                <w:szCs w:val="24"/>
              </w:rPr>
              <w:t>77,342 </w:t>
            </w:r>
            <w:r>
              <w:rPr>
                <w:rFonts w:ascii="宋体" w:hAnsi="宋体" w:cs="宋体" w:eastAsia="宋体" w:hint="default"/>
                <w:sz w:val="24"/>
                <w:szCs w:val="24"/>
              </w:rPr>
              <w:t>万</w:t>
            </w:r>
          </w:p>
          <w:p>
            <w:pPr>
              <w:pStyle w:val="TableParagraph"/>
              <w:spacing w:line="322" w:lineRule="exact"/>
              <w:ind w:left="131" w:right="0"/>
              <w:jc w:val="left"/>
              <w:rPr>
                <w:rFonts w:ascii="宋体" w:hAnsi="宋体" w:cs="宋体" w:eastAsia="宋体" w:hint="default"/>
                <w:sz w:val="24"/>
                <w:szCs w:val="24"/>
              </w:rPr>
            </w:pP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，占本集团全部营业收入的比例为</w:t>
            </w:r>
            <w:r>
              <w:rPr>
                <w:rFonts w:ascii="宋体" w:hAnsi="宋体" w:cs="宋体" w:eastAsia="宋体" w:hint="default"/>
                <w:spacing w:val="-65"/>
                <w:sz w:val="24"/>
                <w:szCs w:val="24"/>
              </w:rPr>
              <w:t> </w:t>
            </w:r>
            <w:r>
              <w:rPr>
                <w:rFonts w:ascii="Arial" w:hAnsi="Arial" w:cs="Arial" w:eastAsia="Arial" w:hint="default"/>
                <w:sz w:val="24"/>
                <w:szCs w:val="24"/>
              </w:rPr>
              <w:t>0.88%(2010</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Arial" w:hAnsi="Arial" w:cs="Arial" w:eastAsia="Arial" w:hint="default"/>
                <w:sz w:val="24"/>
                <w:szCs w:val="24"/>
              </w:rPr>
              <w:t>1.02%)</w:t>
            </w:r>
            <w:r>
              <w:rPr>
                <w:rFonts w:ascii="宋体" w:hAnsi="宋体" w:cs="宋体" w:eastAsia="宋体" w:hint="default"/>
                <w:sz w:val="24"/>
                <w:szCs w:val="24"/>
              </w:rPr>
              <w:t>，具体情况如下：</w:t>
            </w:r>
          </w:p>
        </w:tc>
      </w:tr>
      <w:tr>
        <w:trPr>
          <w:trHeight w:val="900"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1039"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312" w:lineRule="exact" w:before="125"/>
              <w:ind w:left="161" w:right="139" w:firstLine="614"/>
              <w:jc w:val="left"/>
              <w:rPr>
                <w:rFonts w:ascii="Arial" w:hAnsi="Arial" w:cs="Arial" w:eastAsia="Arial" w:hint="default"/>
                <w:sz w:val="24"/>
                <w:szCs w:val="24"/>
              </w:rPr>
            </w:pPr>
            <w:r>
              <w:rPr>
                <w:rFonts w:ascii="宋体" w:hAnsi="宋体" w:cs="宋体" w:eastAsia="宋体" w:hint="default"/>
                <w:sz w:val="24"/>
                <w:szCs w:val="24"/>
              </w:rPr>
              <w:t>占本集团全部 营业收入的比例</w:t>
            </w:r>
            <w:r>
              <w:rPr>
                <w:rFonts w:ascii="Arial" w:hAnsi="Arial" w:cs="Arial" w:eastAsia="Arial" w:hint="default"/>
                <w:sz w:val="24"/>
                <w:szCs w:val="24"/>
              </w:rPr>
              <w:t>(%)</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1" w:right="0"/>
              <w:jc w:val="left"/>
              <w:rPr>
                <w:rFonts w:ascii="宋体" w:hAnsi="宋体" w:cs="宋体" w:eastAsia="宋体" w:hint="default"/>
                <w:sz w:val="24"/>
                <w:szCs w:val="24"/>
              </w:rPr>
            </w:pPr>
            <w:r>
              <w:rPr>
                <w:rFonts w:ascii="宋体" w:hAnsi="宋体" w:cs="宋体" w:eastAsia="宋体" w:hint="default"/>
                <w:sz w:val="24"/>
                <w:szCs w:val="24"/>
              </w:rPr>
              <w:t>大唐高鸿信息技术有限公司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108" w:right="0"/>
              <w:jc w:val="left"/>
              <w:rPr>
                <w:rFonts w:ascii="Arial" w:hAnsi="Arial" w:cs="Arial" w:eastAsia="Arial" w:hint="default"/>
                <w:sz w:val="24"/>
                <w:szCs w:val="24"/>
              </w:rPr>
            </w:pPr>
            <w:r>
              <w:rPr>
                <w:rFonts w:ascii="Arial"/>
                <w:sz w:val="24"/>
              </w:rPr>
              <w:t>249,585</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534" w:right="0"/>
              <w:jc w:val="left"/>
              <w:rPr>
                <w:rFonts w:ascii="Arial" w:hAnsi="Arial" w:cs="Arial" w:eastAsia="Arial" w:hint="default"/>
                <w:sz w:val="24"/>
                <w:szCs w:val="24"/>
              </w:rPr>
            </w:pPr>
            <w:r>
              <w:rPr>
                <w:rFonts w:ascii="Arial"/>
                <w:sz w:val="24"/>
              </w:rPr>
              <w:t>0.27%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Style w:val="TableParagraph"/>
              <w:spacing w:line="261" w:lineRule="exact"/>
              <w:ind w:left="131" w:right="0"/>
              <w:jc w:val="left"/>
              <w:rPr>
                <w:rFonts w:ascii="宋体" w:hAnsi="宋体" w:cs="宋体" w:eastAsia="宋体" w:hint="default"/>
                <w:sz w:val="24"/>
                <w:szCs w:val="24"/>
              </w:rPr>
            </w:pPr>
            <w:r>
              <w:rPr>
                <w:rFonts w:ascii="宋体" w:hAnsi="宋体" w:cs="宋体" w:eastAsia="宋体" w:hint="default"/>
                <w:sz w:val="24"/>
                <w:szCs w:val="24"/>
              </w:rPr>
              <w:t>青海清河商贸有限公司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8" w:right="0"/>
              <w:jc w:val="left"/>
              <w:rPr>
                <w:rFonts w:ascii="Arial" w:hAnsi="Arial" w:cs="Arial" w:eastAsia="Arial" w:hint="default"/>
                <w:sz w:val="24"/>
                <w:szCs w:val="24"/>
              </w:rPr>
            </w:pPr>
            <w:r>
              <w:rPr>
                <w:rFonts w:ascii="Arial"/>
                <w:sz w:val="24"/>
              </w:rPr>
              <w:t>171,320</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34" w:right="0"/>
              <w:jc w:val="left"/>
              <w:rPr>
                <w:rFonts w:ascii="Arial" w:hAnsi="Arial" w:cs="Arial" w:eastAsia="Arial" w:hint="default"/>
                <w:sz w:val="24"/>
                <w:szCs w:val="24"/>
              </w:rPr>
            </w:pPr>
            <w:r>
              <w:rPr>
                <w:rFonts w:ascii="Arial"/>
                <w:sz w:val="24"/>
              </w:rPr>
              <w:t>0.18%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Style w:val="TableParagraph"/>
              <w:spacing w:line="261" w:lineRule="exact"/>
              <w:ind w:left="131" w:right="0"/>
              <w:jc w:val="left"/>
              <w:rPr>
                <w:rFonts w:ascii="宋体" w:hAnsi="宋体" w:cs="宋体" w:eastAsia="宋体" w:hint="default"/>
                <w:sz w:val="24"/>
                <w:szCs w:val="24"/>
              </w:rPr>
            </w:pPr>
            <w:r>
              <w:rPr>
                <w:rFonts w:ascii="宋体" w:hAnsi="宋体" w:cs="宋体" w:eastAsia="宋体" w:hint="default"/>
                <w:sz w:val="24"/>
                <w:szCs w:val="24"/>
              </w:rPr>
              <w:t>中邮普泰通信服务股份有限公司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8" w:right="0"/>
              <w:jc w:val="left"/>
              <w:rPr>
                <w:rFonts w:ascii="Arial" w:hAnsi="Arial" w:cs="Arial" w:eastAsia="Arial" w:hint="default"/>
                <w:sz w:val="24"/>
                <w:szCs w:val="24"/>
              </w:rPr>
            </w:pPr>
            <w:r>
              <w:rPr>
                <w:rFonts w:ascii="Arial"/>
                <w:sz w:val="24"/>
              </w:rPr>
              <w:t>162,535</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34" w:right="0"/>
              <w:jc w:val="left"/>
              <w:rPr>
                <w:rFonts w:ascii="Arial" w:hAnsi="Arial" w:cs="Arial" w:eastAsia="Arial" w:hint="default"/>
                <w:sz w:val="24"/>
                <w:szCs w:val="24"/>
              </w:rPr>
            </w:pPr>
            <w:r>
              <w:rPr>
                <w:rFonts w:ascii="Arial"/>
                <w:sz w:val="24"/>
              </w:rPr>
              <w:t>0.17%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Style w:val="TableParagraph"/>
              <w:spacing w:line="261" w:lineRule="exact"/>
              <w:ind w:left="131" w:right="0"/>
              <w:jc w:val="left"/>
              <w:rPr>
                <w:rFonts w:ascii="宋体" w:hAnsi="宋体" w:cs="宋体" w:eastAsia="宋体" w:hint="default"/>
                <w:sz w:val="24"/>
                <w:szCs w:val="24"/>
              </w:rPr>
            </w:pPr>
            <w:r>
              <w:rPr>
                <w:rFonts w:ascii="宋体" w:hAnsi="宋体" w:cs="宋体" w:eastAsia="宋体" w:hint="default"/>
                <w:sz w:val="24"/>
                <w:szCs w:val="24"/>
              </w:rPr>
              <w:t>联通华盛通信有限公司</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08" w:right="0"/>
              <w:jc w:val="left"/>
              <w:rPr>
                <w:rFonts w:ascii="Arial" w:hAnsi="Arial" w:cs="Arial" w:eastAsia="Arial" w:hint="default"/>
                <w:sz w:val="24"/>
                <w:szCs w:val="24"/>
              </w:rPr>
            </w:pPr>
            <w:r>
              <w:rPr>
                <w:rFonts w:ascii="Arial"/>
                <w:sz w:val="24"/>
              </w:rPr>
              <w:t>145,865</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34" w:right="0"/>
              <w:jc w:val="left"/>
              <w:rPr>
                <w:rFonts w:ascii="Arial" w:hAnsi="Arial" w:cs="Arial" w:eastAsia="Arial" w:hint="default"/>
                <w:sz w:val="24"/>
                <w:szCs w:val="24"/>
              </w:rPr>
            </w:pPr>
            <w:r>
              <w:rPr>
                <w:rFonts w:ascii="Arial"/>
                <w:sz w:val="24"/>
              </w:rPr>
              <w:t>0.16%</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Style w:val="TableParagraph"/>
              <w:spacing w:line="261" w:lineRule="exact"/>
              <w:ind w:left="131" w:right="0"/>
              <w:jc w:val="left"/>
              <w:rPr>
                <w:rFonts w:ascii="宋体" w:hAnsi="宋体" w:cs="宋体" w:eastAsia="宋体" w:hint="default"/>
                <w:sz w:val="24"/>
                <w:szCs w:val="24"/>
              </w:rPr>
            </w:pPr>
            <w:r>
              <w:rPr>
                <w:rFonts w:ascii="宋体" w:hAnsi="宋体" w:cs="宋体" w:eastAsia="宋体" w:hint="default"/>
                <w:sz w:val="24"/>
                <w:szCs w:val="24"/>
              </w:rPr>
              <w:t>好享购物有限公司</w:t>
            </w:r>
          </w:p>
        </w:tc>
        <w:tc>
          <w:tcPr>
            <w:tcW w:w="2117" w:type="dxa"/>
            <w:tcBorders>
              <w:top w:val="nil" w:sz="6" w:space="0" w:color="auto"/>
              <w:left w:val="nil" w:sz="6" w:space="0" w:color="auto"/>
              <w:bottom w:val="nil" w:sz="6" w:space="0" w:color="auto"/>
              <w:right w:val="nil" w:sz="6" w:space="0" w:color="auto"/>
            </w:tcBorders>
          </w:tcPr>
          <w:p>
            <w:pPr>
              <w:pStyle w:val="TableParagraph"/>
              <w:tabs>
                <w:tab w:pos="1240" w:val="left" w:leader="none"/>
                <w:tab w:pos="2116"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99,855</w:t>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tabs>
                <w:tab w:pos="1534" w:val="left" w:leader="none"/>
                <w:tab w:pos="2357"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0.10%</w:t>
              <w:tab/>
            </w:r>
            <w:r>
              <w:rPr>
                <w:rFonts w:ascii="Arial"/>
                <w:sz w:val="24"/>
              </w:rPr>
            </w:r>
          </w:p>
        </w:tc>
      </w:tr>
      <w:tr>
        <w:trPr>
          <w:trHeight w:val="287" w:hRule="exact"/>
        </w:trPr>
        <w:tc>
          <w:tcPr>
            <w:tcW w:w="772" w:type="dxa"/>
            <w:tcBorders>
              <w:top w:val="nil" w:sz="6" w:space="0" w:color="auto"/>
              <w:left w:val="nil" w:sz="6" w:space="0" w:color="auto"/>
              <w:bottom w:val="nil" w:sz="6" w:space="0" w:color="auto"/>
              <w:right w:val="nil" w:sz="6" w:space="0" w:color="auto"/>
            </w:tcBorders>
          </w:tcPr>
          <w:p>
            <w:pPr/>
          </w:p>
        </w:tc>
        <w:tc>
          <w:tcPr>
            <w:tcW w:w="468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12" w:space="0" w:color="000000"/>
              <w:right w:val="nil" w:sz="6" w:space="0" w:color="auto"/>
            </w:tcBorders>
          </w:tcPr>
          <w:p>
            <w:pPr>
              <w:pStyle w:val="TableParagraph"/>
              <w:spacing w:line="268" w:lineRule="exact"/>
              <w:ind w:left="1108" w:right="0"/>
              <w:jc w:val="left"/>
              <w:rPr>
                <w:rFonts w:ascii="Arial" w:hAnsi="Arial" w:cs="Arial" w:eastAsia="Arial" w:hint="default"/>
                <w:sz w:val="24"/>
                <w:szCs w:val="24"/>
              </w:rPr>
            </w:pPr>
            <w:r>
              <w:rPr>
                <w:rFonts w:ascii="Arial"/>
                <w:sz w:val="24"/>
              </w:rPr>
              <w:t>829,160</w:t>
            </w:r>
          </w:p>
        </w:tc>
        <w:tc>
          <w:tcPr>
            <w:tcW w:w="223"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12" w:space="0" w:color="000000"/>
              <w:right w:val="nil" w:sz="6" w:space="0" w:color="auto"/>
            </w:tcBorders>
          </w:tcPr>
          <w:p>
            <w:pPr>
              <w:pStyle w:val="TableParagraph"/>
              <w:spacing w:line="268" w:lineRule="exact"/>
              <w:ind w:left="1534" w:right="0"/>
              <w:jc w:val="left"/>
              <w:rPr>
                <w:rFonts w:ascii="Arial" w:hAnsi="Arial" w:cs="Arial" w:eastAsia="Arial" w:hint="default"/>
                <w:sz w:val="24"/>
                <w:szCs w:val="24"/>
              </w:rPr>
            </w:pPr>
            <w:r>
              <w:rPr>
                <w:rFonts w:ascii="Arial"/>
                <w:sz w:val="24"/>
              </w:rPr>
              <w:t>0.88%</w:t>
            </w:r>
          </w:p>
        </w:tc>
      </w:tr>
    </w:tbl>
    <w:p>
      <w:pPr>
        <w:spacing w:line="240" w:lineRule="auto" w:before="5"/>
        <w:rPr>
          <w:rFonts w:ascii="Times New Roman" w:hAnsi="Times New Roman" w:cs="Times New Roman" w:eastAsia="Times New Roman"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766"/>
        <w:gridCol w:w="3849"/>
        <w:gridCol w:w="1433"/>
        <w:gridCol w:w="271"/>
        <w:gridCol w:w="1430"/>
        <w:gridCol w:w="2500"/>
      </w:tblGrid>
      <w:tr>
        <w:trPr>
          <w:trHeight w:val="419"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(37)</w:t>
            </w:r>
          </w:p>
        </w:tc>
        <w:tc>
          <w:tcPr>
            <w:tcW w:w="3849" w:type="dxa"/>
            <w:tcBorders>
              <w:top w:val="nil" w:sz="6" w:space="0" w:color="auto"/>
              <w:left w:val="nil" w:sz="6" w:space="0" w:color="auto"/>
              <w:bottom w:val="nil" w:sz="6" w:space="0" w:color="auto"/>
              <w:right w:val="nil" w:sz="6" w:space="0" w:color="auto"/>
            </w:tcBorders>
          </w:tcPr>
          <w:p>
            <w:pPr>
              <w:pStyle w:val="TableParagraph"/>
              <w:spacing w:line="245" w:lineRule="exact"/>
              <w:ind w:left="137" w:right="0"/>
              <w:jc w:val="left"/>
              <w:rPr>
                <w:rFonts w:ascii="宋体" w:hAnsi="宋体" w:cs="宋体" w:eastAsia="宋体" w:hint="default"/>
                <w:sz w:val="24"/>
                <w:szCs w:val="24"/>
              </w:rPr>
            </w:pPr>
            <w:r>
              <w:rPr>
                <w:rFonts w:ascii="宋体" w:hAnsi="宋体" w:cs="宋体" w:eastAsia="宋体" w:hint="default"/>
                <w:b/>
                <w:bCs/>
                <w:sz w:val="24"/>
                <w:szCs w:val="24"/>
              </w:rPr>
              <w:t>营业税金及附加</w:t>
            </w:r>
            <w:r>
              <w:rPr>
                <w:rFonts w:ascii="宋体" w:hAnsi="宋体" w:cs="宋体" w:eastAsia="宋体" w:hint="default"/>
                <w:sz w:val="24"/>
                <w:szCs w:val="24"/>
              </w:rPr>
            </w:r>
          </w:p>
        </w:tc>
        <w:tc>
          <w:tcPr>
            <w:tcW w:w="1433"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c>
          <w:tcPr>
            <w:tcW w:w="2500" w:type="dxa"/>
            <w:tcBorders>
              <w:top w:val="nil" w:sz="6" w:space="0" w:color="auto"/>
              <w:left w:val="nil" w:sz="6" w:space="0" w:color="auto"/>
              <w:bottom w:val="nil" w:sz="6" w:space="0" w:color="auto"/>
              <w:right w:val="nil" w:sz="6" w:space="0" w:color="auto"/>
            </w:tcBorders>
          </w:tcPr>
          <w:p>
            <w:pPr/>
          </w:p>
        </w:tc>
      </w:tr>
      <w:tr>
        <w:trPr>
          <w:trHeight w:val="594" w:hRule="exact"/>
        </w:trPr>
        <w:tc>
          <w:tcPr>
            <w:tcW w:w="766" w:type="dxa"/>
            <w:tcBorders>
              <w:top w:val="nil" w:sz="6" w:space="0" w:color="auto"/>
              <w:left w:val="nil" w:sz="6" w:space="0" w:color="auto"/>
              <w:bottom w:val="nil" w:sz="6" w:space="0" w:color="auto"/>
              <w:right w:val="nil" w:sz="6" w:space="0" w:color="auto"/>
            </w:tcBorders>
          </w:tcPr>
          <w:p>
            <w:pPr/>
          </w:p>
        </w:tc>
        <w:tc>
          <w:tcPr>
            <w:tcW w:w="384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68"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计缴标准</w:t>
            </w:r>
          </w:p>
        </w:tc>
      </w:tr>
      <w:tr>
        <w:trPr>
          <w:trHeight w:val="772" w:hRule="exact"/>
        </w:trPr>
        <w:tc>
          <w:tcPr>
            <w:tcW w:w="766" w:type="dxa"/>
            <w:tcBorders>
              <w:top w:val="nil" w:sz="6" w:space="0" w:color="auto"/>
              <w:left w:val="nil" w:sz="6" w:space="0" w:color="auto"/>
              <w:bottom w:val="nil" w:sz="6" w:space="0" w:color="auto"/>
              <w:right w:val="nil" w:sz="6" w:space="0" w:color="auto"/>
            </w:tcBorders>
          </w:tcPr>
          <w:p>
            <w:pPr/>
          </w:p>
        </w:tc>
        <w:tc>
          <w:tcPr>
            <w:tcW w:w="38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13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4"/>
              <w:ind w:left="455" w:right="0"/>
              <w:jc w:val="left"/>
              <w:rPr>
                <w:rFonts w:ascii="Arial" w:hAnsi="Arial" w:cs="Arial" w:eastAsia="Arial" w:hint="default"/>
                <w:sz w:val="24"/>
                <w:szCs w:val="24"/>
              </w:rPr>
            </w:pPr>
            <w:r>
              <w:rPr>
                <w:rFonts w:ascii="Arial"/>
                <w:sz w:val="24"/>
              </w:rPr>
              <w:t>162,479</w:t>
            </w: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4"/>
              <w:ind w:right="105"/>
              <w:jc w:val="right"/>
              <w:rPr>
                <w:rFonts w:ascii="Arial" w:hAnsi="Arial" w:cs="Arial" w:eastAsia="Arial" w:hint="default"/>
                <w:sz w:val="24"/>
                <w:szCs w:val="24"/>
              </w:rPr>
            </w:pPr>
            <w:r>
              <w:rPr>
                <w:rFonts w:ascii="Arial"/>
                <w:spacing w:val="-3"/>
                <w:sz w:val="24"/>
              </w:rPr>
              <w:t>117,191</w:t>
            </w:r>
          </w:p>
        </w:tc>
        <w:tc>
          <w:tcPr>
            <w:tcW w:w="2500"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379" w:right="198" w:firstLine="345"/>
              <w:jc w:val="left"/>
              <w:rPr>
                <w:rFonts w:ascii="宋体" w:hAnsi="宋体" w:cs="宋体" w:eastAsia="宋体"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消费税的应纳税额</w:t>
            </w:r>
          </w:p>
        </w:tc>
      </w:tr>
      <w:tr>
        <w:trPr>
          <w:trHeight w:val="312" w:hRule="exact"/>
        </w:trPr>
        <w:tc>
          <w:tcPr>
            <w:tcW w:w="766" w:type="dxa"/>
            <w:tcBorders>
              <w:top w:val="nil" w:sz="6" w:space="0" w:color="auto"/>
              <w:left w:val="nil" w:sz="6" w:space="0" w:color="auto"/>
              <w:bottom w:val="nil" w:sz="6" w:space="0" w:color="auto"/>
              <w:right w:val="nil" w:sz="6" w:space="0" w:color="auto"/>
            </w:tcBorders>
          </w:tcPr>
          <w:p>
            <w:pPr/>
          </w:p>
        </w:tc>
        <w:tc>
          <w:tcPr>
            <w:tcW w:w="3849"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7" w:right="0"/>
              <w:jc w:val="left"/>
              <w:rPr>
                <w:rFonts w:ascii="Arial" w:hAnsi="Arial" w:cs="Arial" w:eastAsia="Arial" w:hint="default"/>
                <w:sz w:val="24"/>
                <w:szCs w:val="24"/>
              </w:rPr>
            </w:pPr>
            <w:r>
              <w:rPr>
                <w:rFonts w:ascii="Arial"/>
                <w:sz w:val="24"/>
              </w:rPr>
              <w:t>96,765</w:t>
            </w: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85,834</w:t>
            </w:r>
          </w:p>
        </w:tc>
        <w:tc>
          <w:tcPr>
            <w:tcW w:w="2500" w:type="dxa"/>
            <w:tcBorders>
              <w:top w:val="nil" w:sz="6" w:space="0" w:color="auto"/>
              <w:left w:val="nil" w:sz="6" w:space="0" w:color="auto"/>
              <w:bottom w:val="nil" w:sz="6" w:space="0" w:color="auto"/>
              <w:right w:val="nil" w:sz="6" w:space="0" w:color="auto"/>
            </w:tcBorders>
          </w:tcPr>
          <w:p>
            <w:pPr>
              <w:pStyle w:val="TableParagraph"/>
              <w:spacing w:line="261" w:lineRule="exact"/>
              <w:ind w:right="198"/>
              <w:jc w:val="right"/>
              <w:rPr>
                <w:rFonts w:ascii="宋体" w:hAnsi="宋体" w:cs="宋体" w:eastAsia="宋体" w:hint="default"/>
                <w:sz w:val="24"/>
                <w:szCs w:val="24"/>
              </w:rPr>
            </w:pPr>
            <w:r>
              <w:rPr>
                <w:rFonts w:ascii="宋体" w:hAnsi="宋体" w:cs="宋体" w:eastAsia="宋体" w:hint="default"/>
                <w:sz w:val="24"/>
                <w:szCs w:val="24"/>
              </w:rPr>
              <w:t>应纳税营业额</w:t>
            </w:r>
          </w:p>
        </w:tc>
      </w:tr>
      <w:tr>
        <w:trPr>
          <w:trHeight w:val="626" w:hRule="exact"/>
        </w:trPr>
        <w:tc>
          <w:tcPr>
            <w:tcW w:w="766" w:type="dxa"/>
            <w:tcBorders>
              <w:top w:val="nil" w:sz="6" w:space="0" w:color="auto"/>
              <w:left w:val="nil" w:sz="6" w:space="0" w:color="auto"/>
              <w:bottom w:val="nil" w:sz="6" w:space="0" w:color="auto"/>
              <w:right w:val="nil" w:sz="6" w:space="0" w:color="auto"/>
            </w:tcBorders>
          </w:tcPr>
          <w:p>
            <w:pPr/>
          </w:p>
        </w:tc>
        <w:tc>
          <w:tcPr>
            <w:tcW w:w="38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tabs>
                <w:tab w:pos="472" w:val="left" w:leader="none"/>
                <w:tab w:pos="1433" w:val="left" w:leader="none"/>
              </w:tabs>
              <w:spacing w:line="240" w:lineRule="auto"/>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110,507</w:t>
              <w:tab/>
            </w:r>
            <w:r>
              <w:rPr>
                <w:rFonts w:ascii="Arial"/>
                <w:spacing w:val="-3"/>
                <w:sz w:val="24"/>
              </w:rPr>
            </w: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tabs>
                <w:tab w:pos="573" w:val="left" w:leader="none"/>
                <w:tab w:pos="1415" w:val="left" w:leader="none"/>
              </w:tabs>
              <w:spacing w:line="240" w:lineRule="auto"/>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65,104</w:t>
              <w:tab/>
            </w:r>
            <w:r>
              <w:rPr>
                <w:rFonts w:ascii="Arial"/>
                <w:spacing w:val="-1"/>
                <w:sz w:val="24"/>
              </w:rPr>
            </w:r>
          </w:p>
        </w:tc>
        <w:tc>
          <w:tcPr>
            <w:tcW w:w="2500" w:type="dxa"/>
            <w:tcBorders>
              <w:top w:val="nil" w:sz="6" w:space="0" w:color="auto"/>
              <w:left w:val="nil" w:sz="6" w:space="0" w:color="auto"/>
              <w:bottom w:val="nil" w:sz="6" w:space="0" w:color="auto"/>
              <w:right w:val="nil" w:sz="6" w:space="0" w:color="auto"/>
            </w:tcBorders>
          </w:tcPr>
          <w:p>
            <w:pPr>
              <w:pStyle w:val="TableParagraph"/>
              <w:spacing w:line="268" w:lineRule="exact"/>
              <w:ind w:left="379" w:right="0" w:firstLine="345"/>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4" w:lineRule="exact"/>
              <w:ind w:left="379" w:right="0"/>
              <w:jc w:val="left"/>
              <w:rPr>
                <w:rFonts w:ascii="宋体" w:hAnsi="宋体" w:cs="宋体" w:eastAsia="宋体" w:hint="default"/>
                <w:sz w:val="24"/>
                <w:szCs w:val="24"/>
              </w:rPr>
            </w:pPr>
            <w:r>
              <w:rPr>
                <w:rFonts w:ascii="宋体" w:hAnsi="宋体" w:cs="宋体" w:eastAsia="宋体" w:hint="default"/>
                <w:sz w:val="24"/>
                <w:szCs w:val="24"/>
              </w:rPr>
              <w:t>消费税的应纳税额</w:t>
            </w:r>
          </w:p>
        </w:tc>
      </w:tr>
      <w:tr>
        <w:trPr>
          <w:trHeight w:val="287" w:hRule="exact"/>
        </w:trPr>
        <w:tc>
          <w:tcPr>
            <w:tcW w:w="766" w:type="dxa"/>
            <w:tcBorders>
              <w:top w:val="nil" w:sz="6" w:space="0" w:color="auto"/>
              <w:left w:val="nil" w:sz="6" w:space="0" w:color="auto"/>
              <w:bottom w:val="nil" w:sz="6" w:space="0" w:color="auto"/>
              <w:right w:val="nil" w:sz="6" w:space="0" w:color="auto"/>
            </w:tcBorders>
          </w:tcPr>
          <w:p>
            <w:pPr/>
          </w:p>
        </w:tc>
        <w:tc>
          <w:tcPr>
            <w:tcW w:w="3849"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12" w:space="0" w:color="000000"/>
              <w:right w:val="nil" w:sz="6" w:space="0" w:color="auto"/>
            </w:tcBorders>
          </w:tcPr>
          <w:p>
            <w:pPr>
              <w:pStyle w:val="TableParagraph"/>
              <w:spacing w:line="268" w:lineRule="exact"/>
              <w:ind w:left="455" w:right="0"/>
              <w:jc w:val="left"/>
              <w:rPr>
                <w:rFonts w:ascii="Arial" w:hAnsi="Arial" w:cs="Arial" w:eastAsia="Arial" w:hint="default"/>
                <w:sz w:val="24"/>
                <w:szCs w:val="24"/>
              </w:rPr>
            </w:pPr>
            <w:r>
              <w:rPr>
                <w:rFonts w:ascii="Arial"/>
                <w:sz w:val="24"/>
              </w:rPr>
              <w:t>369,751</w:t>
            </w:r>
          </w:p>
        </w:tc>
        <w:tc>
          <w:tcPr>
            <w:tcW w:w="271"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12" w:space="0" w:color="000000"/>
              <w:right w:val="nil" w:sz="6" w:space="0" w:color="auto"/>
            </w:tcBorders>
          </w:tcPr>
          <w:p>
            <w:pPr>
              <w:pStyle w:val="TableParagraph"/>
              <w:spacing w:line="268" w:lineRule="exact"/>
              <w:ind w:right="105"/>
              <w:jc w:val="right"/>
              <w:rPr>
                <w:rFonts w:ascii="Arial" w:hAnsi="Arial" w:cs="Arial" w:eastAsia="Arial" w:hint="default"/>
                <w:sz w:val="24"/>
                <w:szCs w:val="24"/>
              </w:rPr>
            </w:pPr>
            <w:r>
              <w:rPr>
                <w:rFonts w:ascii="Arial"/>
                <w:spacing w:val="-1"/>
                <w:sz w:val="24"/>
              </w:rPr>
              <w:t>268,129</w:t>
            </w:r>
          </w:p>
        </w:tc>
        <w:tc>
          <w:tcPr>
            <w:tcW w:w="2500"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754" w:footer="956" w:top="2240" w:bottom="1140" w:left="780" w:right="0"/>
        </w:sectPr>
      </w:pPr>
    </w:p>
    <w:p>
      <w:pPr>
        <w:spacing w:line="240" w:lineRule="auto" w:before="7"/>
        <w:rPr>
          <w:rFonts w:ascii="Times New Roman" w:hAnsi="Times New Roman" w:cs="Times New Roman" w:eastAsia="Times New Roman" w:hint="default"/>
          <w:sz w:val="4"/>
          <w:szCs w:val="4"/>
        </w:rPr>
      </w:pPr>
      <w:r>
        <w:rPr/>
        <w:pict>
          <v:group style="position:absolute;margin-left:82.584pt;margin-top:115.459984pt;width:442.3pt;height:.1pt;mso-position-horizontal-relative:page;mso-position-vertical-relative:page;z-index:-1358440" coordorigin="1652,2309" coordsize="8846,2">
            <v:shape style="position:absolute;left:1652;top:2309;width:8846;height:2" coordorigin="1652,2309" coordsize="8846,0" path="m1652,2309l10497,2309e" filled="false" stroked="true" strokeweight=".71999pt" strokecolor="#000000">
              <v:path arrowok="t"/>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772"/>
        <w:gridCol w:w="3136"/>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1"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764"/>
        <w:gridCol w:w="4077"/>
        <w:gridCol w:w="2216"/>
        <w:gridCol w:w="583"/>
        <w:gridCol w:w="2170"/>
      </w:tblGrid>
      <w:tr>
        <w:trPr>
          <w:trHeight w:val="28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(38)</w:t>
            </w:r>
          </w:p>
        </w:tc>
        <w:tc>
          <w:tcPr>
            <w:tcW w:w="4077" w:type="dxa"/>
            <w:tcBorders>
              <w:top w:val="nil" w:sz="6" w:space="0" w:color="auto"/>
              <w:left w:val="nil" w:sz="6" w:space="0" w:color="auto"/>
              <w:bottom w:val="nil" w:sz="6" w:space="0" w:color="auto"/>
              <w:right w:val="nil" w:sz="6" w:space="0" w:color="auto"/>
            </w:tcBorders>
          </w:tcPr>
          <w:p>
            <w:pPr>
              <w:pStyle w:val="TableParagraph"/>
              <w:spacing w:line="245" w:lineRule="exact"/>
              <w:ind w:left="135" w:right="0"/>
              <w:jc w:val="left"/>
              <w:rPr>
                <w:rFonts w:ascii="宋体" w:hAnsi="宋体" w:cs="宋体" w:eastAsia="宋体" w:hint="default"/>
                <w:sz w:val="24"/>
                <w:szCs w:val="24"/>
              </w:rPr>
            </w:pPr>
            <w:r>
              <w:rPr>
                <w:rFonts w:ascii="宋体" w:hAnsi="宋体" w:cs="宋体" w:eastAsia="宋体" w:hint="default"/>
                <w:b/>
                <w:bCs/>
                <w:sz w:val="24"/>
                <w:szCs w:val="24"/>
              </w:rPr>
              <w:t>销售费用</w:t>
            </w:r>
            <w:r>
              <w:rPr>
                <w:rFonts w:ascii="宋体" w:hAnsi="宋体" w:cs="宋体" w:eastAsia="宋体" w:hint="default"/>
                <w:sz w:val="24"/>
                <w:szCs w:val="24"/>
              </w:rPr>
            </w:r>
          </w:p>
        </w:tc>
        <w:tc>
          <w:tcPr>
            <w:tcW w:w="2216"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
        </w:tc>
      </w:tr>
      <w:tr>
        <w:trPr>
          <w:trHeight w:val="453"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5"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7"/>
              <w:jc w:val="right"/>
              <w:rPr>
                <w:rFonts w:ascii="Arial" w:hAnsi="Arial" w:cs="Arial" w:eastAsia="Arial" w:hint="default"/>
                <w:sz w:val="24"/>
                <w:szCs w:val="24"/>
              </w:rPr>
            </w:pPr>
            <w:r>
              <w:rPr>
                <w:rFonts w:ascii="Arial"/>
                <w:spacing w:val="-1"/>
                <w:sz w:val="24"/>
              </w:rPr>
              <w:t>3,545,842</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4"/>
              <w:jc w:val="right"/>
              <w:rPr>
                <w:rFonts w:ascii="Arial" w:hAnsi="Arial" w:cs="Arial" w:eastAsia="Arial" w:hint="default"/>
                <w:sz w:val="24"/>
                <w:szCs w:val="24"/>
              </w:rPr>
            </w:pPr>
            <w:r>
              <w:rPr>
                <w:rFonts w:ascii="Arial"/>
                <w:spacing w:val="-1"/>
                <w:sz w:val="24"/>
              </w:rPr>
              <w:t>2,559,254</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1,934,759</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1,294,258</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1,173,872</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5"/>
                <w:sz w:val="24"/>
              </w:rPr>
              <w:t>1,111,075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513,802</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384,850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475,422</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348,205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402,256</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3"/>
                <w:sz w:val="24"/>
              </w:rPr>
              <w:t>237,511</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308,064</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201,865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240,074</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97,080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店面物料费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82,255</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75,954</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62,468</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59,560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57,231</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34,732</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24,083</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24,363</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70,581</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16,757</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28,497</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12,848</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7,538</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6,223</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9,765</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1,485</w:t>
            </w:r>
          </w:p>
        </w:tc>
      </w:tr>
      <w:tr>
        <w:trPr>
          <w:trHeight w:val="32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430,837</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343,089</w:t>
            </w:r>
          </w:p>
        </w:tc>
      </w:tr>
      <w:tr>
        <w:trPr>
          <w:trHeight w:val="295"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9,367,346</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6,809,109</w:t>
            </w:r>
          </w:p>
        </w:tc>
      </w:tr>
    </w:tbl>
    <w:p>
      <w:pPr>
        <w:spacing w:after="0" w:line="274" w:lineRule="exact"/>
        <w:jc w:val="right"/>
        <w:rPr>
          <w:rFonts w:ascii="Arial" w:hAnsi="Arial" w:cs="Arial" w:eastAsia="Arial" w:hint="default"/>
          <w:sz w:val="24"/>
          <w:szCs w:val="24"/>
        </w:rPr>
        <w:sectPr>
          <w:pgSz w:w="11910" w:h="16850"/>
          <w:pgMar w:header="754" w:footer="956" w:top="2240" w:bottom="1140" w:left="720" w:right="0"/>
        </w:sectPr>
      </w:pPr>
    </w:p>
    <w:p>
      <w:pPr>
        <w:spacing w:line="240" w:lineRule="auto" w:before="7"/>
        <w:rPr>
          <w:rFonts w:ascii="Times New Roman" w:hAnsi="Times New Roman" w:cs="Times New Roman" w:eastAsia="Times New Roman" w:hint="default"/>
          <w:sz w:val="4"/>
          <w:szCs w:val="4"/>
        </w:rPr>
      </w:pPr>
      <w:r>
        <w:rPr/>
        <w:pict>
          <v:group style="position:absolute;margin-left:82.584pt;margin-top:115.459984pt;width:442.3pt;height:.1pt;mso-position-horizontal-relative:page;mso-position-vertical-relative:page;z-index:-1358416" coordorigin="1652,2309" coordsize="8846,2">
            <v:shape style="position:absolute;left:1652;top:2309;width:8846;height:2" coordorigin="1652,2309" coordsize="8846,0" path="m1652,2309l10497,2309e" filled="false" stroked="true" strokeweight=".71999pt" strokecolor="#000000">
              <v:path arrowok="t"/>
            </v:shape>
            <w10:wrap type="none"/>
          </v:group>
        </w:pict>
      </w:r>
    </w:p>
    <w:tbl>
      <w:tblPr>
        <w:tblW w:w="0" w:type="auto"/>
        <w:jc w:val="left"/>
        <w:tblInd w:w="102" w:type="dxa"/>
        <w:tblLayout w:type="fixed"/>
        <w:tblCellMar>
          <w:top w:w="0" w:type="dxa"/>
          <w:left w:w="0" w:type="dxa"/>
          <w:bottom w:w="0" w:type="dxa"/>
          <w:right w:w="0" w:type="dxa"/>
        </w:tblCellMar>
        <w:tblLook w:val="01E0"/>
      </w:tblPr>
      <w:tblGrid>
        <w:gridCol w:w="829"/>
        <w:gridCol w:w="3074"/>
      </w:tblGrid>
      <w:tr>
        <w:trPr>
          <w:trHeight w:val="533" w:hRule="exact"/>
        </w:trPr>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69"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764"/>
        <w:gridCol w:w="4077"/>
        <w:gridCol w:w="2216"/>
        <w:gridCol w:w="583"/>
        <w:gridCol w:w="2170"/>
      </w:tblGrid>
      <w:tr>
        <w:trPr>
          <w:trHeight w:val="28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(39)</w:t>
            </w:r>
          </w:p>
        </w:tc>
        <w:tc>
          <w:tcPr>
            <w:tcW w:w="4077" w:type="dxa"/>
            <w:tcBorders>
              <w:top w:val="nil" w:sz="6" w:space="0" w:color="auto"/>
              <w:left w:val="nil" w:sz="6" w:space="0" w:color="auto"/>
              <w:bottom w:val="nil" w:sz="6" w:space="0" w:color="auto"/>
              <w:right w:val="nil" w:sz="6" w:space="0" w:color="auto"/>
            </w:tcBorders>
          </w:tcPr>
          <w:p>
            <w:pPr>
              <w:pStyle w:val="TableParagraph"/>
              <w:spacing w:line="245" w:lineRule="exact"/>
              <w:ind w:left="135" w:right="0"/>
              <w:jc w:val="left"/>
              <w:rPr>
                <w:rFonts w:ascii="宋体" w:hAnsi="宋体" w:cs="宋体" w:eastAsia="宋体" w:hint="default"/>
                <w:sz w:val="24"/>
                <w:szCs w:val="24"/>
              </w:rPr>
            </w:pPr>
            <w:r>
              <w:rPr>
                <w:rFonts w:ascii="宋体" w:hAnsi="宋体" w:cs="宋体" w:eastAsia="宋体" w:hint="default"/>
                <w:b/>
                <w:bCs/>
                <w:sz w:val="24"/>
                <w:szCs w:val="24"/>
              </w:rPr>
              <w:t>管理费用</w:t>
            </w:r>
            <w:r>
              <w:rPr>
                <w:rFonts w:ascii="宋体" w:hAnsi="宋体" w:cs="宋体" w:eastAsia="宋体" w:hint="default"/>
                <w:sz w:val="24"/>
                <w:szCs w:val="24"/>
              </w:rPr>
            </w:r>
          </w:p>
        </w:tc>
        <w:tc>
          <w:tcPr>
            <w:tcW w:w="2216" w:type="dxa"/>
            <w:tcBorders>
              <w:top w:val="nil" w:sz="6" w:space="0" w:color="auto"/>
              <w:left w:val="nil" w:sz="6" w:space="0" w:color="auto"/>
              <w:bottom w:val="nil" w:sz="6" w:space="0" w:color="auto"/>
              <w:right w:val="nil" w:sz="6" w:space="0" w:color="auto"/>
            </w:tcBorders>
          </w:tcPr>
          <w:p>
            <w:pP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
        </w:tc>
      </w:tr>
      <w:tr>
        <w:trPr>
          <w:trHeight w:val="453"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5"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7"/>
              <w:jc w:val="right"/>
              <w:rPr>
                <w:rFonts w:ascii="Arial" w:hAnsi="Arial" w:cs="Arial" w:eastAsia="Arial" w:hint="default"/>
                <w:sz w:val="24"/>
                <w:szCs w:val="24"/>
              </w:rPr>
            </w:pPr>
            <w:r>
              <w:rPr>
                <w:rFonts w:ascii="Arial"/>
                <w:spacing w:val="-1"/>
                <w:sz w:val="24"/>
              </w:rPr>
              <w:t>851,460</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5"/>
              <w:jc w:val="right"/>
              <w:rPr>
                <w:rFonts w:ascii="Arial" w:hAnsi="Arial" w:cs="Arial" w:eastAsia="Arial" w:hint="default"/>
                <w:sz w:val="24"/>
                <w:szCs w:val="24"/>
              </w:rPr>
            </w:pPr>
            <w:r>
              <w:rPr>
                <w:rFonts w:ascii="Arial"/>
                <w:spacing w:val="-3"/>
                <w:sz w:val="24"/>
              </w:rPr>
              <w:t>429,011</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134,726</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99,456</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150,423</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89,523</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103,544</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87,385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100,172</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69,203</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54,456</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54,790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95,281</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48,154</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50,869</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45,885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41,275</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32,661</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网络月租费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48,423</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31,130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26,463</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17,680</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电费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19,525</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10,386</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办公区装修费摊销</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13,467</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5,702</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6,039</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7,495</w:t>
            </w:r>
          </w:p>
        </w:tc>
      </w:tr>
      <w:tr>
        <w:trPr>
          <w:trHeight w:val="31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5,265</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spacing w:val="-1"/>
                <w:sz w:val="24"/>
              </w:rPr>
              <w:t>5,709</w:t>
            </w:r>
          </w:p>
        </w:tc>
      </w:tr>
      <w:tr>
        <w:trPr>
          <w:trHeight w:val="322"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Style w:val="TableParagraph"/>
              <w:spacing w:line="279" w:lineRule="exact"/>
              <w:ind w:left="1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387,249</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216,141</w:t>
            </w:r>
          </w:p>
        </w:tc>
      </w:tr>
      <w:tr>
        <w:trPr>
          <w:trHeight w:val="295" w:hRule="exact"/>
        </w:trPr>
        <w:tc>
          <w:tcPr>
            <w:tcW w:w="764" w:type="dxa"/>
            <w:tcBorders>
              <w:top w:val="nil" w:sz="6" w:space="0" w:color="auto"/>
              <w:left w:val="nil" w:sz="6" w:space="0" w:color="auto"/>
              <w:bottom w:val="nil" w:sz="6" w:space="0" w:color="auto"/>
              <w:right w:val="nil" w:sz="6" w:space="0" w:color="auto"/>
            </w:tcBorders>
          </w:tcPr>
          <w:p>
            <w:pPr/>
          </w:p>
        </w:tc>
        <w:tc>
          <w:tcPr>
            <w:tcW w:w="4077"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2,088,637</w:t>
            </w:r>
          </w:p>
        </w:tc>
        <w:tc>
          <w:tcPr>
            <w:tcW w:w="583"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3"/>
                <w:sz w:val="24"/>
              </w:rPr>
              <w:t>1,250,311</w:t>
            </w:r>
          </w:p>
        </w:tc>
      </w:tr>
    </w:tbl>
    <w:p>
      <w:pPr>
        <w:spacing w:after="0" w:line="274" w:lineRule="exact"/>
        <w:jc w:val="right"/>
        <w:rPr>
          <w:rFonts w:ascii="Arial" w:hAnsi="Arial" w:cs="Arial" w:eastAsia="Arial" w:hint="default"/>
          <w:sz w:val="24"/>
          <w:szCs w:val="24"/>
        </w:rPr>
        <w:sectPr>
          <w:pgSz w:w="11910" w:h="16850"/>
          <w:pgMar w:header="754" w:footer="956" w:top="2240" w:bottom="1140" w:left="7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67"/>
        <w:gridCol w:w="4693"/>
        <w:gridCol w:w="1999"/>
        <w:gridCol w:w="555"/>
        <w:gridCol w:w="2138"/>
      </w:tblGrid>
      <w:tr>
        <w:trPr>
          <w:trHeight w:val="698"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sz w:val="24"/>
                <w:szCs w:val="24"/>
              </w:rPr>
              <w:t>五</w:t>
            </w:r>
          </w:p>
        </w:tc>
        <w:tc>
          <w:tcPr>
            <w:tcW w:w="4693"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999" w:type="dxa"/>
            <w:tcBorders>
              <w:top w:val="single" w:sz="6" w:space="0" w:color="000000"/>
              <w:left w:val="nil" w:sz="6" w:space="0" w:color="auto"/>
              <w:bottom w:val="nil" w:sz="6" w:space="0" w:color="auto"/>
              <w:right w:val="nil" w:sz="6" w:space="0" w:color="auto"/>
            </w:tcBorders>
          </w:tcPr>
          <w:p>
            <w:pPr/>
          </w:p>
        </w:tc>
        <w:tc>
          <w:tcPr>
            <w:tcW w:w="555" w:type="dxa"/>
            <w:tcBorders>
              <w:top w:val="single" w:sz="6" w:space="0" w:color="000000"/>
              <w:left w:val="nil" w:sz="6" w:space="0" w:color="auto"/>
              <w:bottom w:val="nil" w:sz="6" w:space="0" w:color="auto"/>
              <w:right w:val="nil" w:sz="6" w:space="0" w:color="auto"/>
            </w:tcBorders>
          </w:tcPr>
          <w:p>
            <w:pPr/>
          </w:p>
        </w:tc>
        <w:tc>
          <w:tcPr>
            <w:tcW w:w="2138" w:type="dxa"/>
            <w:tcBorders>
              <w:top w:val="single" w:sz="6" w:space="0" w:color="000000"/>
              <w:left w:val="nil" w:sz="6" w:space="0" w:color="auto"/>
              <w:bottom w:val="nil" w:sz="6" w:space="0" w:color="auto"/>
              <w:right w:val="nil" w:sz="6" w:space="0" w:color="auto"/>
            </w:tcBorders>
          </w:tcPr>
          <w:p>
            <w:pPr/>
          </w:p>
        </w:tc>
      </w:tr>
      <w:tr>
        <w:trPr>
          <w:trHeight w:val="447"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(40)</w:t>
            </w:r>
          </w:p>
        </w:tc>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财务收入</w:t>
            </w:r>
            <w:r>
              <w:rPr>
                <w:rFonts w:ascii="宋体" w:hAnsi="宋体" w:cs="宋体" w:eastAsia="宋体" w:hint="default"/>
                <w:sz w:val="24"/>
                <w:szCs w:val="24"/>
              </w:rPr>
            </w:r>
          </w:p>
        </w:tc>
        <w:tc>
          <w:tcPr>
            <w:tcW w:w="1999"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r>
        <w:trPr>
          <w:trHeight w:val="456"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2"/>
              <w:jc w:val="right"/>
              <w:rPr>
                <w:rFonts w:ascii="Arial" w:hAnsi="Arial" w:cs="Arial" w:eastAsia="Arial" w:hint="default"/>
                <w:sz w:val="24"/>
                <w:szCs w:val="24"/>
              </w:rPr>
            </w:pPr>
            <w:r>
              <w:rPr>
                <w:rFonts w:ascii="Arial"/>
                <w:spacing w:val="-1"/>
                <w:sz w:val="24"/>
              </w:rPr>
              <w:t>766,840</w:t>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spacing w:val="-1"/>
                <w:sz w:val="24"/>
              </w:rPr>
              <w:t>624,418</w:t>
            </w:r>
          </w:p>
        </w:tc>
      </w:tr>
      <w:tr>
        <w:trPr>
          <w:trHeight w:val="312"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减：利息支出</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
              <w:jc w:val="right"/>
              <w:rPr>
                <w:rFonts w:ascii="Arial" w:hAnsi="Arial" w:cs="Arial" w:eastAsia="Arial" w:hint="default"/>
                <w:sz w:val="24"/>
                <w:szCs w:val="24"/>
              </w:rPr>
            </w:pPr>
            <w:r>
              <w:rPr>
                <w:rFonts w:ascii="Arial"/>
                <w:spacing w:val="-3"/>
                <w:sz w:val="24"/>
              </w:rPr>
              <w:t>(11,558)</w:t>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Arial" w:hAnsi="Arial" w:cs="Arial" w:eastAsia="Arial" w:hint="default"/>
                <w:sz w:val="24"/>
                <w:szCs w:val="24"/>
              </w:rPr>
            </w:pPr>
            <w:r>
              <w:rPr>
                <w:rFonts w:ascii="Arial"/>
                <w:sz w:val="24"/>
              </w:rPr>
              <w:t>(1,483)</w:t>
            </w:r>
          </w:p>
        </w:tc>
      </w:tr>
      <w:tr>
        <w:trPr>
          <w:trHeight w:val="312"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汇兑净损失</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1"/>
              <w:jc w:val="right"/>
              <w:rPr>
                <w:rFonts w:ascii="Arial" w:hAnsi="Arial" w:cs="Arial" w:eastAsia="Arial" w:hint="default"/>
                <w:sz w:val="24"/>
                <w:szCs w:val="24"/>
              </w:rPr>
            </w:pPr>
            <w:r>
              <w:rPr>
                <w:rFonts w:ascii="Arial"/>
                <w:sz w:val="24"/>
              </w:rPr>
              <w:t>(2,849)</w:t>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5"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1999" w:type="dxa"/>
            <w:tcBorders>
              <w:top w:val="nil" w:sz="6" w:space="0" w:color="auto"/>
              <w:left w:val="nil" w:sz="6" w:space="0" w:color="auto"/>
              <w:bottom w:val="nil" w:sz="6" w:space="0" w:color="auto"/>
              <w:right w:val="nil" w:sz="6" w:space="0" w:color="auto"/>
            </w:tcBorders>
          </w:tcPr>
          <w:p>
            <w:pPr>
              <w:pStyle w:val="TableParagraph"/>
              <w:tabs>
                <w:tab w:pos="909" w:val="left" w:leader="none"/>
              </w:tabs>
              <w:spacing w:line="240" w:lineRule="auto" w:before="21"/>
              <w:ind w:right="4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(349,197)</w:t>
            </w:r>
            <w:r>
              <w:rPr>
                <w:rFonts w:ascii="Arial"/>
                <w:spacing w:val="-1"/>
                <w:sz w:val="24"/>
              </w:rPr>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tabs>
                <w:tab w:pos="1065" w:val="left" w:leader="none"/>
              </w:tabs>
              <w:spacing w:line="240" w:lineRule="auto" w:before="21"/>
              <w:ind w:right="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(262,166)</w:t>
            </w:r>
            <w:r>
              <w:rPr>
                <w:rFonts w:ascii="Arial"/>
                <w:spacing w:val="-1"/>
                <w:sz w:val="24"/>
              </w:rPr>
            </w:r>
          </w:p>
        </w:tc>
      </w:tr>
      <w:tr>
        <w:trPr>
          <w:trHeight w:val="287" w:hRule="exact"/>
        </w:trPr>
        <w:tc>
          <w:tcPr>
            <w:tcW w:w="767" w:type="dxa"/>
            <w:tcBorders>
              <w:top w:val="nil" w:sz="6" w:space="0" w:color="auto"/>
              <w:left w:val="nil" w:sz="6" w:space="0" w:color="auto"/>
              <w:bottom w:val="nil" w:sz="6" w:space="0" w:color="auto"/>
              <w:right w:val="nil" w:sz="6" w:space="0" w:color="auto"/>
            </w:tcBorders>
          </w:tcPr>
          <w:p>
            <w:pPr/>
          </w:p>
        </w:tc>
        <w:tc>
          <w:tcPr>
            <w:tcW w:w="4693"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12" w:space="0" w:color="000000"/>
              <w:right w:val="nil" w:sz="6" w:space="0" w:color="auto"/>
            </w:tcBorders>
          </w:tcPr>
          <w:p>
            <w:pPr>
              <w:pStyle w:val="TableParagraph"/>
              <w:spacing w:line="268" w:lineRule="exact"/>
              <w:ind w:right="122"/>
              <w:jc w:val="right"/>
              <w:rPr>
                <w:rFonts w:ascii="Arial" w:hAnsi="Arial" w:cs="Arial" w:eastAsia="Arial" w:hint="default"/>
                <w:sz w:val="24"/>
                <w:szCs w:val="24"/>
              </w:rPr>
            </w:pPr>
            <w:r>
              <w:rPr>
                <w:rFonts w:ascii="Arial"/>
                <w:spacing w:val="-1"/>
                <w:sz w:val="24"/>
              </w:rPr>
              <w:t>403,236</w:t>
            </w:r>
          </w:p>
        </w:tc>
        <w:tc>
          <w:tcPr>
            <w:tcW w:w="555"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single" w:sz="12" w:space="0" w:color="000000"/>
              <w:right w:val="nil" w:sz="6" w:space="0" w:color="auto"/>
            </w:tcBorders>
          </w:tcPr>
          <w:p>
            <w:pPr>
              <w:pStyle w:val="TableParagraph"/>
              <w:spacing w:line="268" w:lineRule="exact"/>
              <w:ind w:right="105"/>
              <w:jc w:val="right"/>
              <w:rPr>
                <w:rFonts w:ascii="Arial" w:hAnsi="Arial" w:cs="Arial" w:eastAsia="Arial" w:hint="default"/>
                <w:sz w:val="24"/>
                <w:szCs w:val="24"/>
              </w:rPr>
            </w:pPr>
            <w:r>
              <w:rPr>
                <w:rFonts w:ascii="Arial"/>
                <w:spacing w:val="-1"/>
                <w:sz w:val="24"/>
              </w:rPr>
              <w:t>360,769</w:t>
            </w:r>
          </w:p>
        </w:tc>
      </w:tr>
    </w:tbl>
    <w:p>
      <w:pPr>
        <w:spacing w:line="240" w:lineRule="auto" w:before="8"/>
        <w:rPr>
          <w:rFonts w:ascii="Times New Roman" w:hAnsi="Times New Roman" w:cs="Times New Roman" w:eastAsia="Times New Roman" w:hint="default"/>
          <w:sz w:val="14"/>
          <w:szCs w:val="14"/>
        </w:rPr>
      </w:pPr>
    </w:p>
    <w:tbl>
      <w:tblPr>
        <w:tblW w:w="0" w:type="auto"/>
        <w:jc w:val="left"/>
        <w:tblInd w:w="265" w:type="dxa"/>
        <w:tblLayout w:type="fixed"/>
        <w:tblCellMar>
          <w:top w:w="0" w:type="dxa"/>
          <w:left w:w="0" w:type="dxa"/>
          <w:bottom w:w="0" w:type="dxa"/>
          <w:right w:w="0" w:type="dxa"/>
        </w:tblCellMar>
        <w:tblLook w:val="01E0"/>
      </w:tblPr>
      <w:tblGrid>
        <w:gridCol w:w="601"/>
        <w:gridCol w:w="4586"/>
        <w:gridCol w:w="4838"/>
      </w:tblGrid>
      <w:tr>
        <w:trPr>
          <w:trHeight w:val="837" w:hRule="exact"/>
        </w:trPr>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Arial" w:hAnsi="Arial" w:cs="Arial" w:eastAsia="Arial" w:hint="default"/>
                <w:sz w:val="24"/>
                <w:szCs w:val="24"/>
              </w:rPr>
            </w:pPr>
            <w:r>
              <w:rPr>
                <w:rFonts w:ascii="Arial"/>
                <w:sz w:val="24"/>
              </w:rPr>
              <w:t>(41)</w:t>
            </w: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7" w:right="0"/>
              <w:jc w:val="left"/>
              <w:rPr>
                <w:rFonts w:ascii="宋体" w:hAnsi="宋体" w:cs="宋体" w:eastAsia="宋体" w:hint="default"/>
                <w:sz w:val="24"/>
                <w:szCs w:val="24"/>
              </w:rPr>
            </w:pPr>
            <w:r>
              <w:rPr>
                <w:rFonts w:ascii="宋体" w:hAnsi="宋体" w:cs="宋体" w:eastAsia="宋体" w:hint="default"/>
                <w:b/>
                <w:bCs/>
                <w:sz w:val="24"/>
                <w:szCs w:val="24"/>
              </w:rPr>
              <w:t>投资收益</w:t>
            </w:r>
            <w:r>
              <w:rPr>
                <w:rFonts w:ascii="宋体" w:hAnsi="宋体" w:cs="宋体" w:eastAsia="宋体" w:hint="default"/>
                <w:sz w:val="24"/>
                <w:szCs w:val="24"/>
              </w:rPr>
            </w:r>
          </w:p>
        </w:tc>
        <w:tc>
          <w:tcPr>
            <w:tcW w:w="48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tabs>
                <w:tab w:pos="2678" w:val="left" w:leader="none"/>
              </w:tabs>
              <w:spacing w:line="240" w:lineRule="auto"/>
              <w:ind w:right="138"/>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tab/>
            </w: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7" w:right="0"/>
              <w:jc w:val="left"/>
              <w:rPr>
                <w:rFonts w:ascii="Arial" w:hAnsi="Arial" w:cs="Arial" w:eastAsia="Arial" w:hint="default"/>
                <w:sz w:val="24"/>
                <w:szCs w:val="24"/>
              </w:rPr>
            </w:pPr>
            <w:r>
              <w:rPr>
                <w:rFonts w:ascii="宋体" w:hAnsi="宋体" w:cs="宋体" w:eastAsia="宋体" w:hint="default"/>
                <w:sz w:val="24"/>
                <w:szCs w:val="24"/>
              </w:rPr>
              <w:t>成本法核算的长期股权投资收益</w:t>
            </w:r>
            <w:r>
              <w:rPr>
                <w:rFonts w:ascii="Arial" w:hAnsi="Arial" w:cs="Arial" w:eastAsia="Arial" w:hint="default"/>
                <w:sz w:val="24"/>
                <w:szCs w:val="24"/>
              </w:rPr>
              <w:t>(a)</w:t>
            </w:r>
          </w:p>
        </w:tc>
        <w:tc>
          <w:tcPr>
            <w:tcW w:w="4838" w:type="dxa"/>
            <w:tcBorders>
              <w:top w:val="nil" w:sz="6" w:space="0" w:color="auto"/>
              <w:left w:val="nil" w:sz="6" w:space="0" w:color="auto"/>
              <w:bottom w:val="nil" w:sz="6" w:space="0" w:color="auto"/>
              <w:right w:val="nil" w:sz="6" w:space="0" w:color="auto"/>
            </w:tcBorders>
          </w:tcPr>
          <w:p>
            <w:pPr>
              <w:pStyle w:val="TableParagraph"/>
              <w:tabs>
                <w:tab w:pos="3350" w:val="left" w:leader="none"/>
              </w:tabs>
              <w:spacing w:line="240" w:lineRule="auto" w:before="168"/>
              <w:ind w:right="140"/>
              <w:jc w:val="right"/>
              <w:rPr>
                <w:rFonts w:ascii="Arial" w:hAnsi="Arial" w:cs="Arial" w:eastAsia="Arial" w:hint="default"/>
                <w:sz w:val="24"/>
                <w:szCs w:val="24"/>
              </w:rPr>
            </w:pPr>
            <w:r>
              <w:rPr>
                <w:rFonts w:ascii="Arial"/>
                <w:spacing w:val="-1"/>
                <w:sz w:val="24"/>
              </w:rPr>
              <w:t>12,000</w:t>
              <w:tab/>
            </w:r>
            <w:r>
              <w:rPr>
                <w:rFonts w:ascii="Arial"/>
                <w:sz w:val="24"/>
              </w:rPr>
              <w:t>-</w:t>
            </w:r>
          </w:p>
        </w:tc>
      </w:tr>
      <w:tr>
        <w:trPr>
          <w:trHeight w:val="312"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78" w:lineRule="exact"/>
              <w:ind w:left="137" w:right="0"/>
              <w:jc w:val="left"/>
              <w:rPr>
                <w:rFonts w:ascii="Arial" w:hAnsi="Arial" w:cs="Arial" w:eastAsia="Arial" w:hint="default"/>
                <w:sz w:val="24"/>
                <w:szCs w:val="24"/>
              </w:rPr>
            </w:pPr>
            <w:r>
              <w:rPr>
                <w:rFonts w:ascii="宋体" w:hAnsi="宋体" w:cs="宋体" w:eastAsia="宋体" w:hint="default"/>
                <w:sz w:val="24"/>
                <w:szCs w:val="24"/>
              </w:rPr>
              <w:t>权益法核算的长期股权投资</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(b)</w:t>
            </w:r>
          </w:p>
        </w:tc>
        <w:tc>
          <w:tcPr>
            <w:tcW w:w="4838" w:type="dxa"/>
            <w:tcBorders>
              <w:top w:val="nil" w:sz="6" w:space="0" w:color="auto"/>
              <w:left w:val="nil" w:sz="6" w:space="0" w:color="auto"/>
              <w:bottom w:val="nil" w:sz="6" w:space="0" w:color="auto"/>
              <w:right w:val="nil" w:sz="6" w:space="0" w:color="auto"/>
            </w:tcBorders>
          </w:tcPr>
          <w:p>
            <w:pPr>
              <w:pStyle w:val="TableParagraph"/>
              <w:tabs>
                <w:tab w:pos="2904" w:val="left" w:leader="none"/>
              </w:tabs>
              <w:spacing w:line="240" w:lineRule="auto" w:before="21"/>
              <w:ind w:right="140"/>
              <w:jc w:val="right"/>
              <w:rPr>
                <w:rFonts w:ascii="Arial" w:hAnsi="Arial" w:cs="Arial" w:eastAsia="Arial" w:hint="default"/>
                <w:sz w:val="24"/>
                <w:szCs w:val="24"/>
              </w:rPr>
            </w:pPr>
            <w:r>
              <w:rPr>
                <w:rFonts w:ascii="Arial"/>
                <w:spacing w:val="-1"/>
                <w:sz w:val="24"/>
              </w:rPr>
              <w:t>(39,031)</w:t>
              <w:tab/>
              <w:t>4,967</w:t>
            </w:r>
          </w:p>
        </w:tc>
      </w:tr>
      <w:tr>
        <w:trPr>
          <w:trHeight w:val="297"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61" w:lineRule="exact"/>
              <w:ind w:left="137"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p>
        </w:tc>
        <w:tc>
          <w:tcPr>
            <w:tcW w:w="4838" w:type="dxa"/>
            <w:tcBorders>
              <w:top w:val="nil" w:sz="6" w:space="0" w:color="auto"/>
              <w:left w:val="nil" w:sz="6" w:space="0" w:color="auto"/>
              <w:bottom w:val="nil" w:sz="6" w:space="0" w:color="auto"/>
              <w:right w:val="nil" w:sz="6" w:space="0" w:color="auto"/>
            </w:tcBorders>
          </w:tcPr>
          <w:p>
            <w:pPr/>
          </w:p>
        </w:tc>
      </w:tr>
      <w:tr>
        <w:trPr>
          <w:trHeight w:val="327"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93" w:lineRule="exact"/>
              <w:ind w:left="411"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1"/>
                <w:sz w:val="24"/>
                <w:szCs w:val="24"/>
              </w:rPr>
              <w:t> </w:t>
            </w:r>
            <w:r>
              <w:rPr>
                <w:rFonts w:ascii="宋体" w:hAnsi="宋体" w:cs="宋体" w:eastAsia="宋体" w:hint="default"/>
                <w:sz w:val="24"/>
                <w:szCs w:val="24"/>
              </w:rPr>
              <w:t>新股预约权交割收益</w:t>
            </w:r>
          </w:p>
        </w:tc>
        <w:tc>
          <w:tcPr>
            <w:tcW w:w="4838" w:type="dxa"/>
            <w:tcBorders>
              <w:top w:val="nil" w:sz="6" w:space="0" w:color="auto"/>
              <w:left w:val="nil" w:sz="6" w:space="0" w:color="auto"/>
              <w:bottom w:val="nil" w:sz="6" w:space="0" w:color="auto"/>
              <w:right w:val="nil" w:sz="6" w:space="0" w:color="auto"/>
            </w:tcBorders>
          </w:tcPr>
          <w:p>
            <w:pPr>
              <w:pStyle w:val="TableParagraph"/>
              <w:tabs>
                <w:tab w:pos="2172" w:val="left" w:leader="none"/>
              </w:tabs>
              <w:spacing w:line="240" w:lineRule="auto" w:before="36"/>
              <w:ind w:right="142"/>
              <w:jc w:val="right"/>
              <w:rPr>
                <w:rFonts w:ascii="Arial" w:hAnsi="Arial" w:cs="Arial" w:eastAsia="Arial" w:hint="default"/>
                <w:sz w:val="24"/>
                <w:szCs w:val="24"/>
              </w:rPr>
            </w:pPr>
            <w:r>
              <w:rPr>
                <w:rFonts w:ascii="Arial"/>
                <w:sz w:val="24"/>
              </w:rPr>
              <w:t>-</w:t>
              <w:tab/>
            </w:r>
            <w:r>
              <w:rPr>
                <w:rFonts w:ascii="Arial"/>
                <w:spacing w:val="-1"/>
                <w:sz w:val="24"/>
              </w:rPr>
              <w:t>5,658</w:t>
            </w:r>
          </w:p>
        </w:tc>
      </w:tr>
      <w:tr>
        <w:trPr>
          <w:trHeight w:val="312"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78" w:lineRule="exact"/>
              <w:ind w:left="137" w:right="0"/>
              <w:jc w:val="left"/>
              <w:rPr>
                <w:rFonts w:ascii="Arial" w:hAnsi="Arial" w:cs="Arial" w:eastAsia="Arial" w:hint="default"/>
                <w:sz w:val="24"/>
                <w:szCs w:val="24"/>
              </w:rPr>
            </w:pPr>
            <w:r>
              <w:rPr>
                <w:rFonts w:ascii="宋体" w:hAnsi="宋体" w:cs="宋体" w:eastAsia="宋体" w:hint="default"/>
                <w:sz w:val="24"/>
                <w:szCs w:val="24"/>
              </w:rPr>
              <w:t>处置长期股权投资产生的投资收益</w:t>
            </w:r>
            <w:r>
              <w:rPr>
                <w:rFonts w:ascii="Arial" w:hAnsi="Arial" w:cs="Arial" w:eastAsia="Arial" w:hint="default"/>
                <w:sz w:val="24"/>
                <w:szCs w:val="24"/>
              </w:rPr>
              <w:t>(c)</w:t>
            </w:r>
          </w:p>
        </w:tc>
        <w:tc>
          <w:tcPr>
            <w:tcW w:w="4838" w:type="dxa"/>
            <w:tcBorders>
              <w:top w:val="nil" w:sz="6" w:space="0" w:color="auto"/>
              <w:left w:val="nil" w:sz="6" w:space="0" w:color="auto"/>
              <w:bottom w:val="nil" w:sz="6" w:space="0" w:color="auto"/>
              <w:right w:val="nil" w:sz="6" w:space="0" w:color="auto"/>
            </w:tcBorders>
          </w:tcPr>
          <w:p>
            <w:pPr>
              <w:pStyle w:val="TableParagraph"/>
              <w:tabs>
                <w:tab w:pos="1010" w:val="left" w:leader="none"/>
                <w:tab w:pos="2551" w:val="left" w:leader="none"/>
                <w:tab w:pos="4493" w:val="left" w:leader="none"/>
                <w:tab w:pos="4680" w:val="left" w:leader="none"/>
              </w:tabs>
              <w:spacing w:line="240" w:lineRule="auto" w:before="21"/>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179,223</w:t>
            </w:r>
            <w:r>
              <w:rPr>
                <w:rFonts w:ascii="Arial"/>
                <w:spacing w:val="-1"/>
                <w:sz w:val="24"/>
              </w:rPr>
              <w:tab/>
            </w:r>
            <w:r>
              <w:rPr>
                <w:rFonts w:ascii="Arial"/>
                <w:spacing w:val="-1"/>
                <w:sz w:val="24"/>
                <w:u w:val="single" w:color="000000"/>
              </w:rPr>
              <w:t> </w:t>
              <w:tab/>
            </w:r>
            <w:r>
              <w:rPr>
                <w:rFonts w:ascii="Arial"/>
                <w:sz w:val="24"/>
                <w:u w:val="single" w:color="000000"/>
              </w:rPr>
              <w:t>-</w:t>
              <w:tab/>
            </w:r>
            <w:r>
              <w:rPr>
                <w:rFonts w:ascii="Arial"/>
                <w:sz w:val="24"/>
              </w:rPr>
            </w:r>
          </w:p>
        </w:tc>
      </w:tr>
      <w:tr>
        <w:trPr>
          <w:trHeight w:val="435"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
        </w:tc>
        <w:tc>
          <w:tcPr>
            <w:tcW w:w="4838" w:type="dxa"/>
            <w:tcBorders>
              <w:top w:val="nil" w:sz="6" w:space="0" w:color="auto"/>
              <w:left w:val="nil" w:sz="6" w:space="0" w:color="auto"/>
              <w:bottom w:val="nil" w:sz="6" w:space="0" w:color="auto"/>
              <w:right w:val="nil" w:sz="6" w:space="0" w:color="auto"/>
            </w:tcBorders>
          </w:tcPr>
          <w:p>
            <w:pPr>
              <w:pStyle w:val="TableParagraph"/>
              <w:tabs>
                <w:tab w:pos="1010" w:val="left" w:leader="none"/>
                <w:tab w:pos="2551" w:val="left" w:leader="none"/>
                <w:tab w:pos="3838" w:val="left" w:leader="none"/>
                <w:tab w:pos="4680" w:val="left" w:leader="none"/>
              </w:tabs>
              <w:spacing w:line="266"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152,192</w:t>
            </w:r>
            <w:r>
              <w:rPr>
                <w:rFonts w:ascii="Arial"/>
                <w:spacing w:val="-1"/>
                <w:sz w:val="24"/>
              </w:rPr>
              <w:tab/>
            </w:r>
            <w:r>
              <w:rPr>
                <w:rFonts w:ascii="Arial"/>
                <w:spacing w:val="-1"/>
                <w:sz w:val="24"/>
                <w:u w:val="thick" w:color="000000"/>
              </w:rPr>
              <w:t> </w:t>
              <w:tab/>
              <w:t>10,625</w:t>
              <w:tab/>
            </w:r>
            <w:r>
              <w:rPr>
                <w:rFonts w:ascii="Arial"/>
                <w:spacing w:val="-1"/>
                <w:sz w:val="24"/>
              </w:rPr>
            </w:r>
          </w:p>
        </w:tc>
      </w:tr>
      <w:tr>
        <w:trPr>
          <w:trHeight w:val="568"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7" w:right="0"/>
              <w:jc w:val="left"/>
              <w:rPr>
                <w:rFonts w:ascii="宋体" w:hAnsi="宋体" w:cs="宋体" w:eastAsia="宋体" w:hint="default"/>
                <w:sz w:val="24"/>
                <w:szCs w:val="24"/>
              </w:rPr>
            </w:pPr>
            <w:r>
              <w:rPr>
                <w:rFonts w:ascii="宋体" w:hAnsi="宋体" w:cs="宋体" w:eastAsia="宋体" w:hint="default"/>
                <w:sz w:val="24"/>
                <w:szCs w:val="24"/>
              </w:rPr>
              <w:t>本集团不存在投资收益汇回的重大限制。</w:t>
            </w:r>
          </w:p>
        </w:tc>
        <w:tc>
          <w:tcPr>
            <w:tcW w:w="4838" w:type="dxa"/>
            <w:tcBorders>
              <w:top w:val="nil" w:sz="6" w:space="0" w:color="auto"/>
              <w:left w:val="nil" w:sz="6" w:space="0" w:color="auto"/>
              <w:bottom w:val="nil" w:sz="6" w:space="0" w:color="auto"/>
              <w:right w:val="nil" w:sz="6" w:space="0" w:color="auto"/>
            </w:tcBorders>
          </w:tcPr>
          <w:p>
            <w:pPr/>
          </w:p>
        </w:tc>
      </w:tr>
      <w:tr>
        <w:trPr>
          <w:trHeight w:val="573" w:hRule="exact"/>
        </w:trPr>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Arial" w:hAnsi="Arial" w:cs="Arial" w:eastAsia="Arial" w:hint="default"/>
                <w:sz w:val="24"/>
                <w:szCs w:val="24"/>
              </w:rPr>
            </w:pPr>
            <w:r>
              <w:rPr>
                <w:rFonts w:ascii="Arial"/>
                <w:sz w:val="24"/>
              </w:rPr>
              <w:t>(a)</w:t>
            </w: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7"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4838" w:type="dxa"/>
            <w:tcBorders>
              <w:top w:val="nil" w:sz="6" w:space="0" w:color="auto"/>
              <w:left w:val="nil" w:sz="6" w:space="0" w:color="auto"/>
              <w:bottom w:val="nil" w:sz="6" w:space="0" w:color="auto"/>
              <w:right w:val="nil" w:sz="6" w:space="0" w:color="auto"/>
            </w:tcBorders>
          </w:tcPr>
          <w:p>
            <w:pPr/>
          </w:p>
        </w:tc>
      </w:tr>
      <w:tr>
        <w:trPr>
          <w:trHeight w:val="594"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16"/>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4838" w:type="dxa"/>
            <w:tcBorders>
              <w:top w:val="nil" w:sz="6" w:space="0" w:color="auto"/>
              <w:left w:val="nil" w:sz="6" w:space="0" w:color="auto"/>
              <w:bottom w:val="nil" w:sz="6" w:space="0" w:color="auto"/>
              <w:right w:val="nil" w:sz="6" w:space="0" w:color="auto"/>
            </w:tcBorders>
          </w:tcPr>
          <w:p>
            <w:pPr>
              <w:pStyle w:val="TableParagraph"/>
              <w:tabs>
                <w:tab w:pos="1814" w:val="left" w:leader="none"/>
              </w:tabs>
              <w:spacing w:line="240" w:lineRule="auto" w:before="100"/>
              <w:ind w:left="345"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tab/>
              <w:t>本期比上期增减变动的原因</w:t>
            </w:r>
          </w:p>
        </w:tc>
      </w:tr>
      <w:tr>
        <w:trPr>
          <w:trHeight w:val="749"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tabs>
                <w:tab w:pos="2454" w:val="left" w:leader="none"/>
                <w:tab w:pos="3428" w:val="left" w:leader="none"/>
                <w:tab w:pos="4273" w:val="left" w:leader="none"/>
              </w:tabs>
              <w:spacing w:line="240" w:lineRule="auto" w:before="93"/>
              <w:ind w:left="137" w:right="0"/>
              <w:jc w:val="left"/>
              <w:rPr>
                <w:rFonts w:ascii="Arial" w:hAnsi="Arial" w:cs="Arial" w:eastAsia="Arial" w:hint="default"/>
                <w:sz w:val="24"/>
                <w:szCs w:val="24"/>
              </w:rPr>
            </w:pPr>
            <w:r>
              <w:rPr>
                <w:rFonts w:ascii="宋体" w:hAnsi="宋体" w:cs="宋体" w:eastAsia="宋体" w:hint="default"/>
                <w:position w:val="2"/>
                <w:sz w:val="24"/>
                <w:szCs w:val="24"/>
              </w:rPr>
              <w:t>江苏银行</w:t>
              <w:tab/>
            </w:r>
            <w:r>
              <w:rPr>
                <w:rFonts w:ascii="Arial" w:hAnsi="Arial" w:cs="Arial" w:eastAsia="Arial" w:hint="default"/>
                <w:sz w:val="24"/>
                <w:szCs w:val="24"/>
              </w:rPr>
            </w:r>
            <w:r>
              <w:rPr>
                <w:rFonts w:ascii="Arial" w:hAnsi="Arial" w:cs="Arial" w:eastAsia="Arial" w:hint="default"/>
                <w:sz w:val="24"/>
                <w:szCs w:val="24"/>
                <w:u w:val="thick" w:color="000000"/>
              </w:rPr>
              <w:t> </w:t>
              <w:tab/>
              <w:t>12,000</w:t>
              <w:tab/>
            </w:r>
            <w:r>
              <w:rPr>
                <w:rFonts w:ascii="Arial" w:hAnsi="Arial" w:cs="Arial" w:eastAsia="Arial" w:hint="default"/>
                <w:sz w:val="24"/>
                <w:szCs w:val="24"/>
              </w:rPr>
            </w:r>
          </w:p>
        </w:tc>
        <w:tc>
          <w:tcPr>
            <w:tcW w:w="4838" w:type="dxa"/>
            <w:tcBorders>
              <w:top w:val="nil" w:sz="6" w:space="0" w:color="auto"/>
              <w:left w:val="nil" w:sz="6" w:space="0" w:color="auto"/>
              <w:bottom w:val="nil" w:sz="6" w:space="0" w:color="auto"/>
              <w:right w:val="nil" w:sz="6" w:space="0" w:color="auto"/>
            </w:tcBorders>
          </w:tcPr>
          <w:p>
            <w:pPr>
              <w:pStyle w:val="TableParagraph"/>
              <w:tabs>
                <w:tab w:pos="1403" w:val="left" w:leader="none"/>
                <w:tab w:pos="2294" w:val="left" w:leader="none"/>
              </w:tabs>
              <w:spacing w:line="240" w:lineRule="auto" w:before="93"/>
              <w:ind w:left="88" w:right="0"/>
              <w:jc w:val="left"/>
              <w:rPr>
                <w:rFonts w:ascii="宋体" w:hAnsi="宋体" w:cs="宋体" w:eastAsia="宋体" w:hint="default"/>
                <w:sz w:val="24"/>
                <w:szCs w:val="24"/>
              </w:rPr>
            </w:pP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t>-</w:t>
            </w:r>
            <w:r>
              <w:rPr>
                <w:rFonts w:ascii="Arial" w:hAnsi="Arial" w:cs="Arial" w:eastAsia="Arial" w:hint="default"/>
                <w:sz w:val="24"/>
                <w:szCs w:val="24"/>
              </w:rPr>
              <w:tab/>
            </w:r>
            <w:r>
              <w:rPr>
                <w:rFonts w:ascii="宋体" w:hAnsi="宋体" w:cs="宋体" w:eastAsia="宋体" w:hint="default"/>
                <w:position w:val="2"/>
                <w:sz w:val="24"/>
                <w:szCs w:val="24"/>
              </w:rPr>
              <w:t>江苏银行分配现金股利</w:t>
            </w:r>
            <w:r>
              <w:rPr>
                <w:rFonts w:ascii="宋体" w:hAnsi="宋体" w:cs="宋体" w:eastAsia="宋体" w:hint="default"/>
                <w:sz w:val="24"/>
                <w:szCs w:val="24"/>
              </w:rPr>
            </w:r>
          </w:p>
        </w:tc>
      </w:tr>
      <w:tr>
        <w:trPr>
          <w:trHeight w:val="735" w:hRule="exact"/>
        </w:trPr>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37"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r>
              <w:rPr>
                <w:rFonts w:ascii="宋体" w:hAnsi="宋体" w:cs="宋体" w:eastAsia="宋体" w:hint="default"/>
                <w:sz w:val="24"/>
                <w:szCs w:val="24"/>
              </w:rPr>
              <w:t>收益</w:t>
            </w:r>
          </w:p>
        </w:tc>
        <w:tc>
          <w:tcPr>
            <w:tcW w:w="4838" w:type="dxa"/>
            <w:tcBorders>
              <w:top w:val="nil" w:sz="6" w:space="0" w:color="auto"/>
              <w:left w:val="nil" w:sz="6" w:space="0" w:color="auto"/>
              <w:bottom w:val="nil" w:sz="6" w:space="0" w:color="auto"/>
              <w:right w:val="nil" w:sz="6" w:space="0" w:color="auto"/>
            </w:tcBorders>
          </w:tcPr>
          <w:p>
            <w:pPr/>
          </w:p>
        </w:tc>
      </w:tr>
      <w:tr>
        <w:trPr>
          <w:trHeight w:val="588"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16"/>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4838" w:type="dxa"/>
            <w:tcBorders>
              <w:top w:val="nil" w:sz="6" w:space="0" w:color="auto"/>
              <w:left w:val="nil" w:sz="6" w:space="0" w:color="auto"/>
              <w:bottom w:val="nil" w:sz="6" w:space="0" w:color="auto"/>
              <w:right w:val="nil" w:sz="6" w:space="0" w:color="auto"/>
            </w:tcBorders>
          </w:tcPr>
          <w:p>
            <w:pPr>
              <w:pStyle w:val="TableParagraph"/>
              <w:tabs>
                <w:tab w:pos="1348" w:val="left" w:leader="none"/>
              </w:tabs>
              <w:spacing w:line="240" w:lineRule="auto" w:before="94"/>
              <w:ind w:right="14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tab/>
              <w:t>本期比上期增减变动的原因</w:t>
            </w:r>
          </w:p>
        </w:tc>
      </w:tr>
      <w:tr>
        <w:trPr>
          <w:trHeight w:val="450"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
        </w:tc>
        <w:tc>
          <w:tcPr>
            <w:tcW w:w="48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2"/>
              <w:jc w:val="right"/>
              <w:rPr>
                <w:rFonts w:ascii="宋体" w:hAnsi="宋体" w:cs="宋体" w:eastAsia="宋体" w:hint="default"/>
                <w:sz w:val="24"/>
                <w:szCs w:val="24"/>
              </w:rPr>
            </w:pPr>
            <w:r>
              <w:rPr>
                <w:rFonts w:ascii="Arial" w:hAnsi="Arial" w:cs="Arial" w:eastAsia="Arial" w:hint="default"/>
                <w:sz w:val="24"/>
                <w:szCs w:val="24"/>
              </w:rPr>
              <w:t>LAOX</w:t>
            </w:r>
            <w:r>
              <w:rPr>
                <w:rFonts w:ascii="Arial" w:hAnsi="Arial" w:cs="Arial" w:eastAsia="Arial" w:hint="default"/>
                <w:spacing w:val="-7"/>
                <w:sz w:val="24"/>
                <w:szCs w:val="24"/>
              </w:rPr>
              <w:t> </w:t>
            </w:r>
            <w:r>
              <w:rPr>
                <w:rFonts w:ascii="宋体" w:hAnsi="宋体" w:cs="宋体" w:eastAsia="宋体" w:hint="default"/>
                <w:sz w:val="24"/>
                <w:szCs w:val="24"/>
              </w:rPr>
              <w:t>株式会社本期在</w:t>
            </w:r>
          </w:p>
        </w:tc>
      </w:tr>
      <w:tr>
        <w:trPr>
          <w:trHeight w:val="252"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
        </w:tc>
        <w:tc>
          <w:tcPr>
            <w:tcW w:w="4838" w:type="dxa"/>
            <w:tcBorders>
              <w:top w:val="nil" w:sz="6" w:space="0" w:color="auto"/>
              <w:left w:val="nil" w:sz="6" w:space="0" w:color="auto"/>
              <w:bottom w:val="nil" w:sz="6" w:space="0" w:color="auto"/>
              <w:right w:val="nil" w:sz="6" w:space="0" w:color="auto"/>
            </w:tcBorders>
          </w:tcPr>
          <w:p>
            <w:pPr>
              <w:pStyle w:val="TableParagraph"/>
              <w:spacing w:line="270" w:lineRule="exact"/>
              <w:ind w:right="142"/>
              <w:jc w:val="right"/>
              <w:rPr>
                <w:rFonts w:ascii="宋体" w:hAnsi="宋体" w:cs="宋体" w:eastAsia="宋体" w:hint="default"/>
                <w:sz w:val="24"/>
                <w:szCs w:val="24"/>
              </w:rPr>
            </w:pPr>
            <w:r>
              <w:rPr>
                <w:rFonts w:ascii="宋体" w:hAnsi="宋体" w:cs="宋体" w:eastAsia="宋体" w:hint="default"/>
                <w:sz w:val="24"/>
                <w:szCs w:val="24"/>
              </w:rPr>
              <w:t>合并日之前亏损，上期盈利</w:t>
            </w:r>
          </w:p>
        </w:tc>
      </w:tr>
      <w:tr>
        <w:trPr>
          <w:trHeight w:val="353" w:hRule="exact"/>
        </w:trPr>
        <w:tc>
          <w:tcPr>
            <w:tcW w:w="601" w:type="dxa"/>
            <w:tcBorders>
              <w:top w:val="nil" w:sz="6" w:space="0" w:color="auto"/>
              <w:left w:val="nil" w:sz="6" w:space="0" w:color="auto"/>
              <w:bottom w:val="nil" w:sz="6" w:space="0" w:color="auto"/>
              <w:right w:val="nil" w:sz="6" w:space="0" w:color="auto"/>
            </w:tcBorders>
          </w:tcPr>
          <w:p>
            <w:pPr/>
          </w:p>
        </w:tc>
        <w:tc>
          <w:tcPr>
            <w:tcW w:w="4586" w:type="dxa"/>
            <w:tcBorders>
              <w:top w:val="nil" w:sz="6" w:space="0" w:color="auto"/>
              <w:left w:val="nil" w:sz="6" w:space="0" w:color="auto"/>
              <w:bottom w:val="nil" w:sz="6" w:space="0" w:color="auto"/>
              <w:right w:val="nil" w:sz="6" w:space="0" w:color="auto"/>
            </w:tcBorders>
          </w:tcPr>
          <w:p>
            <w:pPr>
              <w:pStyle w:val="TableParagraph"/>
              <w:tabs>
                <w:tab w:pos="2454" w:val="left" w:leader="none"/>
                <w:tab w:pos="3370" w:val="left" w:leader="none"/>
              </w:tabs>
              <w:spacing w:line="258" w:lineRule="exact"/>
              <w:ind w:left="137" w:right="0"/>
              <w:jc w:val="left"/>
              <w:rPr>
                <w:rFonts w:ascii="Arial" w:hAnsi="Arial" w:cs="Arial" w:eastAsia="Arial" w:hint="default"/>
                <w:sz w:val="24"/>
                <w:szCs w:val="24"/>
              </w:rPr>
            </w:pPr>
            <w:r>
              <w:rPr>
                <w:rFonts w:ascii="Arial" w:hAnsi="Arial" w:cs="Arial" w:eastAsia="Arial" w:hint="default"/>
                <w:position w:val="2"/>
                <w:sz w:val="24"/>
                <w:szCs w:val="24"/>
              </w:rPr>
              <w:t>LAOX</w:t>
            </w:r>
            <w:r>
              <w:rPr>
                <w:rFonts w:ascii="Arial" w:hAnsi="Arial" w:cs="Arial" w:eastAsia="Arial" w:hint="default"/>
                <w:spacing w:val="-8"/>
                <w:position w:val="2"/>
                <w:sz w:val="24"/>
                <w:szCs w:val="24"/>
              </w:rPr>
              <w:t> </w:t>
            </w:r>
            <w:r>
              <w:rPr>
                <w:rFonts w:ascii="宋体" w:hAnsi="宋体" w:cs="宋体" w:eastAsia="宋体" w:hint="default"/>
                <w:position w:val="2"/>
                <w:sz w:val="24"/>
                <w:szCs w:val="24"/>
              </w:rPr>
              <w:t>株式会社</w:t>
              <w:tab/>
            </w:r>
            <w:r>
              <w:rPr>
                <w:rFonts w:ascii="Arial" w:hAnsi="Arial" w:cs="Arial" w:eastAsia="Arial" w:hint="default"/>
                <w:sz w:val="24"/>
                <w:szCs w:val="24"/>
              </w:rPr>
            </w:r>
            <w:r>
              <w:rPr>
                <w:rFonts w:ascii="Arial" w:hAnsi="Arial" w:cs="Arial" w:eastAsia="Arial" w:hint="default"/>
                <w:sz w:val="24"/>
                <w:szCs w:val="24"/>
                <w:u w:val="thick" w:color="000000"/>
              </w:rPr>
              <w:t> </w:t>
              <w:tab/>
              <w:t>(39,031)</w:t>
            </w:r>
            <w:r>
              <w:rPr>
                <w:rFonts w:ascii="Arial" w:hAnsi="Arial" w:cs="Arial" w:eastAsia="Arial" w:hint="default"/>
                <w:sz w:val="24"/>
                <w:szCs w:val="24"/>
              </w:rPr>
            </w:r>
          </w:p>
        </w:tc>
        <w:tc>
          <w:tcPr>
            <w:tcW w:w="4838" w:type="dxa"/>
            <w:tcBorders>
              <w:top w:val="nil" w:sz="6" w:space="0" w:color="auto"/>
              <w:left w:val="nil" w:sz="6" w:space="0" w:color="auto"/>
              <w:bottom w:val="nil" w:sz="6" w:space="0" w:color="auto"/>
              <w:right w:val="nil" w:sz="6" w:space="0" w:color="auto"/>
            </w:tcBorders>
          </w:tcPr>
          <w:p>
            <w:pPr>
              <w:pStyle w:val="TableParagraph"/>
              <w:tabs>
                <w:tab w:pos="883" w:val="left" w:leader="none"/>
                <w:tab w:pos="1653" w:val="left" w:leader="none"/>
              </w:tabs>
              <w:spacing w:line="258" w:lineRule="exact"/>
              <w:ind w:left="8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4,967</w:t>
              <w:tab/>
            </w:r>
            <w:r>
              <w:rPr>
                <w:rFonts w:ascii="Arial"/>
                <w:sz w:val="24"/>
              </w:rPr>
            </w:r>
          </w:p>
        </w:tc>
      </w:tr>
    </w:tbl>
    <w:p>
      <w:pPr>
        <w:spacing w:line="240" w:lineRule="auto" w:before="3"/>
        <w:rPr>
          <w:rFonts w:ascii="Times New Roman" w:hAnsi="Times New Roman" w:cs="Times New Roman" w:eastAsia="Times New Roman" w:hint="default"/>
          <w:sz w:val="12"/>
          <w:szCs w:val="12"/>
        </w:rPr>
      </w:pPr>
    </w:p>
    <w:p>
      <w:pPr>
        <w:pStyle w:val="BodyText"/>
        <w:tabs>
          <w:tab w:pos="1003" w:val="left" w:leader="none"/>
        </w:tabs>
        <w:spacing w:line="312" w:lineRule="exact" w:before="61"/>
        <w:ind w:left="1003" w:right="859" w:hanging="704"/>
        <w:jc w:val="left"/>
      </w:pPr>
      <w:r>
        <w:rPr>
          <w:rFonts w:ascii="Arial" w:hAnsi="Arial" w:cs="Arial" w:eastAsia="Arial" w:hint="default"/>
          <w:position w:val="2"/>
        </w:rPr>
        <w:t>(c)</w:t>
        <w:tab/>
      </w:r>
      <w:r>
        <w:rPr/>
        <w:t>于</w:t>
      </w:r>
      <w:r>
        <w:rPr>
          <w:spacing w:val="-69"/>
        </w:rPr>
        <w:t> </w:t>
      </w:r>
      <w:r>
        <w:rPr>
          <w:rFonts w:ascii="Arial" w:hAnsi="Arial" w:cs="Arial" w:eastAsia="Arial" w:hint="default"/>
          <w:spacing w:val="-5"/>
        </w:rPr>
        <w:t>2011</w:t>
      </w:r>
      <w:r>
        <w:rPr>
          <w:rFonts w:ascii="Arial" w:hAnsi="Arial" w:cs="Arial" w:eastAsia="Arial" w:hint="default"/>
          <w:spacing w:val="-15"/>
        </w:rPr>
        <w:t> </w:t>
      </w:r>
      <w:r>
        <w:rPr/>
        <w:t>年度，处置长期股权投资产生的投资收益为分步实现的非同一控制下企业合并， 对购买日前原持有日本</w:t>
      </w:r>
      <w:r>
        <w:rPr>
          <w:spacing w:val="-60"/>
        </w:rPr>
        <w:t> </w:t>
      </w:r>
      <w:r>
        <w:rPr>
          <w:rFonts w:ascii="Arial" w:hAnsi="Arial" w:cs="Arial" w:eastAsia="Arial" w:hint="default"/>
        </w:rPr>
        <w:t>LAOX</w:t>
      </w:r>
      <w:r>
        <w:rPr>
          <w:rFonts w:ascii="Arial" w:hAnsi="Arial" w:cs="Arial" w:eastAsia="Arial" w:hint="default"/>
          <w:spacing w:val="-8"/>
        </w:rPr>
        <w:t> </w:t>
      </w:r>
      <w:r>
        <w:rPr/>
        <w:t>株式会社的股份按公允价值重新计量产生的利得。</w:t>
      </w:r>
    </w:p>
    <w:p>
      <w:pPr>
        <w:spacing w:after="0" w:line="312" w:lineRule="exact"/>
        <w:jc w:val="left"/>
        <w:sectPr>
          <w:pgSz w:w="11910" w:h="16850"/>
          <w:pgMar w:header="754" w:footer="956" w:top="2240" w:bottom="1140" w:left="7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800"/>
        <w:gridCol w:w="1961"/>
        <w:gridCol w:w="1865"/>
        <w:gridCol w:w="1076"/>
        <w:gridCol w:w="281"/>
        <w:gridCol w:w="1241"/>
        <w:gridCol w:w="94"/>
        <w:gridCol w:w="106"/>
        <w:gridCol w:w="406"/>
        <w:gridCol w:w="2045"/>
      </w:tblGrid>
      <w:tr>
        <w:trPr>
          <w:trHeight w:val="698"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82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08"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76" w:type="dxa"/>
            <w:tcBorders>
              <w:top w:val="single" w:sz="6" w:space="0" w:color="000000"/>
              <w:left w:val="nil" w:sz="6" w:space="0" w:color="auto"/>
              <w:bottom w:val="nil" w:sz="6" w:space="0" w:color="auto"/>
              <w:right w:val="nil" w:sz="6" w:space="0" w:color="auto"/>
            </w:tcBorders>
          </w:tcPr>
          <w:p>
            <w:pPr/>
          </w:p>
        </w:tc>
        <w:tc>
          <w:tcPr>
            <w:tcW w:w="281" w:type="dxa"/>
            <w:tcBorders>
              <w:top w:val="single" w:sz="6" w:space="0" w:color="000000"/>
              <w:left w:val="nil" w:sz="6" w:space="0" w:color="auto"/>
              <w:bottom w:val="nil" w:sz="6" w:space="0" w:color="auto"/>
              <w:right w:val="nil" w:sz="6" w:space="0" w:color="auto"/>
            </w:tcBorders>
          </w:tcPr>
          <w:p>
            <w:pPr/>
          </w:p>
        </w:tc>
        <w:tc>
          <w:tcPr>
            <w:tcW w:w="1241" w:type="dxa"/>
            <w:tcBorders>
              <w:top w:val="single" w:sz="6" w:space="0" w:color="000000"/>
              <w:left w:val="nil" w:sz="6" w:space="0" w:color="auto"/>
              <w:bottom w:val="nil" w:sz="6" w:space="0" w:color="auto"/>
              <w:right w:val="nil" w:sz="6" w:space="0" w:color="auto"/>
            </w:tcBorders>
          </w:tcPr>
          <w:p>
            <w:pPr/>
          </w:p>
        </w:tc>
        <w:tc>
          <w:tcPr>
            <w:tcW w:w="94" w:type="dxa"/>
            <w:tcBorders>
              <w:top w:val="single" w:sz="6" w:space="0" w:color="000000"/>
              <w:left w:val="nil" w:sz="6" w:space="0" w:color="auto"/>
              <w:bottom w:val="nil" w:sz="6" w:space="0" w:color="auto"/>
              <w:right w:val="nil" w:sz="6" w:space="0" w:color="auto"/>
            </w:tcBorders>
          </w:tcPr>
          <w:p>
            <w:pPr/>
          </w:p>
        </w:tc>
        <w:tc>
          <w:tcPr>
            <w:tcW w:w="106" w:type="dxa"/>
            <w:tcBorders>
              <w:top w:val="single" w:sz="6" w:space="0" w:color="000000"/>
              <w:left w:val="nil" w:sz="6" w:space="0" w:color="auto"/>
              <w:bottom w:val="nil" w:sz="6" w:space="0" w:color="auto"/>
              <w:right w:val="nil" w:sz="6" w:space="0" w:color="auto"/>
            </w:tcBorders>
          </w:tcPr>
          <w:p>
            <w:pPr/>
          </w:p>
        </w:tc>
        <w:tc>
          <w:tcPr>
            <w:tcW w:w="406" w:type="dxa"/>
            <w:tcBorders>
              <w:top w:val="single" w:sz="6" w:space="0" w:color="000000"/>
              <w:left w:val="nil" w:sz="6" w:space="0" w:color="auto"/>
              <w:bottom w:val="nil" w:sz="6" w:space="0" w:color="auto"/>
              <w:right w:val="nil" w:sz="6" w:space="0" w:color="auto"/>
            </w:tcBorders>
          </w:tcPr>
          <w:p>
            <w:pPr/>
          </w:p>
        </w:tc>
        <w:tc>
          <w:tcPr>
            <w:tcW w:w="2045" w:type="dxa"/>
            <w:tcBorders>
              <w:top w:val="single" w:sz="6" w:space="0" w:color="000000"/>
              <w:left w:val="nil" w:sz="6" w:space="0" w:color="auto"/>
              <w:bottom w:val="nil" w:sz="6" w:space="0" w:color="auto"/>
              <w:right w:val="nil" w:sz="6" w:space="0" w:color="auto"/>
            </w:tcBorders>
          </w:tcPr>
          <w:p>
            <w:pPr/>
          </w:p>
        </w:tc>
      </w:tr>
      <w:tr>
        <w:trPr>
          <w:trHeight w:val="58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(42)</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24"/>
                <w:szCs w:val="24"/>
              </w:rPr>
            </w:pPr>
            <w:r>
              <w:rPr>
                <w:rFonts w:ascii="宋体" w:hAnsi="宋体" w:cs="宋体" w:eastAsia="宋体" w:hint="default"/>
                <w:b/>
                <w:bCs/>
                <w:sz w:val="24"/>
                <w:szCs w:val="24"/>
              </w:rPr>
              <w:t>资产减值损失</w:t>
            </w:r>
            <w:r>
              <w:rPr>
                <w:rFonts w:ascii="宋体" w:hAnsi="宋体" w:cs="宋体" w:eastAsia="宋体" w:hint="default"/>
                <w:sz w:val="24"/>
                <w:szCs w:val="24"/>
              </w:rPr>
            </w:r>
          </w:p>
        </w:tc>
        <w:tc>
          <w:tcPr>
            <w:tcW w:w="186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
        </w:tc>
      </w:tr>
      <w:tr>
        <w:trPr>
          <w:trHeight w:val="591"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0"/>
              <w:ind w:left="431"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50" w:hRule="exact"/>
        </w:trPr>
        <w:tc>
          <w:tcPr>
            <w:tcW w:w="800" w:type="dxa"/>
            <w:tcBorders>
              <w:top w:val="nil" w:sz="6" w:space="0" w:color="auto"/>
              <w:left w:val="nil" w:sz="6" w:space="0" w:color="auto"/>
              <w:bottom w:val="nil" w:sz="6" w:space="0" w:color="auto"/>
              <w:right w:val="nil" w:sz="6" w:space="0" w:color="auto"/>
            </w:tcBorders>
          </w:tcPr>
          <w:p>
            <w:pPr/>
          </w:p>
        </w:tc>
        <w:tc>
          <w:tcPr>
            <w:tcW w:w="38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Arial" w:hAnsi="Arial" w:cs="Arial" w:eastAsia="Arial" w:hint="default"/>
                <w:sz w:val="24"/>
                <w:szCs w:val="24"/>
              </w:rPr>
            </w:pPr>
            <w:r>
              <w:rPr>
                <w:rFonts w:ascii="宋体" w:hAnsi="宋体" w:cs="宋体" w:eastAsia="宋体" w:hint="default"/>
                <w:sz w:val="24"/>
                <w:szCs w:val="24"/>
              </w:rPr>
              <w:t>坏账损失</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(17))</w:t>
            </w:r>
          </w:p>
        </w:tc>
        <w:tc>
          <w:tcPr>
            <w:tcW w:w="1076" w:type="dxa"/>
            <w:tcBorders>
              <w:top w:val="nil" w:sz="6" w:space="0" w:color="auto"/>
              <w:left w:val="nil" w:sz="6" w:space="0" w:color="auto"/>
              <w:bottom w:val="nil" w:sz="6" w:space="0" w:color="auto"/>
              <w:right w:val="nil" w:sz="6" w:space="0" w:color="auto"/>
            </w:tcBorders>
          </w:tcPr>
          <w:p>
            <w:pP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5"/>
              <w:ind w:left="751" w:right="0"/>
              <w:jc w:val="left"/>
              <w:rPr>
                <w:rFonts w:ascii="Arial" w:hAnsi="Arial" w:cs="Arial" w:eastAsia="Arial" w:hint="default"/>
                <w:sz w:val="24"/>
                <w:szCs w:val="24"/>
              </w:rPr>
            </w:pPr>
            <w:r>
              <w:rPr>
                <w:rFonts w:ascii="Arial"/>
                <w:sz w:val="24"/>
              </w:rPr>
              <w:t>23,055</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5"/>
              <w:jc w:val="right"/>
              <w:rPr>
                <w:rFonts w:ascii="Arial" w:hAnsi="Arial" w:cs="Arial" w:eastAsia="Arial" w:hint="default"/>
                <w:sz w:val="24"/>
                <w:szCs w:val="24"/>
              </w:rPr>
            </w:pPr>
            <w:r>
              <w:rPr>
                <w:rFonts w:ascii="Arial"/>
                <w:spacing w:val="-1"/>
                <w:sz w:val="24"/>
              </w:rPr>
              <w:t>21,635</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3826" w:type="dxa"/>
            <w:gridSpan w:val="2"/>
            <w:tcBorders>
              <w:top w:val="nil" w:sz="6" w:space="0" w:color="auto"/>
              <w:left w:val="nil" w:sz="6" w:space="0" w:color="auto"/>
              <w:bottom w:val="nil" w:sz="6" w:space="0" w:color="auto"/>
              <w:right w:val="nil" w:sz="6" w:space="0" w:color="auto"/>
            </w:tcBorders>
          </w:tcPr>
          <w:p>
            <w:pPr>
              <w:pStyle w:val="TableParagraph"/>
              <w:spacing w:line="290" w:lineRule="exact"/>
              <w:ind w:left="108" w:right="0"/>
              <w:jc w:val="left"/>
              <w:rPr>
                <w:rFonts w:ascii="Arial" w:hAnsi="Arial" w:cs="Arial" w:eastAsia="Arial" w:hint="default"/>
                <w:sz w:val="24"/>
                <w:szCs w:val="24"/>
              </w:rPr>
            </w:pPr>
            <w:r>
              <w:rPr>
                <w:rFonts w:ascii="宋体" w:hAnsi="宋体" w:cs="宋体" w:eastAsia="宋体" w:hint="default"/>
                <w:sz w:val="24"/>
                <w:szCs w:val="24"/>
              </w:rPr>
              <w:t>存货跌价损失</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(17))</w:t>
            </w:r>
          </w:p>
        </w:tc>
        <w:tc>
          <w:tcPr>
            <w:tcW w:w="1076" w:type="dxa"/>
            <w:tcBorders>
              <w:top w:val="nil" w:sz="6" w:space="0" w:color="auto"/>
              <w:left w:val="nil" w:sz="6" w:space="0" w:color="auto"/>
              <w:bottom w:val="nil" w:sz="6" w:space="0" w:color="auto"/>
              <w:right w:val="nil" w:sz="6" w:space="0" w:color="auto"/>
            </w:tcBorders>
          </w:tcPr>
          <w:p>
            <w:pP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73" w:lineRule="exact"/>
              <w:ind w:left="751" w:right="0"/>
              <w:jc w:val="left"/>
              <w:rPr>
                <w:rFonts w:ascii="Arial" w:hAnsi="Arial" w:cs="Arial" w:eastAsia="Arial" w:hint="default"/>
                <w:sz w:val="24"/>
                <w:szCs w:val="24"/>
              </w:rPr>
            </w:pPr>
            <w:r>
              <w:rPr>
                <w:rFonts w:ascii="Arial"/>
                <w:sz w:val="24"/>
              </w:rPr>
              <w:t>34,445</w:t>
            </w:r>
          </w:p>
        </w:tc>
        <w:tc>
          <w:tcPr>
            <w:tcW w:w="2045"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54,289</w:t>
            </w:r>
          </w:p>
        </w:tc>
      </w:tr>
      <w:tr>
        <w:trPr>
          <w:trHeight w:val="314" w:hRule="exact"/>
        </w:trPr>
        <w:tc>
          <w:tcPr>
            <w:tcW w:w="800" w:type="dxa"/>
            <w:tcBorders>
              <w:top w:val="nil" w:sz="6" w:space="0" w:color="auto"/>
              <w:left w:val="nil" w:sz="6" w:space="0" w:color="auto"/>
              <w:bottom w:val="nil" w:sz="6" w:space="0" w:color="auto"/>
              <w:right w:val="nil" w:sz="6" w:space="0" w:color="auto"/>
            </w:tcBorders>
          </w:tcPr>
          <w:p>
            <w:pPr/>
          </w:p>
        </w:tc>
        <w:tc>
          <w:tcPr>
            <w:tcW w:w="3826" w:type="dxa"/>
            <w:gridSpan w:val="2"/>
            <w:tcBorders>
              <w:top w:val="nil" w:sz="6" w:space="0" w:color="auto"/>
              <w:left w:val="nil" w:sz="6" w:space="0" w:color="auto"/>
              <w:bottom w:val="nil" w:sz="6" w:space="0" w:color="auto"/>
              <w:right w:val="nil" w:sz="6" w:space="0" w:color="auto"/>
            </w:tcBorders>
          </w:tcPr>
          <w:p>
            <w:pPr>
              <w:pStyle w:val="TableParagraph"/>
              <w:spacing w:line="290" w:lineRule="exact"/>
              <w:ind w:left="108" w:right="0"/>
              <w:jc w:val="left"/>
              <w:rPr>
                <w:rFonts w:ascii="Arial" w:hAnsi="Arial" w:cs="Arial" w:eastAsia="Arial" w:hint="default"/>
                <w:sz w:val="24"/>
                <w:szCs w:val="24"/>
              </w:rPr>
            </w:pPr>
            <w:r>
              <w:rPr>
                <w:rFonts w:ascii="宋体" w:hAnsi="宋体" w:cs="宋体" w:eastAsia="宋体" w:hint="default"/>
                <w:sz w:val="24"/>
                <w:szCs w:val="24"/>
              </w:rPr>
              <w:t>固定资产减值损失</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(17))</w:t>
            </w:r>
          </w:p>
        </w:tc>
        <w:tc>
          <w:tcPr>
            <w:tcW w:w="1076" w:type="dxa"/>
            <w:tcBorders>
              <w:top w:val="nil" w:sz="6" w:space="0" w:color="auto"/>
              <w:left w:val="nil" w:sz="6" w:space="0" w:color="auto"/>
              <w:bottom w:val="single" w:sz="2" w:space="0" w:color="000000"/>
              <w:right w:val="nil" w:sz="6" w:space="0" w:color="auto"/>
            </w:tcBorders>
          </w:tcPr>
          <w:p>
            <w:pP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73" w:lineRule="exact"/>
              <w:ind w:left="753" w:right="0"/>
              <w:jc w:val="left"/>
              <w:rPr>
                <w:rFonts w:ascii="Arial" w:hAnsi="Arial" w:cs="Arial" w:eastAsia="Arial" w:hint="default"/>
                <w:sz w:val="24"/>
                <w:szCs w:val="24"/>
              </w:rPr>
            </w:pPr>
            <w:r>
              <w:rPr>
                <w:rFonts w:ascii="Arial"/>
                <w:sz w:val="24"/>
              </w:rPr>
              <w:t>12,037</w:t>
            </w:r>
          </w:p>
        </w:tc>
        <w:tc>
          <w:tcPr>
            <w:tcW w:w="2045" w:type="dxa"/>
            <w:tcBorders>
              <w:top w:val="nil" w:sz="6" w:space="0" w:color="auto"/>
              <w:left w:val="nil" w:sz="6" w:space="0" w:color="auto"/>
              <w:bottom w:val="single" w:sz="2" w:space="0" w:color="000000"/>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293"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
        </w:tc>
        <w:tc>
          <w:tcPr>
            <w:tcW w:w="1076" w:type="dxa"/>
            <w:tcBorders>
              <w:top w:val="single" w:sz="2" w:space="0" w:color="000000"/>
              <w:left w:val="nil" w:sz="6" w:space="0" w:color="auto"/>
              <w:bottom w:val="single" w:sz="12" w:space="0" w:color="000000"/>
              <w:right w:val="nil" w:sz="6" w:space="0" w:color="auto"/>
            </w:tcBorders>
          </w:tcPr>
          <w:p>
            <w:pP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40" w:lineRule="auto"/>
              <w:ind w:left="751" w:right="0"/>
              <w:jc w:val="left"/>
              <w:rPr>
                <w:rFonts w:ascii="Arial" w:hAnsi="Arial" w:cs="Arial" w:eastAsia="Arial" w:hint="default"/>
                <w:sz w:val="24"/>
                <w:szCs w:val="24"/>
              </w:rPr>
            </w:pPr>
            <w:r>
              <w:rPr>
                <w:rFonts w:ascii="Arial"/>
                <w:sz w:val="24"/>
              </w:rPr>
              <w:t>69,537</w:t>
            </w:r>
          </w:p>
        </w:tc>
        <w:tc>
          <w:tcPr>
            <w:tcW w:w="2045" w:type="dxa"/>
            <w:tcBorders>
              <w:top w:val="single" w:sz="2"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75,924</w:t>
            </w:r>
          </w:p>
        </w:tc>
      </w:tr>
      <w:tr>
        <w:trPr>
          <w:trHeight w:val="74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(43)</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b/>
                <w:bCs/>
                <w:sz w:val="24"/>
                <w:szCs w:val="24"/>
              </w:rPr>
              <w:t>营业外收入</w:t>
            </w:r>
            <w:r>
              <w:rPr>
                <w:rFonts w:ascii="宋体" w:hAnsi="宋体" w:cs="宋体" w:eastAsia="宋体" w:hint="default"/>
                <w:sz w:val="24"/>
                <w:szCs w:val="24"/>
              </w:rPr>
            </w:r>
          </w:p>
        </w:tc>
        <w:tc>
          <w:tcPr>
            <w:tcW w:w="1865" w:type="dxa"/>
            <w:tcBorders>
              <w:top w:val="nil" w:sz="6" w:space="0" w:color="auto"/>
              <w:left w:val="nil" w:sz="6" w:space="0" w:color="auto"/>
              <w:bottom w:val="nil" w:sz="6" w:space="0" w:color="auto"/>
              <w:right w:val="nil" w:sz="6" w:space="0" w:color="auto"/>
            </w:tcBorders>
          </w:tcPr>
          <w:p>
            <w:pPr/>
          </w:p>
        </w:tc>
        <w:tc>
          <w:tcPr>
            <w:tcW w:w="1076" w:type="dxa"/>
            <w:tcBorders>
              <w:top w:val="single" w:sz="12" w:space="0" w:color="000000"/>
              <w:left w:val="nil" w:sz="6" w:space="0" w:color="auto"/>
              <w:bottom w:val="nil" w:sz="6" w:space="0" w:color="auto"/>
              <w:right w:val="nil" w:sz="6" w:space="0" w:color="auto"/>
            </w:tcBorders>
          </w:tcPr>
          <w:p>
            <w:pPr/>
          </w:p>
        </w:tc>
        <w:tc>
          <w:tcPr>
            <w:tcW w:w="281" w:type="dxa"/>
            <w:tcBorders>
              <w:top w:val="single" w:sz="12" w:space="0" w:color="000000"/>
              <w:left w:val="nil" w:sz="6" w:space="0" w:color="auto"/>
              <w:bottom w:val="nil" w:sz="6" w:space="0" w:color="auto"/>
              <w:right w:val="nil" w:sz="6" w:space="0" w:color="auto"/>
            </w:tcBorders>
          </w:tcPr>
          <w:p>
            <w:pPr/>
          </w:p>
        </w:tc>
        <w:tc>
          <w:tcPr>
            <w:tcW w:w="1241" w:type="dxa"/>
            <w:tcBorders>
              <w:top w:val="single" w:sz="12" w:space="0" w:color="000000"/>
              <w:left w:val="nil" w:sz="6" w:space="0" w:color="auto"/>
              <w:bottom w:val="nil" w:sz="6" w:space="0" w:color="auto"/>
              <w:right w:val="nil" w:sz="6" w:space="0" w:color="auto"/>
            </w:tcBorders>
          </w:tcPr>
          <w:p>
            <w:pPr/>
          </w:p>
        </w:tc>
        <w:tc>
          <w:tcPr>
            <w:tcW w:w="94" w:type="dxa"/>
            <w:tcBorders>
              <w:top w:val="single" w:sz="1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2045" w:type="dxa"/>
            <w:tcBorders>
              <w:top w:val="single" w:sz="12" w:space="0" w:color="000000"/>
              <w:left w:val="nil" w:sz="6" w:space="0" w:color="auto"/>
              <w:bottom w:val="nil" w:sz="6" w:space="0" w:color="auto"/>
              <w:right w:val="nil" w:sz="6" w:space="0" w:color="auto"/>
            </w:tcBorders>
          </w:tcPr>
          <w:p>
            <w:pPr/>
          </w:p>
        </w:tc>
      </w:tr>
      <w:tr>
        <w:trPr>
          <w:trHeight w:val="897"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29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778"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0"/>
              <w:ind w:left="53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04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6" w:right="103" w:firstLine="84"/>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0"/>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年度非 经常性损益的金额</w:t>
            </w:r>
          </w:p>
        </w:tc>
      </w:tr>
      <w:tr>
        <w:trPr>
          <w:trHeight w:val="460" w:hRule="exact"/>
        </w:trPr>
        <w:tc>
          <w:tcPr>
            <w:tcW w:w="800" w:type="dxa"/>
            <w:tcBorders>
              <w:top w:val="nil" w:sz="6" w:space="0" w:color="auto"/>
              <w:left w:val="nil" w:sz="6" w:space="0" w:color="auto"/>
              <w:bottom w:val="nil" w:sz="6" w:space="0" w:color="auto"/>
              <w:right w:val="nil" w:sz="6" w:space="0" w:color="auto"/>
            </w:tcBorders>
          </w:tcPr>
          <w:p>
            <w:pPr/>
          </w:p>
        </w:tc>
        <w:tc>
          <w:tcPr>
            <w:tcW w:w="38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2"/>
              <w:ind w:left="144"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3"/>
              <w:jc w:val="right"/>
              <w:rPr>
                <w:rFonts w:ascii="Arial" w:hAnsi="Arial" w:cs="Arial" w:eastAsia="Arial" w:hint="default"/>
                <w:sz w:val="24"/>
                <w:szCs w:val="24"/>
              </w:rPr>
            </w:pPr>
            <w:r>
              <w:rPr>
                <w:rFonts w:ascii="Arial"/>
                <w:spacing w:val="-1"/>
                <w:sz w:val="24"/>
              </w:rPr>
              <w:t>2,469</w:t>
            </w:r>
          </w:p>
        </w:tc>
        <w:tc>
          <w:tcPr>
            <w:tcW w:w="2126"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41"/>
              <w:ind w:left="1012" w:right="0"/>
              <w:jc w:val="left"/>
              <w:rPr>
                <w:rFonts w:ascii="Arial" w:hAnsi="Arial" w:cs="Arial" w:eastAsia="Arial" w:hint="default"/>
                <w:sz w:val="24"/>
                <w:szCs w:val="24"/>
              </w:rPr>
            </w:pPr>
            <w:r>
              <w:rPr>
                <w:rFonts w:ascii="Arial"/>
                <w:sz w:val="24"/>
              </w:rPr>
              <w:t>1,165</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5"/>
              <w:jc w:val="right"/>
              <w:rPr>
                <w:rFonts w:ascii="Arial" w:hAnsi="Arial" w:cs="Arial" w:eastAsia="Arial" w:hint="default"/>
                <w:sz w:val="24"/>
                <w:szCs w:val="24"/>
              </w:rPr>
            </w:pPr>
            <w:r>
              <w:rPr>
                <w:rFonts w:ascii="Arial"/>
                <w:spacing w:val="-1"/>
                <w:sz w:val="24"/>
              </w:rPr>
              <w:t>2,469</w:t>
            </w:r>
          </w:p>
        </w:tc>
      </w:tr>
      <w:tr>
        <w:trPr>
          <w:trHeight w:val="322" w:hRule="exact"/>
        </w:trPr>
        <w:tc>
          <w:tcPr>
            <w:tcW w:w="800" w:type="dxa"/>
            <w:tcBorders>
              <w:top w:val="nil" w:sz="6" w:space="0" w:color="auto"/>
              <w:left w:val="nil" w:sz="6" w:space="0" w:color="auto"/>
              <w:bottom w:val="nil" w:sz="6" w:space="0" w:color="auto"/>
              <w:right w:val="single" w:sz="4" w:space="0" w:color="000000"/>
            </w:tcBorders>
          </w:tcPr>
          <w:p>
            <w:pPr/>
          </w:p>
        </w:tc>
        <w:tc>
          <w:tcPr>
            <w:tcW w:w="3826" w:type="dxa"/>
            <w:gridSpan w:val="2"/>
            <w:tcBorders>
              <w:top w:val="single" w:sz="4" w:space="0" w:color="000000"/>
              <w:left w:val="single" w:sz="4" w:space="0" w:color="000000"/>
              <w:bottom w:val="single" w:sz="4" w:space="0" w:color="000000"/>
              <w:right w:val="nil" w:sz="6" w:space="0" w:color="auto"/>
            </w:tcBorders>
          </w:tcPr>
          <w:p>
            <w:pPr>
              <w:pStyle w:val="TableParagraph"/>
              <w:spacing w:line="274" w:lineRule="exact"/>
              <w:ind w:left="139"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3"/>
              <w:jc w:val="right"/>
              <w:rPr>
                <w:rFonts w:ascii="Arial" w:hAnsi="Arial" w:cs="Arial" w:eastAsia="Arial" w:hint="default"/>
                <w:sz w:val="24"/>
                <w:szCs w:val="24"/>
              </w:rPr>
            </w:pPr>
            <w:r>
              <w:rPr>
                <w:rFonts w:ascii="Arial"/>
                <w:spacing w:val="-1"/>
                <w:sz w:val="24"/>
              </w:rPr>
              <w:t>2,469</w:t>
            </w:r>
          </w:p>
        </w:tc>
        <w:tc>
          <w:tcPr>
            <w:tcW w:w="2126" w:type="dxa"/>
            <w:gridSpan w:val="5"/>
            <w:tcBorders>
              <w:top w:val="single" w:sz="4" w:space="0" w:color="000000"/>
              <w:left w:val="nil" w:sz="6" w:space="0" w:color="auto"/>
              <w:bottom w:val="single" w:sz="4" w:space="0" w:color="000000"/>
              <w:right w:val="nil" w:sz="6" w:space="0" w:color="auto"/>
            </w:tcBorders>
          </w:tcPr>
          <w:p>
            <w:pPr>
              <w:pStyle w:val="TableParagraph"/>
              <w:spacing w:line="274" w:lineRule="exact"/>
              <w:ind w:left="1012" w:right="0"/>
              <w:jc w:val="left"/>
              <w:rPr>
                <w:rFonts w:ascii="Arial" w:hAnsi="Arial" w:cs="Arial" w:eastAsia="Arial" w:hint="default"/>
                <w:sz w:val="24"/>
                <w:szCs w:val="24"/>
              </w:rPr>
            </w:pPr>
            <w:r>
              <w:rPr>
                <w:rFonts w:ascii="Arial"/>
                <w:sz w:val="24"/>
              </w:rPr>
              <w:t>1,165</w:t>
            </w:r>
          </w:p>
        </w:tc>
        <w:tc>
          <w:tcPr>
            <w:tcW w:w="204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2,469</w:t>
            </w:r>
          </w:p>
        </w:tc>
      </w:tr>
      <w:tr>
        <w:trPr>
          <w:trHeight w:val="318"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91" w:lineRule="exact"/>
              <w:ind w:left="144" w:right="0"/>
              <w:jc w:val="left"/>
              <w:rPr>
                <w:rFonts w:ascii="Arial" w:hAnsi="Arial" w:cs="Arial" w:eastAsia="Arial" w:hint="default"/>
                <w:sz w:val="24"/>
                <w:szCs w:val="24"/>
              </w:rPr>
            </w:pPr>
            <w:r>
              <w:rPr>
                <w:rFonts w:ascii="宋体" w:hAnsi="宋体" w:cs="宋体" w:eastAsia="宋体" w:hint="default"/>
                <w:sz w:val="24"/>
                <w:szCs w:val="24"/>
              </w:rPr>
              <w:t>政府补助</w:t>
            </w:r>
            <w:r>
              <w:rPr>
                <w:rFonts w:ascii="Arial" w:hAnsi="Arial" w:cs="Arial" w:eastAsia="Arial" w:hint="default"/>
                <w:sz w:val="24"/>
                <w:szCs w:val="24"/>
              </w:rPr>
              <w:t>(a)</w:t>
            </w:r>
          </w:p>
        </w:tc>
        <w:tc>
          <w:tcPr>
            <w:tcW w:w="1865"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74" w:lineRule="exact"/>
              <w:ind w:right="103"/>
              <w:jc w:val="right"/>
              <w:rPr>
                <w:rFonts w:ascii="Arial" w:hAnsi="Arial" w:cs="Arial" w:eastAsia="Arial" w:hint="default"/>
                <w:sz w:val="24"/>
                <w:szCs w:val="24"/>
              </w:rPr>
            </w:pPr>
            <w:r>
              <w:rPr>
                <w:rFonts w:ascii="Arial"/>
                <w:spacing w:val="-1"/>
                <w:sz w:val="24"/>
              </w:rPr>
              <w:t>83,566</w:t>
            </w:r>
          </w:p>
        </w:tc>
        <w:tc>
          <w:tcPr>
            <w:tcW w:w="2126" w:type="dxa"/>
            <w:gridSpan w:val="5"/>
            <w:tcBorders>
              <w:top w:val="single" w:sz="4" w:space="0" w:color="000000"/>
              <w:left w:val="nil" w:sz="6" w:space="0" w:color="auto"/>
              <w:bottom w:val="nil" w:sz="6" w:space="0" w:color="auto"/>
              <w:right w:val="nil" w:sz="6" w:space="0" w:color="auto"/>
            </w:tcBorders>
          </w:tcPr>
          <w:p>
            <w:pPr>
              <w:pStyle w:val="TableParagraph"/>
              <w:spacing w:line="274" w:lineRule="exact"/>
              <w:ind w:left="878" w:right="0"/>
              <w:jc w:val="left"/>
              <w:rPr>
                <w:rFonts w:ascii="Arial" w:hAnsi="Arial" w:cs="Arial" w:eastAsia="Arial" w:hint="default"/>
                <w:sz w:val="24"/>
                <w:szCs w:val="24"/>
              </w:rPr>
            </w:pPr>
            <w:r>
              <w:rPr>
                <w:rFonts w:ascii="Arial"/>
                <w:sz w:val="24"/>
              </w:rPr>
              <w:t>41,982</w:t>
            </w:r>
          </w:p>
        </w:tc>
        <w:tc>
          <w:tcPr>
            <w:tcW w:w="2045" w:type="dxa"/>
            <w:tcBorders>
              <w:top w:val="single" w:sz="4" w:space="0" w:color="000000"/>
              <w:left w:val="nil" w:sz="6" w:space="0" w:color="auto"/>
              <w:bottom w:val="nil" w:sz="6" w:space="0" w:color="auto"/>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83,566</w:t>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73" w:lineRule="exact"/>
              <w:ind w:left="14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65" w:type="dxa"/>
            <w:tcBorders>
              <w:top w:val="nil" w:sz="6" w:space="0" w:color="auto"/>
              <w:left w:val="nil" w:sz="6" w:space="0" w:color="auto"/>
              <w:bottom w:val="single" w:sz="4" w:space="0" w:color="000000"/>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73" w:lineRule="exact"/>
              <w:ind w:right="103"/>
              <w:jc w:val="right"/>
              <w:rPr>
                <w:rFonts w:ascii="Arial" w:hAnsi="Arial" w:cs="Arial" w:eastAsia="Arial" w:hint="default"/>
                <w:sz w:val="24"/>
                <w:szCs w:val="24"/>
              </w:rPr>
            </w:pPr>
            <w:r>
              <w:rPr>
                <w:rFonts w:ascii="Arial"/>
                <w:spacing w:val="-1"/>
                <w:sz w:val="24"/>
              </w:rPr>
              <w:t>31,520</w:t>
            </w: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73" w:lineRule="exact"/>
              <w:ind w:left="878" w:right="0"/>
              <w:jc w:val="left"/>
              <w:rPr>
                <w:rFonts w:ascii="Arial" w:hAnsi="Arial" w:cs="Arial" w:eastAsia="Arial" w:hint="default"/>
                <w:sz w:val="24"/>
                <w:szCs w:val="24"/>
              </w:rPr>
            </w:pPr>
            <w:r>
              <w:rPr>
                <w:rFonts w:ascii="Arial"/>
                <w:sz w:val="24"/>
              </w:rPr>
              <w:t>29,318</w:t>
            </w:r>
          </w:p>
        </w:tc>
        <w:tc>
          <w:tcPr>
            <w:tcW w:w="2045" w:type="dxa"/>
            <w:tcBorders>
              <w:top w:val="nil" w:sz="6" w:space="0" w:color="auto"/>
              <w:left w:val="nil" w:sz="6" w:space="0" w:color="auto"/>
              <w:bottom w:val="single" w:sz="2" w:space="0" w:color="000000"/>
              <w:right w:val="nil" w:sz="6" w:space="0" w:color="auto"/>
            </w:tcBorders>
          </w:tcPr>
          <w:p>
            <w:pPr>
              <w:pStyle w:val="TableParagraph"/>
              <w:spacing w:line="273" w:lineRule="exact"/>
              <w:ind w:right="104"/>
              <w:jc w:val="right"/>
              <w:rPr>
                <w:rFonts w:ascii="Arial" w:hAnsi="Arial" w:cs="Arial" w:eastAsia="Arial" w:hint="default"/>
                <w:sz w:val="24"/>
                <w:szCs w:val="24"/>
              </w:rPr>
            </w:pPr>
            <w:r>
              <w:rPr>
                <w:rFonts w:ascii="Arial"/>
                <w:spacing w:val="-1"/>
                <w:sz w:val="24"/>
              </w:rPr>
              <w:t>31,520</w:t>
            </w:r>
          </w:p>
        </w:tc>
      </w:tr>
      <w:tr>
        <w:trPr>
          <w:trHeight w:val="298"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single" w:sz="12" w:space="0" w:color="000000"/>
              <w:right w:val="nil" w:sz="6" w:space="0" w:color="auto"/>
            </w:tcBorders>
          </w:tcPr>
          <w:p>
            <w:pP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3"/>
              <w:jc w:val="right"/>
              <w:rPr>
                <w:rFonts w:ascii="Arial" w:hAnsi="Arial" w:cs="Arial" w:eastAsia="Arial" w:hint="default"/>
                <w:sz w:val="24"/>
                <w:szCs w:val="24"/>
              </w:rPr>
            </w:pPr>
            <w:r>
              <w:rPr>
                <w:rFonts w:ascii="Arial"/>
                <w:spacing w:val="-3"/>
                <w:sz w:val="24"/>
              </w:rPr>
              <w:t>117,555</w:t>
            </w:r>
          </w:p>
        </w:tc>
        <w:tc>
          <w:tcPr>
            <w:tcW w:w="2126"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left="27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878" w:right="0"/>
              <w:jc w:val="left"/>
              <w:rPr>
                <w:rFonts w:ascii="Arial" w:hAnsi="Arial" w:cs="Arial" w:eastAsia="Arial" w:hint="default"/>
                <w:sz w:val="24"/>
                <w:szCs w:val="24"/>
              </w:rPr>
            </w:pPr>
            <w:r>
              <w:rPr>
                <w:rFonts w:ascii="Arial"/>
                <w:sz w:val="24"/>
              </w:rPr>
              <w:t>72,465</w:t>
            </w:r>
          </w:p>
        </w:tc>
        <w:tc>
          <w:tcPr>
            <w:tcW w:w="2045" w:type="dxa"/>
            <w:tcBorders>
              <w:top w:val="single" w:sz="2" w:space="0" w:color="000000"/>
              <w:left w:val="nil" w:sz="6" w:space="0" w:color="auto"/>
              <w:bottom w:val="single" w:sz="12"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3"/>
                <w:sz w:val="24"/>
              </w:rPr>
              <w:t>117,555</w:t>
            </w:r>
          </w:p>
        </w:tc>
      </w:tr>
      <w:tr>
        <w:trPr>
          <w:trHeight w:val="74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政府补助明细</w:t>
            </w:r>
          </w:p>
        </w:tc>
        <w:tc>
          <w:tcPr>
            <w:tcW w:w="1865" w:type="dxa"/>
            <w:tcBorders>
              <w:top w:val="single" w:sz="12" w:space="0" w:color="000000"/>
              <w:left w:val="nil" w:sz="6" w:space="0" w:color="auto"/>
              <w:bottom w:val="nil" w:sz="6" w:space="0" w:color="auto"/>
              <w:right w:val="nil" w:sz="6" w:space="0" w:color="auto"/>
            </w:tcBorders>
          </w:tcPr>
          <w:p>
            <w:pPr/>
          </w:p>
        </w:tc>
        <w:tc>
          <w:tcPr>
            <w:tcW w:w="1076" w:type="dxa"/>
            <w:tcBorders>
              <w:top w:val="single" w:sz="12"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41" w:type="dxa"/>
            <w:tcBorders>
              <w:top w:val="single" w:sz="12" w:space="0" w:color="000000"/>
              <w:left w:val="nil" w:sz="6" w:space="0" w:color="auto"/>
              <w:bottom w:val="nil" w:sz="6" w:space="0" w:color="auto"/>
              <w:right w:val="nil" w:sz="6" w:space="0" w:color="auto"/>
            </w:tcBorders>
          </w:tcPr>
          <w:p>
            <w:pPr/>
          </w:p>
        </w:tc>
        <w:tc>
          <w:tcPr>
            <w:tcW w:w="94" w:type="dxa"/>
            <w:tcBorders>
              <w:top w:val="single" w:sz="12" w:space="0" w:color="000000"/>
              <w:left w:val="nil" w:sz="6" w:space="0" w:color="auto"/>
              <w:bottom w:val="nil" w:sz="6" w:space="0" w:color="auto"/>
              <w:right w:val="nil" w:sz="6" w:space="0" w:color="auto"/>
            </w:tcBorders>
          </w:tcPr>
          <w:p>
            <w:pPr/>
          </w:p>
        </w:tc>
        <w:tc>
          <w:tcPr>
            <w:tcW w:w="106" w:type="dxa"/>
            <w:tcBorders>
              <w:top w:val="single" w:sz="12" w:space="0" w:color="000000"/>
              <w:left w:val="nil" w:sz="6" w:space="0" w:color="auto"/>
              <w:bottom w:val="nil" w:sz="6" w:space="0" w:color="auto"/>
              <w:right w:val="nil" w:sz="6" w:space="0" w:color="auto"/>
            </w:tcBorders>
          </w:tcPr>
          <w:p>
            <w:pPr/>
          </w:p>
        </w:tc>
        <w:tc>
          <w:tcPr>
            <w:tcW w:w="406" w:type="dxa"/>
            <w:tcBorders>
              <w:top w:val="single" w:sz="12" w:space="0" w:color="000000"/>
              <w:left w:val="nil" w:sz="6" w:space="0" w:color="auto"/>
              <w:bottom w:val="nil" w:sz="6" w:space="0" w:color="auto"/>
              <w:right w:val="nil" w:sz="6" w:space="0" w:color="auto"/>
            </w:tcBorders>
          </w:tcPr>
          <w:p>
            <w:pPr/>
          </w:p>
        </w:tc>
        <w:tc>
          <w:tcPr>
            <w:tcW w:w="2045" w:type="dxa"/>
            <w:tcBorders>
              <w:top w:val="single" w:sz="12" w:space="0" w:color="000000"/>
              <w:left w:val="nil" w:sz="6" w:space="0" w:color="auto"/>
              <w:bottom w:val="nil" w:sz="6" w:space="0" w:color="auto"/>
              <w:right w:val="nil" w:sz="6" w:space="0" w:color="auto"/>
            </w:tcBorders>
          </w:tcPr>
          <w:p>
            <w:pPr/>
          </w:p>
        </w:tc>
      </w:tr>
      <w:tr>
        <w:trPr>
          <w:trHeight w:val="594"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3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5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65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w:t>
            </w:r>
          </w:p>
        </w:tc>
        <w:tc>
          <w:tcPr>
            <w:tcW w:w="9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15" w:right="0"/>
              <w:jc w:val="left"/>
              <w:rPr>
                <w:rFonts w:ascii="宋体" w:hAnsi="宋体" w:cs="宋体" w:eastAsia="宋体" w:hint="default"/>
                <w:sz w:val="24"/>
                <w:szCs w:val="24"/>
              </w:rPr>
            </w:pPr>
            <w:r>
              <w:rPr>
                <w:rFonts w:ascii="宋体" w:hAnsi="宋体" w:cs="宋体" w:eastAsia="宋体" w:hint="default"/>
                <w:sz w:val="24"/>
                <w:szCs w:val="24"/>
              </w:rPr>
              <w:t>说明</w:t>
            </w:r>
          </w:p>
        </w:tc>
      </w:tr>
      <w:tr>
        <w:trPr>
          <w:trHeight w:val="751" w:hRule="exact"/>
        </w:trPr>
        <w:tc>
          <w:tcPr>
            <w:tcW w:w="80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883" w:val="left" w:leader="none"/>
                <w:tab w:pos="1726" w:val="left" w:leader="none"/>
              </w:tabs>
              <w:spacing w:line="240" w:lineRule="auto" w:before="204"/>
              <w:ind w:right="12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83,566</w:t>
              <w:tab/>
            </w:r>
            <w:r>
              <w:rPr>
                <w:rFonts w:ascii="Arial"/>
                <w:spacing w:val="-1"/>
                <w:sz w:val="24"/>
              </w:rPr>
            </w:r>
          </w:p>
        </w:tc>
        <w:tc>
          <w:tcPr>
            <w:tcW w:w="259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991" w:val="left" w:leader="none"/>
                <w:tab w:pos="1833" w:val="left" w:leader="none"/>
              </w:tabs>
              <w:spacing w:line="240" w:lineRule="auto" w:before="204"/>
              <w:ind w:left="40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41,982</w:t>
              <w:tab/>
            </w:r>
            <w:r>
              <w:rPr>
                <w:rFonts w:ascii="Arial"/>
                <w:sz w:val="24"/>
              </w:rPr>
            </w:r>
          </w:p>
        </w:tc>
        <w:tc>
          <w:tcPr>
            <w:tcW w:w="265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240" w:right="248" w:hanging="240"/>
              <w:jc w:val="left"/>
              <w:rPr>
                <w:rFonts w:ascii="宋体" w:hAnsi="宋体" w:cs="宋体" w:eastAsia="宋体" w:hint="default"/>
                <w:sz w:val="24"/>
                <w:szCs w:val="24"/>
              </w:rPr>
            </w:pPr>
            <w:r>
              <w:rPr>
                <w:rFonts w:ascii="宋体" w:hAnsi="宋体" w:cs="宋体" w:eastAsia="宋体" w:hint="default"/>
                <w:sz w:val="24"/>
                <w:szCs w:val="24"/>
              </w:rPr>
              <w:t>各子公司当地财政部门 给予的企业发展补助</w:t>
            </w:r>
          </w:p>
        </w:tc>
      </w:tr>
    </w:tbl>
    <w:p>
      <w:pPr>
        <w:spacing w:line="240" w:lineRule="auto" w:before="8"/>
        <w:rPr>
          <w:rFonts w:ascii="Times New Roman" w:hAnsi="Times New Roman" w:cs="Times New Roman" w:eastAsia="Times New Roman"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812"/>
        <w:gridCol w:w="3109"/>
        <w:gridCol w:w="1560"/>
        <w:gridCol w:w="284"/>
        <w:gridCol w:w="1560"/>
        <w:gridCol w:w="283"/>
        <w:gridCol w:w="2225"/>
      </w:tblGrid>
      <w:tr>
        <w:trPr>
          <w:trHeight w:val="281"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(44)</w:t>
            </w:r>
          </w:p>
        </w:tc>
        <w:tc>
          <w:tcPr>
            <w:tcW w:w="3109"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营业外支出</w:t>
            </w:r>
            <w:r>
              <w:rPr>
                <w:rFonts w:ascii="宋体" w:hAnsi="宋体" w:cs="宋体" w:eastAsia="宋体" w:hint="default"/>
                <w:sz w:val="24"/>
                <w:szCs w:val="24"/>
              </w:rPr>
            </w:r>
          </w:p>
        </w:tc>
        <w:tc>
          <w:tcPr>
            <w:tcW w:w="156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r>
      <w:tr>
        <w:trPr>
          <w:trHeight w:val="760"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8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c>
          <w:tcPr>
            <w:tcW w:w="2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84" w:lineRule="exact"/>
              <w:ind w:left="196" w:right="0" w:firstLine="84"/>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0"/>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年度非</w:t>
            </w:r>
          </w:p>
          <w:p>
            <w:pPr>
              <w:pStyle w:val="TableParagraph"/>
              <w:spacing w:line="304" w:lineRule="exact"/>
              <w:ind w:left="196" w:right="0"/>
              <w:jc w:val="left"/>
              <w:rPr>
                <w:rFonts w:ascii="宋体" w:hAnsi="宋体" w:cs="宋体" w:eastAsia="宋体" w:hint="default"/>
                <w:sz w:val="24"/>
                <w:szCs w:val="24"/>
              </w:rPr>
            </w:pPr>
            <w:r>
              <w:rPr>
                <w:rFonts w:ascii="宋体" w:hAnsi="宋体" w:cs="宋体" w:eastAsia="宋体" w:hint="default"/>
                <w:sz w:val="24"/>
                <w:szCs w:val="24"/>
              </w:rPr>
              <w:t>经常性损益的金额</w:t>
            </w:r>
          </w:p>
        </w:tc>
      </w:tr>
      <w:tr>
        <w:trPr>
          <w:trHeight w:val="460"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43"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5"/>
              <w:jc w:val="right"/>
              <w:rPr>
                <w:rFonts w:ascii="Arial" w:hAnsi="Arial" w:cs="Arial" w:eastAsia="Arial" w:hint="default"/>
                <w:sz w:val="24"/>
                <w:szCs w:val="24"/>
              </w:rPr>
            </w:pPr>
            <w:r>
              <w:rPr>
                <w:rFonts w:ascii="Arial"/>
                <w:spacing w:val="-1"/>
                <w:sz w:val="24"/>
              </w:rPr>
              <w:t>4,439</w:t>
            </w:r>
          </w:p>
        </w:tc>
        <w:tc>
          <w:tcPr>
            <w:tcW w:w="284"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5"/>
              <w:jc w:val="right"/>
              <w:rPr>
                <w:rFonts w:ascii="Arial" w:hAnsi="Arial" w:cs="Arial" w:eastAsia="Arial" w:hint="default"/>
                <w:sz w:val="24"/>
                <w:szCs w:val="24"/>
              </w:rPr>
            </w:pPr>
            <w:r>
              <w:rPr>
                <w:rFonts w:ascii="Arial"/>
                <w:spacing w:val="-1"/>
                <w:sz w:val="24"/>
              </w:rPr>
              <w:t>4,882</w:t>
            </w:r>
          </w:p>
        </w:tc>
        <w:tc>
          <w:tcPr>
            <w:tcW w:w="283"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141"/>
              <w:ind w:right="105"/>
              <w:jc w:val="right"/>
              <w:rPr>
                <w:rFonts w:ascii="Arial" w:hAnsi="Arial" w:cs="Arial" w:eastAsia="Arial" w:hint="default"/>
                <w:sz w:val="24"/>
                <w:szCs w:val="24"/>
              </w:rPr>
            </w:pPr>
            <w:r>
              <w:rPr>
                <w:rFonts w:ascii="Arial"/>
                <w:spacing w:val="-1"/>
                <w:sz w:val="24"/>
              </w:rPr>
              <w:t>4,439</w:t>
            </w:r>
          </w:p>
        </w:tc>
      </w:tr>
      <w:tr>
        <w:trPr>
          <w:trHeight w:val="319" w:hRule="exact"/>
        </w:trPr>
        <w:tc>
          <w:tcPr>
            <w:tcW w:w="812" w:type="dxa"/>
            <w:tcBorders>
              <w:top w:val="nil" w:sz="6" w:space="0" w:color="auto"/>
              <w:left w:val="nil" w:sz="6" w:space="0" w:color="auto"/>
              <w:bottom w:val="nil" w:sz="6" w:space="0" w:color="auto"/>
              <w:right w:val="single" w:sz="4" w:space="0" w:color="000000"/>
            </w:tcBorders>
          </w:tcPr>
          <w:p>
            <w:pPr/>
          </w:p>
        </w:tc>
        <w:tc>
          <w:tcPr>
            <w:tcW w:w="3109" w:type="dxa"/>
            <w:tcBorders>
              <w:top w:val="single" w:sz="4" w:space="0" w:color="000000"/>
              <w:left w:val="single" w:sz="4" w:space="0" w:color="000000"/>
              <w:bottom w:val="single" w:sz="2" w:space="0" w:color="000000"/>
              <w:right w:val="nil" w:sz="6" w:space="0" w:color="auto"/>
            </w:tcBorders>
          </w:tcPr>
          <w:p>
            <w:pPr>
              <w:pStyle w:val="TableParagraph"/>
              <w:spacing w:line="274" w:lineRule="exact"/>
              <w:ind w:left="139"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4,439</w:t>
            </w:r>
          </w:p>
        </w:tc>
        <w:tc>
          <w:tcPr>
            <w:tcW w:w="284"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4,882</w:t>
            </w:r>
          </w:p>
        </w:tc>
        <w:tc>
          <w:tcPr>
            <w:tcW w:w="283" w:type="dxa"/>
            <w:tcBorders>
              <w:top w:val="single" w:sz="4" w:space="0" w:color="000000"/>
              <w:left w:val="nil" w:sz="6" w:space="0" w:color="auto"/>
              <w:bottom w:val="single" w:sz="4" w:space="0" w:color="000000"/>
              <w:right w:val="nil" w:sz="6" w:space="0" w:color="auto"/>
            </w:tcBorders>
          </w:tcPr>
          <w:p>
            <w:pPr/>
          </w:p>
        </w:tc>
        <w:tc>
          <w:tcPr>
            <w:tcW w:w="222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right="100"/>
              <w:jc w:val="right"/>
              <w:rPr>
                <w:rFonts w:ascii="Arial" w:hAnsi="Arial" w:cs="Arial" w:eastAsia="Arial" w:hint="default"/>
                <w:sz w:val="24"/>
                <w:szCs w:val="24"/>
              </w:rPr>
            </w:pPr>
            <w:r>
              <w:rPr>
                <w:rFonts w:ascii="Arial"/>
                <w:spacing w:val="-1"/>
                <w:sz w:val="24"/>
              </w:rPr>
              <w:t>4,439</w:t>
            </w:r>
          </w:p>
        </w:tc>
      </w:tr>
      <w:tr>
        <w:trPr>
          <w:trHeight w:val="314"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single" w:sz="2" w:space="0" w:color="000000"/>
              <w:left w:val="nil" w:sz="6" w:space="0" w:color="auto"/>
              <w:bottom w:val="nil" w:sz="6" w:space="0" w:color="auto"/>
              <w:right w:val="nil" w:sz="6" w:space="0" w:color="auto"/>
            </w:tcBorders>
          </w:tcPr>
          <w:p>
            <w:pPr>
              <w:pStyle w:val="TableParagraph"/>
              <w:spacing w:line="279" w:lineRule="exact"/>
              <w:ind w:left="227"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ind w:right="105"/>
              <w:jc w:val="right"/>
              <w:rPr>
                <w:rFonts w:ascii="Arial" w:hAnsi="Arial" w:cs="Arial" w:eastAsia="Arial" w:hint="default"/>
                <w:sz w:val="24"/>
                <w:szCs w:val="24"/>
              </w:rPr>
            </w:pPr>
            <w:r>
              <w:rPr>
                <w:rFonts w:ascii="Arial"/>
                <w:spacing w:val="-1"/>
                <w:sz w:val="24"/>
              </w:rPr>
              <w:t>19,645</w:t>
            </w:r>
          </w:p>
        </w:tc>
        <w:tc>
          <w:tcPr>
            <w:tcW w:w="284"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ind w:right="105"/>
              <w:jc w:val="right"/>
              <w:rPr>
                <w:rFonts w:ascii="Arial" w:hAnsi="Arial" w:cs="Arial" w:eastAsia="Arial" w:hint="default"/>
                <w:sz w:val="24"/>
                <w:szCs w:val="24"/>
              </w:rPr>
            </w:pPr>
            <w:r>
              <w:rPr>
                <w:rFonts w:ascii="Arial"/>
                <w:spacing w:val="-1"/>
                <w:sz w:val="24"/>
              </w:rPr>
              <w:t>41,683</w:t>
            </w:r>
          </w:p>
        </w:tc>
        <w:tc>
          <w:tcPr>
            <w:tcW w:w="283"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ind w:right="105"/>
              <w:jc w:val="right"/>
              <w:rPr>
                <w:rFonts w:ascii="Arial" w:hAnsi="Arial" w:cs="Arial" w:eastAsia="Arial" w:hint="default"/>
                <w:sz w:val="24"/>
                <w:szCs w:val="24"/>
              </w:rPr>
            </w:pPr>
            <w:r>
              <w:rPr>
                <w:rFonts w:ascii="Arial"/>
                <w:spacing w:val="-1"/>
                <w:sz w:val="24"/>
              </w:rPr>
              <w:t>19,645</w:t>
            </w:r>
          </w:p>
        </w:tc>
      </w:tr>
      <w:tr>
        <w:trPr>
          <w:trHeight w:val="312"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79" w:lineRule="exact"/>
              <w:ind w:left="143" w:right="0"/>
              <w:jc w:val="left"/>
              <w:rPr>
                <w:rFonts w:ascii="宋体" w:hAnsi="宋体" w:cs="宋体" w:eastAsia="宋体" w:hint="default"/>
                <w:sz w:val="24"/>
                <w:szCs w:val="24"/>
              </w:rPr>
            </w:pPr>
            <w:r>
              <w:rPr>
                <w:rFonts w:ascii="宋体" w:hAnsi="宋体" w:cs="宋体" w:eastAsia="宋体" w:hint="default"/>
                <w:sz w:val="24"/>
                <w:szCs w:val="24"/>
              </w:rPr>
              <w:t>罚款支出</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7,226</w:t>
            </w:r>
          </w:p>
        </w:tc>
        <w:tc>
          <w:tcPr>
            <w:tcW w:w="28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13,249</w:t>
            </w:r>
          </w:p>
        </w:tc>
        <w:tc>
          <w:tcPr>
            <w:tcW w:w="2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7,226</w:t>
            </w:r>
          </w:p>
        </w:tc>
      </w:tr>
      <w:tr>
        <w:trPr>
          <w:trHeight w:val="322"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Style w:val="TableParagraph"/>
              <w:spacing w:line="279" w:lineRule="exact"/>
              <w:ind w:left="14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57,100</w:t>
            </w:r>
          </w:p>
        </w:tc>
        <w:tc>
          <w:tcPr>
            <w:tcW w:w="28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42,555</w:t>
            </w:r>
          </w:p>
        </w:tc>
        <w:tc>
          <w:tcPr>
            <w:tcW w:w="2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57,100</w:t>
            </w:r>
          </w:p>
        </w:tc>
      </w:tr>
      <w:tr>
        <w:trPr>
          <w:trHeight w:val="298" w:hRule="exact"/>
        </w:trPr>
        <w:tc>
          <w:tcPr>
            <w:tcW w:w="812" w:type="dxa"/>
            <w:tcBorders>
              <w:top w:val="nil" w:sz="6" w:space="0" w:color="auto"/>
              <w:left w:val="nil" w:sz="6" w:space="0" w:color="auto"/>
              <w:bottom w:val="nil" w:sz="6" w:space="0" w:color="auto"/>
              <w:right w:val="nil" w:sz="6" w:space="0" w:color="auto"/>
            </w:tcBorders>
          </w:tcPr>
          <w:p>
            <w:pPr/>
          </w:p>
        </w:tc>
        <w:tc>
          <w:tcPr>
            <w:tcW w:w="3109"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88,410</w:t>
            </w:r>
          </w:p>
        </w:tc>
        <w:tc>
          <w:tcPr>
            <w:tcW w:w="284"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102,369</w:t>
            </w:r>
          </w:p>
        </w:tc>
        <w:tc>
          <w:tcPr>
            <w:tcW w:w="283"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88,410</w:t>
            </w:r>
          </w:p>
        </w:tc>
      </w:tr>
    </w:tbl>
    <w:p>
      <w:pPr>
        <w:spacing w:after="0" w:line="274" w:lineRule="exact"/>
        <w:jc w:val="right"/>
        <w:rPr>
          <w:rFonts w:ascii="Arial" w:hAnsi="Arial" w:cs="Arial" w:eastAsia="Arial" w:hint="default"/>
          <w:sz w:val="24"/>
          <w:szCs w:val="24"/>
        </w:rPr>
        <w:sectPr>
          <w:pgSz w:w="11910" w:h="16850"/>
          <w:pgMar w:header="754" w:footer="956" w:top="2240" w:bottom="1140" w:left="7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79"/>
        <w:gridCol w:w="5048"/>
        <w:gridCol w:w="1855"/>
        <w:gridCol w:w="553"/>
        <w:gridCol w:w="1930"/>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504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855" w:type="dxa"/>
            <w:tcBorders>
              <w:top w:val="single" w:sz="6" w:space="0" w:color="000000"/>
              <w:left w:val="nil" w:sz="6" w:space="0" w:color="auto"/>
              <w:bottom w:val="nil" w:sz="6" w:space="0" w:color="auto"/>
              <w:right w:val="nil" w:sz="6" w:space="0" w:color="auto"/>
            </w:tcBorders>
          </w:tcPr>
          <w:p>
            <w:pPr/>
          </w:p>
        </w:tc>
        <w:tc>
          <w:tcPr>
            <w:tcW w:w="553" w:type="dxa"/>
            <w:tcBorders>
              <w:top w:val="single" w:sz="6" w:space="0" w:color="000000"/>
              <w:left w:val="nil" w:sz="6" w:space="0" w:color="auto"/>
              <w:bottom w:val="nil" w:sz="6" w:space="0" w:color="auto"/>
              <w:right w:val="nil" w:sz="6" w:space="0" w:color="auto"/>
            </w:tcBorders>
          </w:tcPr>
          <w:p>
            <w:pPr/>
          </w:p>
        </w:tc>
        <w:tc>
          <w:tcPr>
            <w:tcW w:w="1930"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(45)</w:t>
            </w:r>
          </w:p>
        </w:tc>
        <w:tc>
          <w:tcPr>
            <w:tcW w:w="504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所得税费用</w:t>
            </w:r>
            <w:r>
              <w:rPr>
                <w:rFonts w:ascii="宋体" w:hAnsi="宋体" w:cs="宋体" w:eastAsia="宋体" w:hint="default"/>
                <w:sz w:val="24"/>
                <w:szCs w:val="24"/>
              </w:rPr>
            </w:r>
          </w:p>
        </w:tc>
        <w:tc>
          <w:tcPr>
            <w:tcW w:w="1855"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594" w:hRule="exact"/>
        </w:trPr>
        <w:tc>
          <w:tcPr>
            <w:tcW w:w="779" w:type="dxa"/>
            <w:tcBorders>
              <w:top w:val="nil" w:sz="6" w:space="0" w:color="auto"/>
              <w:left w:val="nil" w:sz="6" w:space="0" w:color="auto"/>
              <w:bottom w:val="nil" w:sz="6" w:space="0" w:color="auto"/>
              <w:right w:val="nil" w:sz="6" w:space="0" w:color="auto"/>
            </w:tcBorders>
          </w:tcPr>
          <w:p>
            <w:pPr/>
          </w:p>
        </w:tc>
        <w:tc>
          <w:tcPr>
            <w:tcW w:w="5048"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5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9" w:type="dxa"/>
            <w:tcBorders>
              <w:top w:val="nil" w:sz="6" w:space="0" w:color="auto"/>
              <w:left w:val="nil" w:sz="6" w:space="0" w:color="auto"/>
              <w:bottom w:val="nil" w:sz="6" w:space="0" w:color="auto"/>
              <w:right w:val="nil" w:sz="6" w:space="0" w:color="auto"/>
            </w:tcBorders>
          </w:tcPr>
          <w:p>
            <w:pPr/>
          </w:p>
        </w:tc>
        <w:tc>
          <w:tcPr>
            <w:tcW w:w="504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3"/>
              <w:jc w:val="right"/>
              <w:rPr>
                <w:rFonts w:ascii="Arial" w:hAnsi="Arial" w:cs="Arial" w:eastAsia="Arial" w:hint="default"/>
                <w:sz w:val="24"/>
                <w:szCs w:val="24"/>
              </w:rPr>
            </w:pPr>
            <w:r>
              <w:rPr>
                <w:rFonts w:ascii="Arial"/>
                <w:spacing w:val="-1"/>
                <w:sz w:val="24"/>
              </w:rPr>
              <w:t>1,813,658</w:t>
            </w:r>
          </w:p>
        </w:tc>
        <w:tc>
          <w:tcPr>
            <w:tcW w:w="55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7"/>
              <w:jc w:val="right"/>
              <w:rPr>
                <w:rFonts w:ascii="Arial" w:hAnsi="Arial" w:cs="Arial" w:eastAsia="Arial" w:hint="default"/>
                <w:sz w:val="24"/>
                <w:szCs w:val="24"/>
              </w:rPr>
            </w:pPr>
            <w:r>
              <w:rPr>
                <w:rFonts w:ascii="Arial"/>
                <w:spacing w:val="-1"/>
                <w:sz w:val="24"/>
              </w:rPr>
              <w:t>1,327,182</w:t>
            </w:r>
          </w:p>
        </w:tc>
      </w:tr>
      <w:tr>
        <w:trPr>
          <w:trHeight w:val="315" w:hRule="exact"/>
        </w:trPr>
        <w:tc>
          <w:tcPr>
            <w:tcW w:w="779" w:type="dxa"/>
            <w:tcBorders>
              <w:top w:val="nil" w:sz="6" w:space="0" w:color="auto"/>
              <w:left w:val="nil" w:sz="6" w:space="0" w:color="auto"/>
              <w:bottom w:val="nil" w:sz="6" w:space="0" w:color="auto"/>
              <w:right w:val="nil" w:sz="6" w:space="0" w:color="auto"/>
            </w:tcBorders>
          </w:tcPr>
          <w:p>
            <w:pPr/>
          </w:p>
        </w:tc>
        <w:tc>
          <w:tcPr>
            <w:tcW w:w="5048"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1855" w:type="dxa"/>
            <w:tcBorders>
              <w:top w:val="nil" w:sz="6" w:space="0" w:color="auto"/>
              <w:left w:val="nil" w:sz="6" w:space="0" w:color="auto"/>
              <w:bottom w:val="nil" w:sz="6" w:space="0" w:color="auto"/>
              <w:right w:val="nil" w:sz="6" w:space="0" w:color="auto"/>
            </w:tcBorders>
          </w:tcPr>
          <w:p>
            <w:pPr>
              <w:pStyle w:val="TableParagraph"/>
              <w:tabs>
                <w:tab w:pos="784" w:val="left" w:leader="none"/>
              </w:tabs>
              <w:spacing w:line="240" w:lineRule="auto" w:before="21"/>
              <w:ind w:right="2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(226,438)</w:t>
            </w:r>
            <w:r>
              <w:rPr>
                <w:rFonts w:ascii="Arial"/>
                <w:spacing w:val="-1"/>
                <w:sz w:val="24"/>
              </w:rPr>
            </w:r>
          </w:p>
        </w:tc>
        <w:tc>
          <w:tcPr>
            <w:tcW w:w="55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tabs>
                <w:tab w:pos="988" w:val="left" w:leader="none"/>
              </w:tabs>
              <w:spacing w:line="240" w:lineRule="auto" w:before="21"/>
              <w:ind w:right="2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(30,646)</w:t>
            </w:r>
            <w:r>
              <w:rPr>
                <w:rFonts w:ascii="Arial"/>
                <w:spacing w:val="-1"/>
                <w:sz w:val="24"/>
              </w:rPr>
            </w:r>
          </w:p>
        </w:tc>
      </w:tr>
      <w:tr>
        <w:trPr>
          <w:trHeight w:val="287" w:hRule="exact"/>
        </w:trPr>
        <w:tc>
          <w:tcPr>
            <w:tcW w:w="779" w:type="dxa"/>
            <w:tcBorders>
              <w:top w:val="nil" w:sz="6" w:space="0" w:color="auto"/>
              <w:left w:val="nil" w:sz="6" w:space="0" w:color="auto"/>
              <w:bottom w:val="nil" w:sz="6" w:space="0" w:color="auto"/>
              <w:right w:val="nil" w:sz="6" w:space="0" w:color="auto"/>
            </w:tcBorders>
          </w:tcPr>
          <w:p>
            <w:pPr/>
          </w:p>
        </w:tc>
        <w:tc>
          <w:tcPr>
            <w:tcW w:w="5048"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single" w:sz="12" w:space="0" w:color="000000"/>
              <w:right w:val="nil" w:sz="6" w:space="0" w:color="auto"/>
            </w:tcBorders>
          </w:tcPr>
          <w:p>
            <w:pPr>
              <w:pStyle w:val="TableParagraph"/>
              <w:spacing w:line="268" w:lineRule="exact"/>
              <w:ind w:right="102"/>
              <w:jc w:val="right"/>
              <w:rPr>
                <w:rFonts w:ascii="Arial" w:hAnsi="Arial" w:cs="Arial" w:eastAsia="Arial" w:hint="default"/>
                <w:sz w:val="24"/>
                <w:szCs w:val="24"/>
              </w:rPr>
            </w:pPr>
            <w:r>
              <w:rPr>
                <w:rFonts w:ascii="Arial"/>
                <w:spacing w:val="-1"/>
                <w:sz w:val="24"/>
              </w:rPr>
              <w:t>1,587,220</w:t>
            </w:r>
          </w:p>
        </w:tc>
        <w:tc>
          <w:tcPr>
            <w:tcW w:w="55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single" w:sz="12" w:space="0" w:color="000000"/>
              <w:right w:val="nil" w:sz="6" w:space="0" w:color="auto"/>
            </w:tcBorders>
          </w:tcPr>
          <w:p>
            <w:pPr>
              <w:pStyle w:val="TableParagraph"/>
              <w:spacing w:line="268" w:lineRule="exact"/>
              <w:ind w:right="107"/>
              <w:jc w:val="right"/>
              <w:rPr>
                <w:rFonts w:ascii="Arial" w:hAnsi="Arial" w:cs="Arial" w:eastAsia="Arial" w:hint="default"/>
                <w:sz w:val="24"/>
                <w:szCs w:val="24"/>
              </w:rPr>
            </w:pPr>
            <w:r>
              <w:rPr>
                <w:rFonts w:ascii="Arial"/>
                <w:spacing w:val="-1"/>
                <w:sz w:val="24"/>
              </w:rPr>
              <w:t>1,296,536</w:t>
            </w:r>
          </w:p>
        </w:tc>
      </w:tr>
    </w:tbl>
    <w:p>
      <w:pPr>
        <w:spacing w:line="240" w:lineRule="auto" w:before="9"/>
        <w:rPr>
          <w:rFonts w:ascii="Times New Roman" w:hAnsi="Times New Roman" w:cs="Times New Roman" w:eastAsia="Times New Roman"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772"/>
        <w:gridCol w:w="5135"/>
        <w:gridCol w:w="1841"/>
        <w:gridCol w:w="569"/>
        <w:gridCol w:w="1841"/>
      </w:tblGrid>
      <w:tr>
        <w:trPr>
          <w:trHeight w:val="414" w:hRule="exact"/>
        </w:trPr>
        <w:tc>
          <w:tcPr>
            <w:tcW w:w="10157"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915" w:right="0"/>
              <w:jc w:val="left"/>
              <w:rPr>
                <w:rFonts w:ascii="宋体" w:hAnsi="宋体" w:cs="宋体" w:eastAsia="宋体" w:hint="default"/>
                <w:sz w:val="24"/>
                <w:szCs w:val="24"/>
              </w:rPr>
            </w:pPr>
            <w:r>
              <w:rPr>
                <w:rFonts w:ascii="宋体" w:hAnsi="宋体" w:cs="宋体" w:eastAsia="宋体" w:hint="default"/>
                <w:sz w:val="24"/>
                <w:szCs w:val="24"/>
              </w:rPr>
              <w:t>将基于合并利润表的利润总额采用适用税率计算的所得税调节为所得税费用：</w:t>
            </w: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07"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4"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tabs>
                <w:tab w:pos="5052" w:val="left" w:leader="none"/>
                <w:tab w:pos="5727" w:val="left" w:leader="none"/>
              </w:tabs>
              <w:spacing w:line="240" w:lineRule="auto" w:before="93"/>
              <w:ind w:left="143" w:right="-593"/>
              <w:jc w:val="left"/>
              <w:rPr>
                <w:rFonts w:ascii="Arial" w:hAnsi="Arial" w:cs="Arial" w:eastAsia="Arial" w:hint="default"/>
                <w:sz w:val="24"/>
                <w:szCs w:val="24"/>
              </w:rPr>
            </w:pPr>
            <w:r>
              <w:rPr>
                <w:rFonts w:ascii="宋体" w:hAnsi="宋体" w:cs="宋体" w:eastAsia="宋体" w:hint="default"/>
                <w:position w:val="2"/>
                <w:sz w:val="24"/>
                <w:szCs w:val="24"/>
              </w:rPr>
              <w:t>利润总额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41" w:type="dxa"/>
            <w:tcBorders>
              <w:top w:val="nil" w:sz="6" w:space="0" w:color="auto"/>
              <w:left w:val="nil" w:sz="6" w:space="0" w:color="auto"/>
              <w:bottom w:val="nil" w:sz="6" w:space="0" w:color="auto"/>
              <w:right w:val="nil" w:sz="6" w:space="0" w:color="auto"/>
            </w:tcBorders>
          </w:tcPr>
          <w:p>
            <w:pPr>
              <w:pStyle w:val="TableParagraph"/>
              <w:tabs>
                <w:tab w:pos="1771" w:val="left" w:leader="none"/>
              </w:tabs>
              <w:spacing w:line="240" w:lineRule="auto" w:before="168"/>
              <w:ind w:left="592" w:right="0"/>
              <w:jc w:val="left"/>
              <w:rPr>
                <w:rFonts w:ascii="Arial" w:hAnsi="Arial" w:cs="Arial" w:eastAsia="Arial" w:hint="default"/>
                <w:sz w:val="24"/>
                <w:szCs w:val="24"/>
              </w:rPr>
            </w:pPr>
            <w:r>
              <w:rPr>
                <w:rFonts w:ascii="Arial"/>
                <w:w w:val="99"/>
                <w:sz w:val="24"/>
              </w:rPr>
            </w:r>
            <w:r>
              <w:rPr>
                <w:rFonts w:ascii="Arial"/>
                <w:sz w:val="24"/>
                <w:u w:val="single" w:color="000000"/>
              </w:rPr>
              <w:t>6,473,226</w:t>
              <w:tab/>
            </w:r>
            <w:r>
              <w:rPr>
                <w:rFonts w:ascii="Arial"/>
                <w:sz w:val="24"/>
              </w:rPr>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tabs>
                <w:tab w:pos="664" w:val="left" w:leader="none"/>
                <w:tab w:pos="1840" w:val="left" w:leader="none"/>
              </w:tabs>
              <w:spacing w:line="240" w:lineRule="auto" w:before="168"/>
              <w:ind w:left="-80"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5,402,044</w:t>
              <w:tab/>
            </w:r>
            <w:r>
              <w:rPr>
                <w:rFonts w:ascii="Arial"/>
                <w:spacing w:val="-1"/>
                <w:sz w:val="24"/>
              </w:rPr>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65" w:lineRule="exact"/>
              <w:ind w:left="143"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95" w:right="0"/>
              <w:jc w:val="left"/>
              <w:rPr>
                <w:rFonts w:ascii="Arial" w:hAnsi="Arial" w:cs="Arial" w:eastAsia="Arial" w:hint="default"/>
                <w:sz w:val="24"/>
                <w:szCs w:val="24"/>
              </w:rPr>
            </w:pPr>
            <w:r>
              <w:rPr>
                <w:rFonts w:ascii="Arial"/>
                <w:sz w:val="24"/>
              </w:rPr>
              <w:t>1,618,307</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Arial" w:hAnsi="Arial" w:cs="Arial" w:eastAsia="Arial" w:hint="default"/>
                <w:sz w:val="24"/>
                <w:szCs w:val="24"/>
              </w:rPr>
            </w:pPr>
            <w:r>
              <w:rPr>
                <w:rFonts w:ascii="Arial"/>
                <w:spacing w:val="-3"/>
                <w:sz w:val="24"/>
              </w:rPr>
              <w:t>1,350,511</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61" w:lineRule="exact"/>
              <w:ind w:left="143"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47" w:right="0"/>
              <w:jc w:val="left"/>
              <w:rPr>
                <w:rFonts w:ascii="Arial" w:hAnsi="Arial" w:cs="Arial" w:eastAsia="Arial" w:hint="default"/>
                <w:sz w:val="24"/>
                <w:szCs w:val="24"/>
              </w:rPr>
            </w:pPr>
            <w:r>
              <w:rPr>
                <w:rFonts w:ascii="Arial"/>
                <w:sz w:val="24"/>
              </w:rPr>
              <w:t>(65,378)</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Arial" w:hAnsi="Arial" w:cs="Arial" w:eastAsia="Arial" w:hint="default"/>
                <w:sz w:val="24"/>
                <w:szCs w:val="24"/>
              </w:rPr>
            </w:pPr>
            <w:r>
              <w:rPr>
                <w:rFonts w:ascii="Arial"/>
                <w:spacing w:val="-1"/>
                <w:sz w:val="24"/>
              </w:rPr>
              <w:t>(62,287)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61" w:lineRule="exact"/>
              <w:ind w:left="143"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26" w:right="0"/>
              <w:jc w:val="left"/>
              <w:rPr>
                <w:rFonts w:ascii="Arial" w:hAnsi="Arial" w:cs="Arial" w:eastAsia="Arial" w:hint="default"/>
                <w:sz w:val="24"/>
                <w:szCs w:val="24"/>
              </w:rPr>
            </w:pPr>
            <w:r>
              <w:rPr>
                <w:rFonts w:ascii="Arial"/>
                <w:sz w:val="24"/>
              </w:rPr>
              <w:t>32,814</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8,677</w:t>
            </w:r>
          </w:p>
        </w:tc>
      </w:tr>
      <w:tr>
        <w:trPr>
          <w:trHeight w:val="318"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tabs>
                <w:tab w:pos="5052" w:val="left" w:leader="none"/>
                <w:tab w:pos="6197" w:val="left" w:leader="none"/>
              </w:tabs>
              <w:spacing w:line="260" w:lineRule="exact"/>
              <w:ind w:left="143" w:right="-1064"/>
              <w:jc w:val="left"/>
              <w:rPr>
                <w:rFonts w:ascii="Arial" w:hAnsi="Arial" w:cs="Arial" w:eastAsia="Arial" w:hint="default"/>
                <w:sz w:val="24"/>
                <w:szCs w:val="24"/>
              </w:rPr>
            </w:pPr>
            <w:r>
              <w:rPr>
                <w:rFonts w:ascii="宋体" w:hAnsi="宋体" w:cs="宋体" w:eastAsia="宋体" w:hint="default"/>
                <w:position w:val="2"/>
                <w:sz w:val="24"/>
                <w:szCs w:val="24"/>
              </w:rPr>
              <w:t>所得税汇算清缴差异</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41" w:type="dxa"/>
            <w:tcBorders>
              <w:top w:val="nil" w:sz="6" w:space="0" w:color="auto"/>
              <w:left w:val="nil" w:sz="6" w:space="0" w:color="auto"/>
              <w:bottom w:val="nil" w:sz="6" w:space="0" w:color="auto"/>
              <w:right w:val="nil" w:sz="6" w:space="0" w:color="auto"/>
            </w:tcBorders>
          </w:tcPr>
          <w:p>
            <w:pPr>
              <w:pStyle w:val="TableParagraph"/>
              <w:tabs>
                <w:tab w:pos="1771" w:val="left" w:leader="none"/>
              </w:tabs>
              <w:spacing w:line="240" w:lineRule="auto" w:before="21"/>
              <w:ind w:left="1063" w:right="0"/>
              <w:jc w:val="left"/>
              <w:rPr>
                <w:rFonts w:ascii="Arial" w:hAnsi="Arial" w:cs="Arial" w:eastAsia="Arial" w:hint="default"/>
                <w:sz w:val="24"/>
                <w:szCs w:val="24"/>
              </w:rPr>
            </w:pPr>
            <w:r>
              <w:rPr>
                <w:rFonts w:ascii="Arial"/>
                <w:w w:val="99"/>
                <w:sz w:val="24"/>
              </w:rPr>
            </w:r>
            <w:r>
              <w:rPr>
                <w:rFonts w:ascii="Arial"/>
                <w:sz w:val="24"/>
                <w:u w:val="single" w:color="000000"/>
              </w:rPr>
              <w:t>1,477</w:t>
              <w:tab/>
            </w:r>
            <w:r>
              <w:rPr>
                <w:rFonts w:ascii="Arial"/>
                <w:sz w:val="24"/>
              </w:rPr>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tabs>
                <w:tab w:pos="1250" w:val="left" w:leader="none"/>
              </w:tabs>
              <w:spacing w:line="240" w:lineRule="auto" w:before="21"/>
              <w:ind w:left="-80" w:right="2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(365)</w:t>
            </w:r>
            <w:r>
              <w:rPr>
                <w:rFonts w:ascii="Arial"/>
                <w:w w:val="95"/>
                <w:sz w:val="24"/>
              </w:rPr>
            </w:r>
            <w:r>
              <w:rPr>
                <w:rFonts w:ascii="Arial"/>
                <w:sz w:val="24"/>
              </w:rPr>
            </w:r>
          </w:p>
        </w:tc>
      </w:tr>
      <w:tr>
        <w:trPr>
          <w:trHeight w:val="468"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tabs>
                <w:tab w:pos="5052" w:val="left" w:leader="none"/>
                <w:tab w:pos="5729" w:val="left" w:leader="none"/>
              </w:tabs>
              <w:spacing w:line="266" w:lineRule="exact"/>
              <w:ind w:left="143" w:right="-596"/>
              <w:jc w:val="left"/>
              <w:rPr>
                <w:rFonts w:ascii="Arial" w:hAnsi="Arial" w:cs="Arial" w:eastAsia="Arial" w:hint="default"/>
                <w:sz w:val="24"/>
                <w:szCs w:val="24"/>
              </w:rPr>
            </w:pPr>
            <w:r>
              <w:rPr>
                <w:rFonts w:ascii="宋体" w:hAnsi="宋体" w:cs="宋体" w:eastAsia="宋体" w:hint="default"/>
                <w:position w:val="2"/>
                <w:sz w:val="24"/>
                <w:szCs w:val="24"/>
              </w:rPr>
              <w:t>所得税费用</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841" w:type="dxa"/>
            <w:tcBorders>
              <w:top w:val="nil" w:sz="6" w:space="0" w:color="auto"/>
              <w:left w:val="nil" w:sz="6" w:space="0" w:color="auto"/>
              <w:bottom w:val="nil" w:sz="6" w:space="0" w:color="auto"/>
              <w:right w:val="nil" w:sz="6" w:space="0" w:color="auto"/>
            </w:tcBorders>
          </w:tcPr>
          <w:p>
            <w:pPr>
              <w:pStyle w:val="TableParagraph"/>
              <w:tabs>
                <w:tab w:pos="1771" w:val="left" w:leader="none"/>
              </w:tabs>
              <w:spacing w:line="240" w:lineRule="auto" w:before="27"/>
              <w:ind w:left="595" w:right="0"/>
              <w:jc w:val="left"/>
              <w:rPr>
                <w:rFonts w:ascii="Arial" w:hAnsi="Arial" w:cs="Arial" w:eastAsia="Arial" w:hint="default"/>
                <w:sz w:val="24"/>
                <w:szCs w:val="24"/>
              </w:rPr>
            </w:pPr>
            <w:r>
              <w:rPr>
                <w:rFonts w:ascii="Arial"/>
                <w:w w:val="99"/>
                <w:sz w:val="24"/>
              </w:rPr>
            </w:r>
            <w:r>
              <w:rPr>
                <w:rFonts w:ascii="Arial"/>
                <w:sz w:val="24"/>
                <w:u w:val="thick" w:color="000000"/>
              </w:rPr>
              <w:t>1,587,220</w:t>
              <w:tab/>
            </w:r>
            <w:r>
              <w:rPr>
                <w:rFonts w:ascii="Arial"/>
                <w:sz w:val="24"/>
              </w:rPr>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tabs>
                <w:tab w:pos="664" w:val="left" w:leader="none"/>
                <w:tab w:pos="1840" w:val="left" w:leader="none"/>
              </w:tabs>
              <w:spacing w:line="240" w:lineRule="auto" w:before="27"/>
              <w:ind w:left="-80"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1,296,536</w:t>
              <w:tab/>
            </w:r>
            <w:r>
              <w:rPr>
                <w:rFonts w:ascii="Arial"/>
                <w:spacing w:val="-1"/>
                <w:sz w:val="24"/>
              </w:rPr>
            </w:r>
          </w:p>
        </w:tc>
      </w:tr>
      <w:tr>
        <w:trPr>
          <w:trHeight w:val="5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(46)</w:t>
            </w:r>
          </w:p>
        </w:tc>
        <w:tc>
          <w:tcPr>
            <w:tcW w:w="513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3" w:right="0"/>
              <w:jc w:val="left"/>
              <w:rPr>
                <w:rFonts w:ascii="宋体" w:hAnsi="宋体" w:cs="宋体" w:eastAsia="宋体" w:hint="default"/>
                <w:sz w:val="24"/>
                <w:szCs w:val="24"/>
              </w:rPr>
            </w:pPr>
            <w:r>
              <w:rPr>
                <w:rFonts w:ascii="宋体" w:hAnsi="宋体" w:cs="宋体" w:eastAsia="宋体" w:hint="default"/>
                <w:b/>
                <w:bCs/>
                <w:sz w:val="24"/>
                <w:szCs w:val="24"/>
              </w:rPr>
              <w:t>每股收益</w:t>
            </w:r>
            <w:r>
              <w:rPr>
                <w:rFonts w:ascii="宋体" w:hAnsi="宋体" w:cs="宋体" w:eastAsia="宋体" w:hint="default"/>
                <w:sz w:val="24"/>
                <w:szCs w:val="24"/>
              </w:rPr>
            </w:r>
          </w:p>
        </w:tc>
        <w:tc>
          <w:tcPr>
            <w:tcW w:w="184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513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41"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r>
      <w:tr>
        <w:trPr>
          <w:trHeight w:val="762" w:hRule="exact"/>
        </w:trPr>
        <w:tc>
          <w:tcPr>
            <w:tcW w:w="772" w:type="dxa"/>
            <w:tcBorders>
              <w:top w:val="nil" w:sz="6" w:space="0" w:color="auto"/>
              <w:left w:val="nil" w:sz="6" w:space="0" w:color="auto"/>
              <w:bottom w:val="nil" w:sz="6" w:space="0" w:color="auto"/>
              <w:right w:val="nil" w:sz="6" w:space="0" w:color="auto"/>
            </w:tcBorders>
          </w:tcPr>
          <w:p>
            <w:pPr/>
          </w:p>
        </w:tc>
        <w:tc>
          <w:tcPr>
            <w:tcW w:w="938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143" w:right="108"/>
              <w:jc w:val="left"/>
              <w:rPr>
                <w:rFonts w:ascii="宋体" w:hAnsi="宋体" w:cs="宋体" w:eastAsia="宋体" w:hint="default"/>
                <w:sz w:val="24"/>
                <w:szCs w:val="24"/>
              </w:rPr>
            </w:pPr>
            <w:r>
              <w:rPr>
                <w:rFonts w:ascii="宋体" w:hAnsi="宋体" w:cs="宋体" w:eastAsia="宋体" w:hint="default"/>
                <w:sz w:val="24"/>
                <w:szCs w:val="24"/>
              </w:rPr>
              <w:t>基本每股收益以归属于母公司普通股股东的合并净利润除以母公司发行在外普通股的加</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权平均数计算：</w:t>
            </w: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93" w:lineRule="exact"/>
              <w:ind w:left="67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9" w:right="0"/>
              <w:jc w:val="left"/>
              <w:rPr>
                <w:rFonts w:ascii="宋体" w:hAnsi="宋体" w:cs="宋体" w:eastAsia="宋体" w:hint="default"/>
                <w:sz w:val="24"/>
                <w:szCs w:val="24"/>
              </w:rPr>
            </w:pPr>
            <w:r>
              <w:rPr>
                <w:rFonts w:ascii="宋体" w:hAnsi="宋体" w:cs="宋体" w:eastAsia="宋体" w:hint="default"/>
                <w:sz w:val="24"/>
                <w:szCs w:val="24"/>
              </w:rPr>
              <w:t>归属于母公司普通股股东的合并净利润</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667" w:right="0"/>
              <w:jc w:val="left"/>
              <w:rPr>
                <w:rFonts w:ascii="Arial" w:hAnsi="Arial" w:cs="Arial" w:eastAsia="Arial" w:hint="default"/>
                <w:sz w:val="24"/>
                <w:szCs w:val="24"/>
              </w:rPr>
            </w:pPr>
            <w:r>
              <w:rPr>
                <w:rFonts w:ascii="Arial"/>
                <w:sz w:val="24"/>
              </w:rPr>
              <w:t>4,820,594</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spacing w:val="-3"/>
                <w:sz w:val="24"/>
              </w:rPr>
              <w:t>4,011,820</w:t>
            </w:r>
          </w:p>
        </w:tc>
      </w:tr>
      <w:tr>
        <w:trPr>
          <w:trHeight w:val="317"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61" w:lineRule="exact"/>
              <w:ind w:left="179" w:right="0"/>
              <w:jc w:val="left"/>
              <w:rPr>
                <w:rFonts w:ascii="宋体" w:hAnsi="宋体" w:cs="宋体" w:eastAsia="宋体" w:hint="default"/>
                <w:sz w:val="24"/>
                <w:szCs w:val="24"/>
              </w:rPr>
            </w:pPr>
            <w:r>
              <w:rPr>
                <w:rFonts w:ascii="宋体" w:hAnsi="宋体" w:cs="宋体" w:eastAsia="宋体" w:hint="default"/>
                <w:sz w:val="24"/>
                <w:szCs w:val="24"/>
              </w:rPr>
              <w:t>本公司发行在外普通股的加权平均数</w:t>
            </w:r>
          </w:p>
        </w:tc>
        <w:tc>
          <w:tcPr>
            <w:tcW w:w="1841" w:type="dxa"/>
            <w:tcBorders>
              <w:top w:val="nil" w:sz="6" w:space="0" w:color="auto"/>
              <w:left w:val="nil" w:sz="6" w:space="0" w:color="auto"/>
              <w:bottom w:val="nil" w:sz="6" w:space="0" w:color="auto"/>
              <w:right w:val="nil" w:sz="6" w:space="0" w:color="auto"/>
            </w:tcBorders>
          </w:tcPr>
          <w:p>
            <w:pPr>
              <w:pStyle w:val="TableParagraph"/>
              <w:tabs>
                <w:tab w:pos="667" w:val="left" w:leader="none"/>
                <w:tab w:pos="1840" w:val="left" w:leader="none"/>
              </w:tabs>
              <w:spacing w:line="240" w:lineRule="auto" w:before="21"/>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6,996,212</w:t>
              <w:tab/>
            </w:r>
            <w:r>
              <w:rPr>
                <w:rFonts w:ascii="Arial"/>
                <w:sz w:val="24"/>
              </w:rPr>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tabs>
                <w:tab w:pos="664" w:val="left" w:leader="none"/>
                <w:tab w:pos="1840"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6,996,212</w:t>
              <w:tab/>
            </w:r>
            <w:r>
              <w:rPr>
                <w:rFonts w:ascii="Arial"/>
                <w:spacing w:val="-1"/>
                <w:sz w:val="24"/>
              </w:rPr>
            </w:r>
          </w:p>
        </w:tc>
      </w:tr>
      <w:tr>
        <w:trPr>
          <w:trHeight w:val="318" w:hRule="exact"/>
        </w:trPr>
        <w:tc>
          <w:tcPr>
            <w:tcW w:w="772" w:type="dxa"/>
            <w:tcBorders>
              <w:top w:val="nil" w:sz="6" w:space="0" w:color="auto"/>
              <w:left w:val="nil" w:sz="6" w:space="0" w:color="auto"/>
              <w:bottom w:val="nil" w:sz="6" w:space="0" w:color="auto"/>
              <w:right w:val="nil" w:sz="6" w:space="0" w:color="auto"/>
            </w:tcBorders>
          </w:tcPr>
          <w:p>
            <w:pPr/>
          </w:p>
        </w:tc>
        <w:tc>
          <w:tcPr>
            <w:tcW w:w="5135" w:type="dxa"/>
            <w:tcBorders>
              <w:top w:val="nil" w:sz="6" w:space="0" w:color="auto"/>
              <w:left w:val="nil" w:sz="6" w:space="0" w:color="auto"/>
              <w:bottom w:val="nil" w:sz="6" w:space="0" w:color="auto"/>
              <w:right w:val="nil" w:sz="6" w:space="0" w:color="auto"/>
            </w:tcBorders>
          </w:tcPr>
          <w:p>
            <w:pPr>
              <w:pStyle w:val="TableParagraph"/>
              <w:spacing w:line="265" w:lineRule="exact"/>
              <w:ind w:left="179"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41" w:type="dxa"/>
            <w:tcBorders>
              <w:top w:val="nil" w:sz="6" w:space="0" w:color="auto"/>
              <w:left w:val="nil" w:sz="6" w:space="0" w:color="auto"/>
              <w:bottom w:val="single" w:sz="12" w:space="0" w:color="000000"/>
              <w:right w:val="nil" w:sz="6" w:space="0" w:color="auto"/>
            </w:tcBorders>
          </w:tcPr>
          <w:p>
            <w:pPr>
              <w:pStyle w:val="TableParagraph"/>
              <w:spacing w:line="282" w:lineRule="exact"/>
              <w:ind w:left="187"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0.69</w:t>
            </w:r>
            <w:r>
              <w:rPr>
                <w:rFonts w:ascii="Arial" w:hAnsi="Arial" w:cs="Arial" w:eastAsia="Arial" w:hint="default"/>
                <w:spacing w:val="-6"/>
                <w:sz w:val="24"/>
                <w:szCs w:val="24"/>
              </w:rPr>
              <w:t> </w:t>
            </w:r>
            <w:r>
              <w:rPr>
                <w:rFonts w:ascii="宋体" w:hAnsi="宋体" w:cs="宋体" w:eastAsia="宋体" w:hint="default"/>
                <w:sz w:val="24"/>
                <w:szCs w:val="24"/>
              </w:rPr>
              <w:t>元</w:t>
            </w:r>
          </w:p>
        </w:tc>
        <w:tc>
          <w:tcPr>
            <w:tcW w:w="569"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2" w:space="0" w:color="000000"/>
              <w:right w:val="nil" w:sz="6" w:space="0" w:color="auto"/>
            </w:tcBorders>
          </w:tcPr>
          <w:p>
            <w:pPr>
              <w:pStyle w:val="TableParagraph"/>
              <w:spacing w:line="282" w:lineRule="exact"/>
              <w:ind w:left="184"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0.57</w:t>
            </w:r>
            <w:r>
              <w:rPr>
                <w:rFonts w:ascii="Arial" w:hAnsi="Arial" w:cs="Arial" w:eastAsia="Arial" w:hint="default"/>
                <w:spacing w:val="-6"/>
                <w:sz w:val="24"/>
                <w:szCs w:val="24"/>
              </w:rPr>
              <w:t> </w:t>
            </w:r>
            <w:r>
              <w:rPr>
                <w:rFonts w:ascii="宋体" w:hAnsi="宋体" w:cs="宋体" w:eastAsia="宋体" w:hint="default"/>
                <w:sz w:val="24"/>
                <w:szCs w:val="24"/>
              </w:rPr>
              <w:t>元</w:t>
            </w:r>
          </w:p>
        </w:tc>
      </w:tr>
    </w:tbl>
    <w:p>
      <w:pPr>
        <w:spacing w:after="0" w:line="282" w:lineRule="exact"/>
        <w:jc w:val="left"/>
        <w:rPr>
          <w:rFonts w:ascii="宋体" w:hAnsi="宋体" w:cs="宋体" w:eastAsia="宋体" w:hint="default"/>
          <w:sz w:val="24"/>
          <w:szCs w:val="24"/>
        </w:rPr>
        <w:sectPr>
          <w:pgSz w:w="11910" w:h="16850"/>
          <w:pgMar w:header="754" w:footer="956" w:top="2240" w:bottom="1140" w:left="76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79"/>
        <w:gridCol w:w="3699"/>
        <w:gridCol w:w="2427"/>
        <w:gridCol w:w="552"/>
        <w:gridCol w:w="2708"/>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699"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427" w:type="dxa"/>
            <w:tcBorders>
              <w:top w:val="single" w:sz="6" w:space="0" w:color="000000"/>
              <w:left w:val="nil" w:sz="6" w:space="0" w:color="auto"/>
              <w:bottom w:val="nil" w:sz="6" w:space="0" w:color="auto"/>
              <w:right w:val="nil" w:sz="6" w:space="0" w:color="auto"/>
            </w:tcBorders>
          </w:tcPr>
          <w:p>
            <w:pPr/>
          </w:p>
        </w:tc>
        <w:tc>
          <w:tcPr>
            <w:tcW w:w="552" w:type="dxa"/>
            <w:tcBorders>
              <w:top w:val="single" w:sz="6" w:space="0" w:color="000000"/>
              <w:left w:val="nil" w:sz="6" w:space="0" w:color="auto"/>
              <w:bottom w:val="nil" w:sz="6" w:space="0" w:color="auto"/>
              <w:right w:val="nil" w:sz="6" w:space="0" w:color="auto"/>
            </w:tcBorders>
          </w:tcPr>
          <w:p>
            <w:pPr/>
          </w:p>
        </w:tc>
        <w:tc>
          <w:tcPr>
            <w:tcW w:w="2708"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(46)</w:t>
            </w:r>
          </w:p>
        </w:tc>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每股收益</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427"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2427"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2152" w:hRule="exact"/>
        </w:trPr>
        <w:tc>
          <w:tcPr>
            <w:tcW w:w="10164"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02"/>
              <w:ind w:left="915" w:right="115"/>
              <w:jc w:val="both"/>
              <w:rPr>
                <w:rFonts w:ascii="宋体" w:hAnsi="宋体" w:cs="宋体" w:eastAsia="宋体" w:hint="default"/>
                <w:sz w:val="24"/>
                <w:szCs w:val="24"/>
              </w:rPr>
            </w:pPr>
            <w:r>
              <w:rPr>
                <w:rFonts w:ascii="宋体" w:hAnsi="宋体" w:cs="宋体" w:eastAsia="宋体" w:hint="default"/>
                <w:sz w:val="24"/>
                <w:szCs w:val="24"/>
              </w:rPr>
              <w:t>稀释每股收益以根据稀释性潜在普通股调整后的归属于母公司普通股股东的合并净利润</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除以调整后的本公司发行在外普通股的加权平均数计算。对于盈利企业，股票期权的行</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权价格低于当期普通股平均市场价格时，应当考虑其稀释性，并计算稀释每股收益。于</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pacing w:val="-10"/>
                <w:sz w:val="24"/>
                <w:szCs w:val="24"/>
              </w:rPr>
              <w:t>年度，本公司授予的</w:t>
            </w:r>
            <w:r>
              <w:rPr>
                <w:rFonts w:ascii="宋体" w:hAnsi="宋体" w:cs="宋体" w:eastAsia="宋体" w:hint="default"/>
                <w:spacing w:val="-60"/>
                <w:sz w:val="24"/>
                <w:szCs w:val="24"/>
              </w:rPr>
              <w:t> </w:t>
            </w:r>
            <w:r>
              <w:rPr>
                <w:rFonts w:ascii="Arial" w:hAnsi="Arial" w:cs="Arial" w:eastAsia="Arial" w:hint="default"/>
                <w:sz w:val="24"/>
                <w:szCs w:val="24"/>
              </w:rPr>
              <w:t>8,469</w:t>
            </w:r>
            <w:r>
              <w:rPr>
                <w:rFonts w:ascii="Arial" w:hAnsi="Arial" w:cs="Arial" w:eastAsia="Arial" w:hint="default"/>
                <w:spacing w:val="-6"/>
                <w:sz w:val="24"/>
                <w:szCs w:val="24"/>
              </w:rPr>
              <w:t> </w:t>
            </w:r>
            <w:r>
              <w:rPr>
                <w:rFonts w:ascii="宋体" w:hAnsi="宋体" w:cs="宋体" w:eastAsia="宋体" w:hint="default"/>
                <w:sz w:val="24"/>
                <w:szCs w:val="24"/>
              </w:rPr>
              <w:t>万份股票期权的行权价格高于当期公司普通股平均市场</w:t>
            </w:r>
          </w:p>
          <w:p>
            <w:pPr>
              <w:pStyle w:val="TableParagraph"/>
              <w:spacing w:line="312" w:lineRule="exact" w:before="12"/>
              <w:ind w:left="915" w:right="109"/>
              <w:jc w:val="both"/>
              <w:rPr>
                <w:rFonts w:ascii="宋体" w:hAnsi="宋体" w:cs="宋体" w:eastAsia="宋体" w:hint="default"/>
                <w:sz w:val="24"/>
                <w:szCs w:val="24"/>
              </w:rPr>
            </w:pPr>
            <w:r>
              <w:rPr>
                <w:rFonts w:ascii="宋体" w:hAnsi="宋体" w:cs="宋体" w:eastAsia="宋体" w:hint="default"/>
                <w:spacing w:val="-11"/>
                <w:sz w:val="24"/>
                <w:szCs w:val="24"/>
              </w:rPr>
              <w:t>价格，因此该股票期权在</w:t>
            </w:r>
            <w:r>
              <w:rPr>
                <w:rFonts w:ascii="宋体" w:hAnsi="宋体" w:cs="宋体" w:eastAsia="宋体" w:hint="default"/>
                <w:spacing w:val="-71"/>
                <w:sz w:val="24"/>
                <w:szCs w:val="24"/>
              </w:rPr>
              <w:t> </w:t>
            </w:r>
            <w:r>
              <w:rPr>
                <w:rFonts w:ascii="Arial" w:hAnsi="Arial" w:cs="Arial" w:eastAsia="Arial" w:hint="default"/>
                <w:spacing w:val="-4"/>
                <w:w w:val="99"/>
                <w:sz w:val="24"/>
                <w:szCs w:val="24"/>
              </w:rPr>
              <w:t>2011</w:t>
            </w:r>
            <w:r>
              <w:rPr>
                <w:rFonts w:ascii="Arial" w:hAnsi="Arial" w:cs="Arial" w:eastAsia="Arial" w:hint="default"/>
                <w:spacing w:val="-17"/>
                <w:w w:val="99"/>
                <w:sz w:val="24"/>
                <w:szCs w:val="24"/>
              </w:rPr>
              <w:t> </w:t>
            </w:r>
            <w:r>
              <w:rPr>
                <w:rFonts w:ascii="宋体" w:hAnsi="宋体" w:cs="宋体" w:eastAsia="宋体" w:hint="default"/>
                <w:spacing w:val="-5"/>
                <w:w w:val="99"/>
                <w:sz w:val="24"/>
                <w:szCs w:val="24"/>
              </w:rPr>
              <w:t>年度不具有稀释性，但是在以后期间可能具有稀释性</w:t>
            </w:r>
            <w:r>
              <w:rPr>
                <w:rFonts w:ascii="Arial" w:hAnsi="Arial" w:cs="Arial" w:eastAsia="Arial" w:hint="default"/>
                <w:spacing w:val="-5"/>
                <w:w w:val="99"/>
                <w:sz w:val="24"/>
                <w:szCs w:val="24"/>
              </w:rPr>
              <w:t>(2010</w:t>
            </w:r>
            <w:r>
              <w:rPr>
                <w:rFonts w:ascii="Arial" w:hAnsi="Arial" w:cs="Arial" w:eastAsia="Arial" w:hint="default"/>
                <w:w w:val="99"/>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。因此，本年度稀释每股收益等于基本每股收益。</w:t>
            </w: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(47)</w:t>
            </w:r>
          </w:p>
        </w:tc>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宋体" w:hAnsi="宋体" w:cs="宋体" w:eastAsia="宋体" w:hint="default"/>
                <w:sz w:val="24"/>
                <w:szCs w:val="24"/>
              </w:rPr>
            </w:pPr>
            <w:r>
              <w:rPr>
                <w:rFonts w:ascii="宋体" w:hAnsi="宋体" w:cs="宋体" w:eastAsia="宋体" w:hint="default"/>
                <w:b/>
                <w:bCs/>
                <w:sz w:val="24"/>
                <w:szCs w:val="24"/>
              </w:rPr>
              <w:t>其他综合收益</w:t>
            </w:r>
            <w:r>
              <w:rPr>
                <w:rFonts w:ascii="宋体" w:hAnsi="宋体" w:cs="宋体" w:eastAsia="宋体" w:hint="default"/>
                <w:sz w:val="24"/>
                <w:szCs w:val="24"/>
              </w:rPr>
            </w:r>
          </w:p>
        </w:tc>
        <w:tc>
          <w:tcPr>
            <w:tcW w:w="2427"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
        </w:tc>
      </w:tr>
      <w:tr>
        <w:trPr>
          <w:trHeight w:val="594" w:hRule="exact"/>
        </w:trPr>
        <w:tc>
          <w:tcPr>
            <w:tcW w:w="779"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41"/>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9"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9" w:right="0"/>
              <w:jc w:val="left"/>
              <w:rPr>
                <w:rFonts w:ascii="宋体" w:hAnsi="宋体" w:cs="宋体" w:eastAsia="宋体" w:hint="default"/>
                <w:sz w:val="24"/>
                <w:szCs w:val="24"/>
              </w:rPr>
            </w:pPr>
            <w:r>
              <w:rPr>
                <w:rFonts w:ascii="宋体" w:hAnsi="宋体" w:cs="宋体" w:eastAsia="宋体" w:hint="default"/>
                <w:sz w:val="24"/>
                <w:szCs w:val="24"/>
              </w:rPr>
              <w:t>外币财务报表折算差额</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0"/>
              <w:jc w:val="right"/>
              <w:rPr>
                <w:rFonts w:ascii="Arial" w:hAnsi="Arial" w:cs="Arial" w:eastAsia="Arial" w:hint="default"/>
                <w:sz w:val="24"/>
                <w:szCs w:val="24"/>
              </w:rPr>
            </w:pPr>
            <w:r>
              <w:rPr>
                <w:rFonts w:ascii="Arial"/>
                <w:w w:val="95"/>
                <w:sz w:val="24"/>
              </w:rPr>
              <w:t>(4,781)</w:t>
            </w:r>
            <w:r>
              <w:rPr>
                <w:rFonts w:ascii="Arial"/>
                <w:sz w:val="24"/>
              </w:rPr>
            </w: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7"/>
              <w:jc w:val="right"/>
              <w:rPr>
                <w:rFonts w:ascii="Arial" w:hAnsi="Arial" w:cs="Arial" w:eastAsia="Arial" w:hint="default"/>
                <w:sz w:val="24"/>
                <w:szCs w:val="24"/>
              </w:rPr>
            </w:pPr>
            <w:r>
              <w:rPr>
                <w:rFonts w:ascii="Arial"/>
                <w:spacing w:val="-1"/>
                <w:sz w:val="24"/>
              </w:rPr>
              <w:t>7,523</w:t>
            </w:r>
          </w:p>
        </w:tc>
      </w:tr>
      <w:tr>
        <w:trPr>
          <w:trHeight w:val="317" w:hRule="exact"/>
        </w:trPr>
        <w:tc>
          <w:tcPr>
            <w:tcW w:w="779"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Style w:val="TableParagraph"/>
              <w:spacing w:line="261" w:lineRule="exact"/>
              <w:ind w:left="69" w:right="0"/>
              <w:jc w:val="left"/>
              <w:rPr>
                <w:rFonts w:ascii="宋体" w:hAnsi="宋体" w:cs="宋体" w:eastAsia="宋体" w:hint="default"/>
                <w:sz w:val="24"/>
                <w:szCs w:val="24"/>
              </w:rPr>
            </w:pPr>
            <w:r>
              <w:rPr>
                <w:rFonts w:ascii="宋体" w:hAnsi="宋体" w:cs="宋体" w:eastAsia="宋体" w:hint="default"/>
                <w:sz w:val="24"/>
                <w:szCs w:val="24"/>
              </w:rPr>
              <w:t>可供出售金融资产公允价值变动</w:t>
            </w:r>
          </w:p>
        </w:tc>
        <w:tc>
          <w:tcPr>
            <w:tcW w:w="2427" w:type="dxa"/>
            <w:tcBorders>
              <w:top w:val="nil" w:sz="6" w:space="0" w:color="auto"/>
              <w:left w:val="nil" w:sz="6" w:space="0" w:color="auto"/>
              <w:bottom w:val="nil" w:sz="6" w:space="0" w:color="auto"/>
              <w:right w:val="nil" w:sz="6" w:space="0" w:color="auto"/>
            </w:tcBorders>
          </w:tcPr>
          <w:p>
            <w:pPr>
              <w:pStyle w:val="TableParagraph"/>
              <w:tabs>
                <w:tab w:pos="1905" w:val="left" w:leader="none"/>
                <w:tab w:pos="2412"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760</w:t>
            </w:r>
            <w:r>
              <w:rPr>
                <w:rFonts w:ascii="Arial"/>
                <w:sz w:val="24"/>
                <w:u w:val="single" w:color="000000"/>
              </w:rPr>
              <w:tab/>
            </w:r>
            <w:r>
              <w:rPr>
                <w:rFonts w:ascii="Arial"/>
                <w:sz w:val="24"/>
              </w:rPr>
            </w: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tabs>
                <w:tab w:pos="2573" w:val="left" w:leader="none"/>
              </w:tabs>
              <w:spacing w:line="240" w:lineRule="auto" w:before="21"/>
              <w:ind w:right="3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289" w:hRule="exact"/>
        </w:trPr>
        <w:tc>
          <w:tcPr>
            <w:tcW w:w="779" w:type="dxa"/>
            <w:tcBorders>
              <w:top w:val="nil" w:sz="6" w:space="0" w:color="auto"/>
              <w:left w:val="nil" w:sz="6" w:space="0" w:color="auto"/>
              <w:bottom w:val="nil" w:sz="6" w:space="0" w:color="auto"/>
              <w:right w:val="nil" w:sz="6" w:space="0" w:color="auto"/>
            </w:tcBorders>
          </w:tcPr>
          <w:p>
            <w:pPr/>
          </w:p>
        </w:tc>
        <w:tc>
          <w:tcPr>
            <w:tcW w:w="3699"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single" w:sz="12" w:space="0" w:color="000000"/>
              <w:right w:val="nil" w:sz="6" w:space="0" w:color="auto"/>
            </w:tcBorders>
          </w:tcPr>
          <w:p>
            <w:pPr>
              <w:pStyle w:val="TableParagraph"/>
              <w:spacing w:line="271" w:lineRule="exact"/>
              <w:ind w:right="30"/>
              <w:jc w:val="right"/>
              <w:rPr>
                <w:rFonts w:ascii="Arial" w:hAnsi="Arial" w:cs="Arial" w:eastAsia="Arial" w:hint="default"/>
                <w:sz w:val="24"/>
                <w:szCs w:val="24"/>
              </w:rPr>
            </w:pPr>
            <w:r>
              <w:rPr>
                <w:rFonts w:ascii="Arial"/>
                <w:sz w:val="24"/>
              </w:rPr>
              <w:t>(4,021)</w:t>
            </w:r>
          </w:p>
        </w:tc>
        <w:tc>
          <w:tcPr>
            <w:tcW w:w="552"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12" w:space="0" w:color="000000"/>
              <w:right w:val="nil" w:sz="6" w:space="0" w:color="auto"/>
            </w:tcBorders>
          </w:tcPr>
          <w:p>
            <w:pPr>
              <w:pStyle w:val="TableParagraph"/>
              <w:spacing w:line="271" w:lineRule="exact"/>
              <w:ind w:right="37"/>
              <w:jc w:val="right"/>
              <w:rPr>
                <w:rFonts w:ascii="Arial" w:hAnsi="Arial" w:cs="Arial" w:eastAsia="Arial" w:hint="default"/>
                <w:sz w:val="24"/>
                <w:szCs w:val="24"/>
              </w:rPr>
            </w:pPr>
            <w:r>
              <w:rPr>
                <w:rFonts w:ascii="Arial"/>
                <w:spacing w:val="-1"/>
                <w:sz w:val="24"/>
              </w:rPr>
              <w:t>7,523</w:t>
            </w:r>
          </w:p>
        </w:tc>
      </w:tr>
    </w:tbl>
    <w:p>
      <w:pPr>
        <w:spacing w:line="240" w:lineRule="auto" w:before="4"/>
        <w:rPr>
          <w:rFonts w:ascii="Times New Roman" w:hAnsi="Times New Roman" w:cs="Times New Roman" w:eastAsia="Times New Roman"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779"/>
        <w:gridCol w:w="3864"/>
        <w:gridCol w:w="3242"/>
        <w:gridCol w:w="2374"/>
      </w:tblGrid>
      <w:tr>
        <w:trPr>
          <w:trHeight w:val="417"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(48)</w:t>
            </w:r>
          </w:p>
        </w:tc>
        <w:tc>
          <w:tcPr>
            <w:tcW w:w="3864" w:type="dxa"/>
            <w:tcBorders>
              <w:top w:val="nil" w:sz="6" w:space="0" w:color="auto"/>
              <w:left w:val="nil" w:sz="6" w:space="0" w:color="auto"/>
              <w:bottom w:val="nil" w:sz="6" w:space="0" w:color="auto"/>
              <w:right w:val="nil" w:sz="6" w:space="0" w:color="auto"/>
            </w:tcBorders>
          </w:tcPr>
          <w:p>
            <w:pPr>
              <w:pStyle w:val="TableParagraph"/>
              <w:spacing w:line="245" w:lineRule="exact"/>
              <w:ind w:left="151" w:right="0"/>
              <w:jc w:val="left"/>
              <w:rPr>
                <w:rFonts w:ascii="宋体" w:hAnsi="宋体" w:cs="宋体" w:eastAsia="宋体" w:hint="default"/>
                <w:sz w:val="24"/>
                <w:szCs w:val="24"/>
              </w:rPr>
            </w:pPr>
            <w:r>
              <w:rPr>
                <w:rFonts w:ascii="宋体" w:hAnsi="宋体" w:cs="宋体" w:eastAsia="宋体" w:hint="default"/>
                <w:b/>
                <w:bCs/>
                <w:sz w:val="24"/>
                <w:szCs w:val="24"/>
              </w:rPr>
              <w:t>现金流量表项目注释</w:t>
            </w:r>
            <w:r>
              <w:rPr>
                <w:rFonts w:ascii="宋体" w:hAnsi="宋体" w:cs="宋体" w:eastAsia="宋体" w:hint="default"/>
                <w:sz w:val="24"/>
                <w:szCs w:val="24"/>
              </w:rPr>
            </w:r>
          </w:p>
        </w:tc>
        <w:tc>
          <w:tcPr>
            <w:tcW w:w="324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59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51"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324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594"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1" w:right="0"/>
              <w:jc w:val="left"/>
              <w:rPr>
                <w:rFonts w:ascii="宋体" w:hAnsi="宋体" w:cs="宋体" w:eastAsia="宋体" w:hint="default"/>
                <w:sz w:val="24"/>
                <w:szCs w:val="24"/>
              </w:rPr>
            </w:pPr>
            <w:r>
              <w:rPr>
                <w:rFonts w:ascii="宋体" w:hAnsi="宋体" w:cs="宋体" w:eastAsia="宋体" w:hint="default"/>
                <w:sz w:val="24"/>
                <w:szCs w:val="24"/>
              </w:rPr>
              <w:t>收到的各种保证金、押金</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73" w:right="0"/>
              <w:jc w:val="left"/>
              <w:rPr>
                <w:rFonts w:ascii="Arial" w:hAnsi="Arial" w:cs="Arial" w:eastAsia="Arial" w:hint="default"/>
                <w:sz w:val="24"/>
                <w:szCs w:val="24"/>
              </w:rPr>
            </w:pPr>
            <w:r>
              <w:rPr>
                <w:rFonts w:ascii="Arial"/>
                <w:sz w:val="24"/>
              </w:rPr>
              <w:t>2,153,499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99"/>
              <w:jc w:val="right"/>
              <w:rPr>
                <w:rFonts w:ascii="Arial" w:hAnsi="Arial" w:cs="Arial" w:eastAsia="Arial" w:hint="default"/>
                <w:sz w:val="24"/>
                <w:szCs w:val="24"/>
              </w:rPr>
            </w:pPr>
            <w:r>
              <w:rPr>
                <w:rFonts w:ascii="Arial"/>
                <w:spacing w:val="-1"/>
                <w:sz w:val="24"/>
              </w:rPr>
              <w:t>1,312,647</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Arial" w:hAnsi="Arial" w:cs="Arial" w:eastAsia="Arial" w:hint="default"/>
                <w:sz w:val="24"/>
                <w:szCs w:val="24"/>
              </w:rPr>
            </w:pPr>
            <w:r>
              <w:rPr>
                <w:rFonts w:ascii="Arial"/>
                <w:sz w:val="24"/>
              </w:rPr>
              <w:t>426,929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418,003</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5" w:right="0"/>
              <w:jc w:val="center"/>
              <w:rPr>
                <w:rFonts w:ascii="Arial" w:hAnsi="Arial" w:cs="Arial" w:eastAsia="Arial" w:hint="default"/>
                <w:sz w:val="24"/>
                <w:szCs w:val="24"/>
              </w:rPr>
            </w:pPr>
            <w:r>
              <w:rPr>
                <w:rFonts w:ascii="Arial"/>
                <w:sz w:val="24"/>
              </w:rPr>
              <w:t>188,839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87,009</w:t>
            </w:r>
          </w:p>
        </w:tc>
      </w:tr>
      <w:tr>
        <w:trPr>
          <w:trHeight w:val="316"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tabs>
                <w:tab w:pos="3722" w:val="left" w:leader="none"/>
                <w:tab w:pos="5271" w:val="left" w:leader="none"/>
              </w:tabs>
              <w:spacing w:line="260" w:lineRule="exact"/>
              <w:ind w:left="151" w:right="-1407"/>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242" w:type="dxa"/>
            <w:tcBorders>
              <w:top w:val="nil" w:sz="6" w:space="0" w:color="auto"/>
              <w:left w:val="nil" w:sz="6" w:space="0" w:color="auto"/>
              <w:bottom w:val="nil" w:sz="6" w:space="0" w:color="auto"/>
              <w:right w:val="nil" w:sz="6" w:space="0" w:color="auto"/>
            </w:tcBorders>
          </w:tcPr>
          <w:p>
            <w:pPr>
              <w:pStyle w:val="TableParagraph"/>
              <w:tabs>
                <w:tab w:pos="2820" w:val="left" w:leader="none"/>
                <w:tab w:pos="4678" w:val="left" w:leader="none"/>
              </w:tabs>
              <w:spacing w:line="240" w:lineRule="auto" w:before="21"/>
              <w:ind w:left="1406" w:right="-1437"/>
              <w:jc w:val="left"/>
              <w:rPr>
                <w:rFonts w:ascii="Arial" w:hAnsi="Arial" w:cs="Arial" w:eastAsia="Arial" w:hint="default"/>
                <w:sz w:val="24"/>
                <w:szCs w:val="24"/>
              </w:rPr>
            </w:pPr>
            <w:r>
              <w:rPr>
                <w:rFonts w:ascii="Arial"/>
                <w:w w:val="99"/>
                <w:sz w:val="24"/>
              </w:rPr>
            </w:r>
            <w:r>
              <w:rPr>
                <w:rFonts w:ascii="Arial"/>
                <w:sz w:val="24"/>
                <w:u w:val="single" w:color="000000"/>
              </w:rPr>
              <w:t>40,713 </w:t>
            </w:r>
            <w:r>
              <w:rPr>
                <w:rFonts w:ascii="Arial"/>
                <w:spacing w:val="-27"/>
                <w:sz w:val="24"/>
                <w:u w:val="single" w:color="000000"/>
              </w:rPr>
              <w:t> </w:t>
            </w:r>
            <w:r>
              <w:rPr>
                <w:rFonts w:ascii="Arial"/>
                <w:spacing w:val="-27"/>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1"/>
              <w:ind w:right="92"/>
              <w:jc w:val="right"/>
              <w:rPr>
                <w:rFonts w:ascii="Arial" w:hAnsi="Arial" w:cs="Arial" w:eastAsia="Arial" w:hint="default"/>
                <w:sz w:val="24"/>
                <w:szCs w:val="24"/>
              </w:rPr>
            </w:pPr>
            <w:r>
              <w:rPr>
                <w:rFonts w:ascii="Arial"/>
                <w:w w:val="99"/>
                <w:sz w:val="24"/>
              </w:rPr>
            </w:r>
            <w:r>
              <w:rPr>
                <w:rFonts w:ascii="Arial"/>
                <w:spacing w:val="-1"/>
                <w:sz w:val="24"/>
                <w:u w:val="single" w:color="000000"/>
              </w:rPr>
              <w:t>41,754</w:t>
              <w:tab/>
            </w:r>
            <w:r>
              <w:rPr>
                <w:rFonts w:ascii="Arial"/>
                <w:spacing w:val="-1"/>
                <w:sz w:val="24"/>
              </w:rPr>
            </w:r>
          </w:p>
        </w:tc>
      </w:tr>
      <w:tr>
        <w:trPr>
          <w:trHeight w:val="264"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tabs>
                <w:tab w:pos="1073" w:val="left" w:leader="none"/>
                <w:tab w:pos="2805" w:val="left" w:leader="none"/>
                <w:tab w:pos="4344" w:val="left" w:leader="none"/>
              </w:tabs>
              <w:spacing w:line="269" w:lineRule="exact"/>
              <w:ind w:left="-156" w:right="-110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2,809,980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69" w:lineRule="exact"/>
              <w:ind w:right="92"/>
              <w:jc w:val="right"/>
              <w:rPr>
                <w:rFonts w:ascii="Arial" w:hAnsi="Arial" w:cs="Arial" w:eastAsia="Arial" w:hint="default"/>
                <w:sz w:val="24"/>
                <w:szCs w:val="24"/>
              </w:rPr>
            </w:pPr>
            <w:r>
              <w:rPr>
                <w:rFonts w:ascii="Arial"/>
                <w:w w:val="99"/>
                <w:sz w:val="24"/>
              </w:rPr>
            </w:r>
            <w:r>
              <w:rPr>
                <w:rFonts w:ascii="Arial"/>
                <w:spacing w:val="-1"/>
                <w:sz w:val="24"/>
                <w:u w:val="thick" w:color="000000"/>
              </w:rPr>
              <w:t>1,859,413</w:t>
              <w:tab/>
            </w:r>
            <w:r>
              <w:rPr>
                <w:rFonts w:ascii="Arial"/>
                <w:spacing w:val="-1"/>
                <w:sz w:val="24"/>
              </w:rPr>
            </w:r>
          </w:p>
        </w:tc>
      </w:tr>
    </w:tbl>
    <w:p>
      <w:pPr>
        <w:spacing w:after="0" w:line="269" w:lineRule="exact"/>
        <w:jc w:val="right"/>
        <w:rPr>
          <w:rFonts w:ascii="Arial" w:hAnsi="Arial" w:cs="Arial" w:eastAsia="Arial" w:hint="default"/>
          <w:sz w:val="24"/>
          <w:szCs w:val="24"/>
        </w:rPr>
        <w:sectPr>
          <w:pgSz w:w="11910" w:h="16850"/>
          <w:pgMar w:header="754" w:footer="956" w:top="2240" w:bottom="1140" w:left="76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79"/>
        <w:gridCol w:w="3864"/>
        <w:gridCol w:w="3242"/>
        <w:gridCol w:w="2374"/>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3864"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242" w:type="dxa"/>
            <w:tcBorders>
              <w:top w:val="single" w:sz="6" w:space="0" w:color="000000"/>
              <w:left w:val="nil" w:sz="6" w:space="0" w:color="auto"/>
              <w:bottom w:val="nil" w:sz="6" w:space="0" w:color="auto"/>
              <w:right w:val="nil" w:sz="6" w:space="0" w:color="auto"/>
            </w:tcBorders>
          </w:tcPr>
          <w:p>
            <w:pPr/>
          </w:p>
        </w:tc>
        <w:tc>
          <w:tcPr>
            <w:tcW w:w="2374"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(48)</w:t>
            </w:r>
          </w:p>
        </w:tc>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6" w:right="0"/>
              <w:jc w:val="left"/>
              <w:rPr>
                <w:rFonts w:ascii="Arial" w:hAnsi="Arial" w:cs="Arial" w:eastAsia="Arial" w:hint="default"/>
                <w:sz w:val="24"/>
                <w:szCs w:val="24"/>
              </w:rPr>
            </w:pPr>
            <w:r>
              <w:rPr>
                <w:rFonts w:ascii="宋体" w:hAnsi="宋体" w:cs="宋体" w:eastAsia="宋体" w:hint="default"/>
                <w:b/>
                <w:bCs/>
                <w:sz w:val="24"/>
                <w:szCs w:val="24"/>
              </w:rPr>
              <w:t>现金流量表项目注释</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24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51"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3242"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r>
      <w:tr>
        <w:trPr>
          <w:trHeight w:val="594"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1"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73" w:right="0"/>
              <w:jc w:val="left"/>
              <w:rPr>
                <w:rFonts w:ascii="Arial" w:hAnsi="Arial" w:cs="Arial" w:eastAsia="Arial" w:hint="default"/>
                <w:sz w:val="24"/>
                <w:szCs w:val="24"/>
              </w:rPr>
            </w:pPr>
            <w:r>
              <w:rPr>
                <w:rFonts w:ascii="Arial"/>
                <w:sz w:val="24"/>
              </w:rPr>
              <w:t>3,980,435</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99"/>
              <w:jc w:val="right"/>
              <w:rPr>
                <w:rFonts w:ascii="Arial" w:hAnsi="Arial" w:cs="Arial" w:eastAsia="Arial" w:hint="default"/>
                <w:sz w:val="24"/>
                <w:szCs w:val="24"/>
              </w:rPr>
            </w:pPr>
            <w:r>
              <w:rPr>
                <w:rFonts w:ascii="Arial"/>
                <w:spacing w:val="-1"/>
                <w:sz w:val="24"/>
              </w:rPr>
              <w:t>2,954,226</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Arial" w:hAnsi="Arial" w:cs="Arial" w:eastAsia="Arial" w:hint="default"/>
                <w:sz w:val="24"/>
                <w:szCs w:val="24"/>
              </w:rPr>
            </w:pPr>
            <w:r>
              <w:rPr>
                <w:rFonts w:ascii="Arial"/>
                <w:sz w:val="24"/>
              </w:rPr>
              <w:t>968,368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916,392</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Arial" w:hAnsi="Arial" w:cs="Arial" w:eastAsia="Arial" w:hint="default"/>
                <w:sz w:val="24"/>
                <w:szCs w:val="24"/>
              </w:rPr>
            </w:pPr>
            <w:r>
              <w:rPr>
                <w:rFonts w:ascii="Arial"/>
                <w:sz w:val="24"/>
              </w:rPr>
              <w:t>480,629</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372,219</w:t>
            </w:r>
          </w:p>
        </w:tc>
      </w:tr>
      <w:tr>
        <w:trPr>
          <w:trHeight w:val="624"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59" w:lineRule="exact"/>
              <w:ind w:left="151" w:right="0"/>
              <w:jc w:val="left"/>
              <w:rPr>
                <w:rFonts w:ascii="宋体" w:hAnsi="宋体" w:cs="宋体" w:eastAsia="宋体" w:hint="default"/>
                <w:sz w:val="24"/>
                <w:szCs w:val="24"/>
              </w:rPr>
            </w:pPr>
            <w:r>
              <w:rPr>
                <w:rFonts w:ascii="宋体" w:hAnsi="宋体" w:cs="宋体" w:eastAsia="宋体" w:hint="default"/>
                <w:sz w:val="24"/>
                <w:szCs w:val="24"/>
              </w:rPr>
              <w:t>支付的各类保证金、订金</w:t>
            </w:r>
          </w:p>
          <w:p>
            <w:pPr>
              <w:pStyle w:val="TableParagraph"/>
              <w:spacing w:line="313" w:lineRule="exact"/>
              <w:ind w:left="391" w:right="0"/>
              <w:jc w:val="left"/>
              <w:rPr>
                <w:rFonts w:ascii="宋体" w:hAnsi="宋体" w:cs="宋体" w:eastAsia="宋体" w:hint="default"/>
                <w:sz w:val="24"/>
                <w:szCs w:val="24"/>
              </w:rPr>
            </w:pPr>
            <w:r>
              <w:rPr>
                <w:rFonts w:ascii="宋体" w:hAnsi="宋体" w:cs="宋体" w:eastAsia="宋体" w:hint="default"/>
                <w:sz w:val="24"/>
                <w:szCs w:val="24"/>
              </w:rPr>
              <w:t>及押金等</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1073" w:right="0"/>
              <w:jc w:val="left"/>
              <w:rPr>
                <w:rFonts w:ascii="Arial" w:hAnsi="Arial" w:cs="Arial" w:eastAsia="Arial" w:hint="default"/>
                <w:sz w:val="24"/>
                <w:szCs w:val="24"/>
              </w:rPr>
            </w:pPr>
            <w:r>
              <w:rPr>
                <w:rFonts w:ascii="Arial"/>
                <w:sz w:val="24"/>
              </w:rPr>
              <w:t>1,362,035</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99"/>
              <w:jc w:val="right"/>
              <w:rPr>
                <w:rFonts w:ascii="Arial" w:hAnsi="Arial" w:cs="Arial" w:eastAsia="Arial" w:hint="default"/>
                <w:sz w:val="24"/>
                <w:szCs w:val="24"/>
              </w:rPr>
            </w:pPr>
            <w:r>
              <w:rPr>
                <w:rFonts w:ascii="Arial"/>
                <w:spacing w:val="-1"/>
                <w:sz w:val="24"/>
              </w:rPr>
              <w:t>1,215,429</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9" w:right="0"/>
              <w:jc w:val="center"/>
              <w:rPr>
                <w:rFonts w:ascii="Arial" w:hAnsi="Arial" w:cs="Arial" w:eastAsia="Arial" w:hint="default"/>
                <w:sz w:val="24"/>
                <w:szCs w:val="24"/>
              </w:rPr>
            </w:pPr>
            <w:r>
              <w:rPr>
                <w:rFonts w:ascii="Arial"/>
                <w:sz w:val="24"/>
              </w:rPr>
              <w:t>444,726</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357,103</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Arial" w:hAnsi="Arial" w:cs="Arial" w:eastAsia="Arial" w:hint="default"/>
                <w:sz w:val="24"/>
                <w:szCs w:val="24"/>
              </w:rPr>
            </w:pPr>
            <w:r>
              <w:rPr>
                <w:rFonts w:ascii="Arial"/>
                <w:sz w:val="24"/>
              </w:rPr>
              <w:t>349,197</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280,075</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9" w:right="0"/>
              <w:jc w:val="center"/>
              <w:rPr>
                <w:rFonts w:ascii="Arial" w:hAnsi="Arial" w:cs="Arial" w:eastAsia="Arial" w:hint="default"/>
                <w:sz w:val="24"/>
                <w:szCs w:val="24"/>
              </w:rPr>
            </w:pPr>
            <w:r>
              <w:rPr>
                <w:rFonts w:ascii="Arial"/>
                <w:sz w:val="24"/>
              </w:rPr>
              <w:t>253,618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257,678</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市场推广费</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8" w:right="0"/>
              <w:jc w:val="center"/>
              <w:rPr>
                <w:rFonts w:ascii="Arial" w:hAnsi="Arial" w:cs="Arial" w:eastAsia="Arial" w:hint="default"/>
                <w:sz w:val="24"/>
                <w:szCs w:val="24"/>
              </w:rPr>
            </w:pPr>
            <w:r>
              <w:rPr>
                <w:rFonts w:ascii="Arial"/>
                <w:spacing w:val="-6"/>
                <w:sz w:val="24"/>
              </w:rPr>
              <w:t>111,298</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172,590</w:t>
            </w:r>
          </w:p>
        </w:tc>
      </w:tr>
      <w:tr>
        <w:trPr>
          <w:trHeight w:val="312"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Arial" w:hAnsi="Arial" w:cs="Arial" w:eastAsia="Arial" w:hint="default"/>
                <w:sz w:val="24"/>
                <w:szCs w:val="24"/>
              </w:rPr>
            </w:pPr>
            <w:r>
              <w:rPr>
                <w:rFonts w:ascii="Arial"/>
                <w:sz w:val="24"/>
              </w:rPr>
              <w:t>154,561</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144,995</w:t>
            </w:r>
          </w:p>
        </w:tc>
      </w:tr>
      <w:tr>
        <w:trPr>
          <w:trHeight w:val="314"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Style w:val="TableParagraph"/>
              <w:tabs>
                <w:tab w:pos="3722" w:val="left" w:leader="none"/>
                <w:tab w:pos="5139" w:val="left" w:leader="none"/>
              </w:tabs>
              <w:spacing w:line="260" w:lineRule="exact"/>
              <w:ind w:left="151" w:right="-1275"/>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242" w:type="dxa"/>
            <w:tcBorders>
              <w:top w:val="nil" w:sz="6" w:space="0" w:color="auto"/>
              <w:left w:val="nil" w:sz="6" w:space="0" w:color="auto"/>
              <w:bottom w:val="nil" w:sz="6" w:space="0" w:color="auto"/>
              <w:right w:val="nil" w:sz="6" w:space="0" w:color="auto"/>
            </w:tcBorders>
          </w:tcPr>
          <w:p>
            <w:pPr>
              <w:pStyle w:val="TableParagraph"/>
              <w:tabs>
                <w:tab w:pos="2820" w:val="left" w:leader="none"/>
                <w:tab w:pos="4546" w:val="left" w:leader="none"/>
              </w:tabs>
              <w:spacing w:line="240" w:lineRule="auto" w:before="21"/>
              <w:ind w:left="1274" w:right="-1305"/>
              <w:jc w:val="left"/>
              <w:rPr>
                <w:rFonts w:ascii="Arial" w:hAnsi="Arial" w:cs="Arial" w:eastAsia="Arial" w:hint="default"/>
                <w:sz w:val="24"/>
                <w:szCs w:val="24"/>
              </w:rPr>
            </w:pPr>
            <w:r>
              <w:rPr>
                <w:rFonts w:ascii="Arial"/>
                <w:w w:val="99"/>
                <w:sz w:val="24"/>
              </w:rPr>
            </w:r>
            <w:r>
              <w:rPr>
                <w:rFonts w:ascii="Arial"/>
                <w:sz w:val="24"/>
                <w:u w:val="single" w:color="000000"/>
              </w:rPr>
              <w:t>259,857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tabs>
                <w:tab w:pos="974" w:val="left" w:leader="none"/>
              </w:tabs>
              <w:spacing w:line="240" w:lineRule="auto" w:before="21"/>
              <w:ind w:right="92"/>
              <w:jc w:val="right"/>
              <w:rPr>
                <w:rFonts w:ascii="Arial" w:hAnsi="Arial" w:cs="Arial" w:eastAsia="Arial" w:hint="default"/>
                <w:sz w:val="24"/>
                <w:szCs w:val="24"/>
              </w:rPr>
            </w:pPr>
            <w:r>
              <w:rPr>
                <w:rFonts w:ascii="Arial"/>
                <w:w w:val="99"/>
                <w:sz w:val="24"/>
              </w:rPr>
            </w:r>
            <w:r>
              <w:rPr>
                <w:rFonts w:ascii="Arial"/>
                <w:spacing w:val="-1"/>
                <w:sz w:val="24"/>
                <w:u w:val="single" w:color="000000"/>
              </w:rPr>
              <w:t>229,148</w:t>
              <w:tab/>
            </w:r>
            <w:r>
              <w:rPr>
                <w:rFonts w:ascii="Arial"/>
                <w:spacing w:val="-1"/>
                <w:sz w:val="24"/>
              </w:rPr>
            </w:r>
          </w:p>
        </w:tc>
      </w:tr>
      <w:tr>
        <w:trPr>
          <w:trHeight w:val="263" w:hRule="exact"/>
        </w:trPr>
        <w:tc>
          <w:tcPr>
            <w:tcW w:w="779" w:type="dxa"/>
            <w:tcBorders>
              <w:top w:val="nil" w:sz="6" w:space="0" w:color="auto"/>
              <w:left w:val="nil" w:sz="6" w:space="0" w:color="auto"/>
              <w:bottom w:val="nil" w:sz="6" w:space="0" w:color="auto"/>
              <w:right w:val="nil" w:sz="6" w:space="0" w:color="auto"/>
            </w:tcBorders>
          </w:tcPr>
          <w:p>
            <w:pPr/>
          </w:p>
        </w:tc>
        <w:tc>
          <w:tcPr>
            <w:tcW w:w="3864" w:type="dxa"/>
            <w:tcBorders>
              <w:top w:val="nil" w:sz="6" w:space="0" w:color="auto"/>
              <w:left w:val="nil" w:sz="6" w:space="0" w:color="auto"/>
              <w:bottom w:val="nil" w:sz="6" w:space="0" w:color="auto"/>
              <w:right w:val="nil" w:sz="6" w:space="0" w:color="auto"/>
            </w:tcBorders>
          </w:tcPr>
          <w:p>
            <w:pPr/>
          </w:p>
        </w:tc>
        <w:tc>
          <w:tcPr>
            <w:tcW w:w="3242" w:type="dxa"/>
            <w:tcBorders>
              <w:top w:val="nil" w:sz="6" w:space="0" w:color="auto"/>
              <w:left w:val="nil" w:sz="6" w:space="0" w:color="auto"/>
              <w:bottom w:val="nil" w:sz="6" w:space="0" w:color="auto"/>
              <w:right w:val="nil" w:sz="6" w:space="0" w:color="auto"/>
            </w:tcBorders>
          </w:tcPr>
          <w:p>
            <w:pPr>
              <w:pStyle w:val="TableParagraph"/>
              <w:tabs>
                <w:tab w:pos="1073" w:val="left" w:leader="none"/>
                <w:tab w:pos="2820" w:val="left" w:leader="none"/>
                <w:tab w:pos="4344" w:val="left" w:leader="none"/>
              </w:tabs>
              <w:spacing w:line="268" w:lineRule="exact"/>
              <w:ind w:left="-142" w:right="-110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8,364,724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374"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68" w:lineRule="exact"/>
              <w:ind w:right="92"/>
              <w:jc w:val="right"/>
              <w:rPr>
                <w:rFonts w:ascii="Arial" w:hAnsi="Arial" w:cs="Arial" w:eastAsia="Arial" w:hint="default"/>
                <w:sz w:val="24"/>
                <w:szCs w:val="24"/>
              </w:rPr>
            </w:pPr>
            <w:r>
              <w:rPr>
                <w:rFonts w:ascii="Arial"/>
                <w:w w:val="99"/>
                <w:sz w:val="24"/>
              </w:rPr>
            </w:r>
            <w:r>
              <w:rPr>
                <w:rFonts w:ascii="Arial"/>
                <w:spacing w:val="-1"/>
                <w:sz w:val="24"/>
                <w:u w:val="thick" w:color="000000"/>
              </w:rPr>
              <w:t>6,899,855</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50"/>
          <w:pgMar w:header="754" w:footer="956" w:top="2240" w:bottom="1140" w:left="76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736"/>
        <w:gridCol w:w="4299"/>
        <w:gridCol w:w="2436"/>
        <w:gridCol w:w="425"/>
        <w:gridCol w:w="2268"/>
      </w:tblGrid>
      <w:tr>
        <w:trPr>
          <w:trHeight w:val="698"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4299"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91"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436" w:type="dxa"/>
            <w:tcBorders>
              <w:top w:val="single" w:sz="6" w:space="0" w:color="000000"/>
              <w:left w:val="nil" w:sz="6" w:space="0" w:color="auto"/>
              <w:bottom w:val="nil" w:sz="6" w:space="0" w:color="auto"/>
              <w:right w:val="nil" w:sz="6" w:space="0" w:color="auto"/>
            </w:tcBorders>
          </w:tcPr>
          <w:p>
            <w:pPr/>
          </w:p>
        </w:tc>
        <w:tc>
          <w:tcPr>
            <w:tcW w:w="425" w:type="dxa"/>
            <w:tcBorders>
              <w:top w:val="single" w:sz="6" w:space="0" w:color="000000"/>
              <w:left w:val="nil" w:sz="6" w:space="0" w:color="auto"/>
              <w:bottom w:val="nil" w:sz="6" w:space="0" w:color="auto"/>
              <w:right w:val="nil" w:sz="6" w:space="0" w:color="auto"/>
            </w:tcBorders>
          </w:tcPr>
          <w:p>
            <w:pPr/>
          </w:p>
        </w:tc>
        <w:tc>
          <w:tcPr>
            <w:tcW w:w="2268" w:type="dxa"/>
            <w:tcBorders>
              <w:top w:val="single" w:sz="6" w:space="0" w:color="000000"/>
              <w:left w:val="nil" w:sz="6" w:space="0" w:color="auto"/>
              <w:bottom w:val="nil" w:sz="6" w:space="0" w:color="auto"/>
              <w:right w:val="nil" w:sz="6" w:space="0" w:color="auto"/>
            </w:tcBorders>
          </w:tcPr>
          <w:p>
            <w:pPr/>
          </w:p>
        </w:tc>
      </w:tr>
      <w:tr>
        <w:trPr>
          <w:trHeight w:val="58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(49)</w:t>
            </w: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91" w:right="0"/>
              <w:jc w:val="left"/>
              <w:rPr>
                <w:rFonts w:ascii="宋体" w:hAnsi="宋体" w:cs="宋体" w:eastAsia="宋体" w:hint="default"/>
                <w:sz w:val="24"/>
                <w:szCs w:val="24"/>
              </w:rPr>
            </w:pP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591"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1" w:right="0"/>
              <w:jc w:val="left"/>
              <w:rPr>
                <w:rFonts w:ascii="宋体" w:hAnsi="宋体" w:cs="宋体" w:eastAsia="宋体" w:hint="default"/>
                <w:sz w:val="24"/>
                <w:szCs w:val="24"/>
              </w:rPr>
            </w:pPr>
            <w:r>
              <w:rPr>
                <w:rFonts w:ascii="宋体" w:hAnsi="宋体" w:cs="宋体" w:eastAsia="宋体" w:hint="default"/>
                <w:sz w:val="24"/>
                <w:szCs w:val="24"/>
              </w:rPr>
              <w:t>现金流量表补充资料</w:t>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50"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1"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56"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1"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spacing w:val="-1"/>
                <w:sz w:val="24"/>
              </w:rPr>
              <w:t>4,886,006</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88"/>
              <w:jc w:val="right"/>
              <w:rPr>
                <w:rFonts w:ascii="Arial" w:hAnsi="Arial" w:cs="Arial" w:eastAsia="Arial" w:hint="default"/>
                <w:sz w:val="24"/>
                <w:szCs w:val="24"/>
              </w:rPr>
            </w:pPr>
            <w:r>
              <w:rPr>
                <w:rFonts w:ascii="Arial"/>
                <w:spacing w:val="-1"/>
                <w:sz w:val="24"/>
              </w:rPr>
              <w:t>4,105,508</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191"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Arial" w:hAnsi="Arial" w:cs="Arial" w:eastAsia="Arial" w:hint="default"/>
                <w:sz w:val="24"/>
                <w:szCs w:val="24"/>
              </w:rPr>
            </w:pPr>
            <w:r>
              <w:rPr>
                <w:rFonts w:ascii="Arial"/>
                <w:spacing w:val="-1"/>
                <w:sz w:val="24"/>
              </w:rPr>
              <w:t>69,537</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75,924</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392,738</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209,134</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157,749</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107,714</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421,982</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205,236</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处置固定资产的净损失</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Arial" w:hAnsi="Arial" w:cs="Arial" w:eastAsia="Arial" w:hint="default"/>
                <w:sz w:val="24"/>
                <w:szCs w:val="24"/>
              </w:rPr>
            </w:pPr>
            <w:r>
              <w:rPr>
                <w:rFonts w:ascii="Arial"/>
                <w:w w:val="95"/>
                <w:sz w:val="24"/>
              </w:rPr>
              <w:t>1,970</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3,717</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4"/>
                <w:sz w:val="24"/>
              </w:rPr>
              <w:t>11,558</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24"/>
                <w:szCs w:val="24"/>
              </w:rPr>
            </w:pPr>
            <w:r>
              <w:rPr>
                <w:rFonts w:ascii="Arial"/>
                <w:spacing w:val="-1"/>
                <w:sz w:val="24"/>
              </w:rPr>
              <w:t>1,483</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
              <w:jc w:val="right"/>
              <w:rPr>
                <w:rFonts w:ascii="Arial" w:hAnsi="Arial" w:cs="Arial" w:eastAsia="Arial" w:hint="default"/>
                <w:sz w:val="24"/>
                <w:szCs w:val="24"/>
              </w:rPr>
            </w:pPr>
            <w:r>
              <w:rPr>
                <w:rFonts w:ascii="Arial"/>
                <w:spacing w:val="-1"/>
                <w:sz w:val="24"/>
              </w:rPr>
              <w:t>(152,192)</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24"/>
                <w:szCs w:val="24"/>
              </w:rPr>
            </w:pPr>
            <w:r>
              <w:rPr>
                <w:rFonts w:ascii="Arial"/>
                <w:spacing w:val="-1"/>
                <w:sz w:val="24"/>
              </w:rPr>
              <w:t>(10,625)</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Arial" w:hAnsi="Arial" w:cs="Arial" w:eastAsia="Arial" w:hint="default"/>
                <w:sz w:val="24"/>
                <w:szCs w:val="24"/>
              </w:rPr>
            </w:pPr>
            <w:r>
              <w:rPr>
                <w:rFonts w:ascii="Arial"/>
                <w:w w:val="95"/>
                <w:sz w:val="24"/>
              </w:rPr>
              <w:t>(228,830)</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24"/>
                <w:szCs w:val="24"/>
              </w:rPr>
            </w:pPr>
            <w:r>
              <w:rPr>
                <w:rFonts w:ascii="Arial"/>
                <w:spacing w:val="-1"/>
                <w:sz w:val="24"/>
              </w:rPr>
              <w:t>(31,362)</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递延所得税负债增加</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Arial" w:hAnsi="Arial" w:cs="Arial" w:eastAsia="Arial" w:hint="default"/>
                <w:sz w:val="24"/>
                <w:szCs w:val="24"/>
              </w:rPr>
            </w:pPr>
            <w:r>
              <w:rPr>
                <w:rFonts w:ascii="Arial"/>
                <w:spacing w:val="-1"/>
                <w:sz w:val="24"/>
              </w:rPr>
              <w:t>2,392</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Arial" w:hAnsi="Arial" w:cs="Arial" w:eastAsia="Arial" w:hint="default"/>
                <w:sz w:val="24"/>
                <w:szCs w:val="24"/>
              </w:rPr>
            </w:pPr>
            <w:r>
              <w:rPr>
                <w:rFonts w:ascii="Arial"/>
                <w:w w:val="95"/>
                <w:sz w:val="24"/>
              </w:rPr>
              <w:t>716</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Arial" w:hAnsi="Arial" w:cs="Arial" w:eastAsia="Arial" w:hint="default"/>
                <w:sz w:val="24"/>
                <w:szCs w:val="24"/>
              </w:rPr>
            </w:pPr>
            <w:r>
              <w:rPr>
                <w:rFonts w:ascii="Arial"/>
                <w:spacing w:val="-1"/>
                <w:sz w:val="24"/>
              </w:rPr>
              <w:t>(3,756,886)</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24"/>
                <w:szCs w:val="24"/>
              </w:rPr>
            </w:pPr>
            <w:r>
              <w:rPr>
                <w:rFonts w:ascii="Arial"/>
                <w:spacing w:val="-1"/>
                <w:sz w:val="24"/>
              </w:rPr>
              <w:t>(3,125,585)</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
              <w:jc w:val="right"/>
              <w:rPr>
                <w:rFonts w:ascii="Arial" w:hAnsi="Arial" w:cs="Arial" w:eastAsia="Arial" w:hint="default"/>
                <w:sz w:val="24"/>
                <w:szCs w:val="24"/>
              </w:rPr>
            </w:pPr>
            <w:r>
              <w:rPr>
                <w:rFonts w:ascii="Arial"/>
                <w:spacing w:val="-1"/>
                <w:sz w:val="24"/>
              </w:rPr>
              <w:t>(2,331,319)</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24"/>
                <w:szCs w:val="24"/>
              </w:rPr>
            </w:pPr>
            <w:r>
              <w:rPr>
                <w:rFonts w:ascii="Arial"/>
                <w:spacing w:val="-1"/>
                <w:sz w:val="24"/>
              </w:rPr>
              <w:t>(1,860,597)</w:t>
            </w:r>
          </w:p>
        </w:tc>
      </w:tr>
      <w:tr>
        <w:trPr>
          <w:trHeight w:val="317"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1" w:lineRule="exact"/>
              <w:ind w:left="652" w:right="0"/>
              <w:jc w:val="left"/>
              <w:rPr>
                <w:rFonts w:ascii="宋体" w:hAnsi="宋体" w:cs="宋体" w:eastAsia="宋体" w:hint="default"/>
                <w:sz w:val="24"/>
                <w:szCs w:val="24"/>
              </w:rPr>
            </w:pPr>
            <w:r>
              <w:rPr>
                <w:rFonts w:ascii="宋体" w:hAnsi="宋体" w:cs="宋体" w:eastAsia="宋体" w:hint="default"/>
                <w:sz w:val="24"/>
                <w:szCs w:val="24"/>
              </w:rPr>
              <w:t>经营性应付项目的增加</w:t>
            </w:r>
          </w:p>
        </w:tc>
        <w:tc>
          <w:tcPr>
            <w:tcW w:w="2436" w:type="dxa"/>
            <w:tcBorders>
              <w:top w:val="nil" w:sz="6" w:space="0" w:color="auto"/>
              <w:left w:val="nil" w:sz="6" w:space="0" w:color="auto"/>
              <w:bottom w:val="nil" w:sz="6" w:space="0" w:color="auto"/>
              <w:right w:val="nil" w:sz="6" w:space="0" w:color="auto"/>
            </w:tcBorders>
          </w:tcPr>
          <w:p>
            <w:pPr>
              <w:pStyle w:val="TableParagraph"/>
              <w:tabs>
                <w:tab w:pos="1279" w:val="left" w:leader="none"/>
                <w:tab w:pos="2436"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7,113,815</w:t>
              <w:tab/>
            </w:r>
            <w:r>
              <w:rPr>
                <w:rFonts w:ascii="Arial"/>
                <w:spacing w:val="-3"/>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109" w:val="left" w:leader="none"/>
                <w:tab w:pos="2268" w:val="left" w:leader="none"/>
              </w:tabs>
              <w:spacing w:line="240" w:lineRule="auto" w:before="21"/>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4,200,073</w:t>
              <w:tab/>
            </w:r>
            <w:r>
              <w:rPr>
                <w:rFonts w:ascii="Arial"/>
                <w:spacing w:val="-1"/>
                <w:sz w:val="24"/>
              </w:rPr>
            </w:r>
          </w:p>
        </w:tc>
      </w:tr>
      <w:tr>
        <w:trPr>
          <w:trHeight w:val="470"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65" w:lineRule="exact"/>
              <w:ind w:left="191"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36" w:type="dxa"/>
            <w:tcBorders>
              <w:top w:val="nil" w:sz="6" w:space="0" w:color="auto"/>
              <w:left w:val="nil" w:sz="6" w:space="0" w:color="auto"/>
              <w:bottom w:val="nil" w:sz="6" w:space="0" w:color="auto"/>
              <w:right w:val="nil" w:sz="6" w:space="0" w:color="auto"/>
            </w:tcBorders>
          </w:tcPr>
          <w:p>
            <w:pPr>
              <w:pStyle w:val="TableParagraph"/>
              <w:tabs>
                <w:tab w:pos="1260" w:val="left" w:leader="none"/>
                <w:tab w:pos="2436" w:val="left" w:leader="none"/>
              </w:tabs>
              <w:spacing w:line="240" w:lineRule="auto" w:before="2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6,588,520</w:t>
              <w:tab/>
            </w:r>
            <w:r>
              <w:rPr>
                <w:rFonts w:ascii="Arial"/>
                <w:spacing w:val="-1"/>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109" w:val="left" w:leader="none"/>
                <w:tab w:pos="2268" w:val="left" w:leader="none"/>
              </w:tabs>
              <w:spacing w:line="240" w:lineRule="auto" w:before="2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3,881,336</w:t>
              <w:tab/>
            </w:r>
            <w:r>
              <w:rPr>
                <w:rFonts w:ascii="Arial"/>
                <w:spacing w:val="-1"/>
                <w:sz w:val="24"/>
              </w:rPr>
            </w:r>
          </w:p>
        </w:tc>
      </w:tr>
      <w:tr>
        <w:trPr>
          <w:trHeight w:val="450"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1" w:right="0"/>
              <w:jc w:val="left"/>
              <w:rPr>
                <w:rFonts w:ascii="宋体" w:hAnsi="宋体" w:cs="宋体" w:eastAsia="宋体" w:hint="default"/>
                <w:sz w:val="24"/>
                <w:szCs w:val="24"/>
              </w:rPr>
            </w:pPr>
            <w:r>
              <w:rPr>
                <w:rFonts w:ascii="宋体" w:hAnsi="宋体" w:cs="宋体" w:eastAsia="宋体" w:hint="default"/>
                <w:sz w:val="24"/>
                <w:szCs w:val="24"/>
              </w:rPr>
              <w:t>不涉及现金收支的重大投资和筹资活动</w:t>
            </w:r>
          </w:p>
        </w:tc>
        <w:tc>
          <w:tcPr>
            <w:tcW w:w="243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453"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54"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91" w:right="0"/>
              <w:jc w:val="left"/>
              <w:rPr>
                <w:rFonts w:ascii="宋体" w:hAnsi="宋体" w:cs="宋体" w:eastAsia="宋体" w:hint="default"/>
                <w:sz w:val="24"/>
                <w:szCs w:val="24"/>
              </w:rPr>
            </w:pPr>
            <w:r>
              <w:rPr>
                <w:rFonts w:ascii="宋体" w:hAnsi="宋体" w:cs="宋体" w:eastAsia="宋体" w:hint="default"/>
                <w:sz w:val="24"/>
                <w:szCs w:val="24"/>
              </w:rPr>
              <w:t>资本公积转增股本</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5"/>
              <w:jc w:val="right"/>
              <w:rPr>
                <w:rFonts w:ascii="Arial" w:hAnsi="Arial" w:cs="Arial" w:eastAsia="Arial" w:hint="default"/>
                <w:sz w:val="24"/>
                <w:szCs w:val="24"/>
              </w:rPr>
            </w:pPr>
            <w:r>
              <w:rPr>
                <w:rFonts w:ascii="Arial"/>
                <w:w w:val="99"/>
                <w:sz w:val="24"/>
              </w:rPr>
              <w:t>-</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105"/>
              <w:jc w:val="right"/>
              <w:rPr>
                <w:rFonts w:ascii="Arial" w:hAnsi="Arial" w:cs="Arial" w:eastAsia="Arial" w:hint="default"/>
                <w:sz w:val="24"/>
                <w:szCs w:val="24"/>
              </w:rPr>
            </w:pPr>
            <w:r>
              <w:rPr>
                <w:rFonts w:ascii="Arial"/>
                <w:spacing w:val="-1"/>
                <w:sz w:val="24"/>
              </w:rPr>
              <w:t>2,332,071</w:t>
            </w:r>
          </w:p>
        </w:tc>
      </w:tr>
      <w:tr>
        <w:trPr>
          <w:trHeight w:val="295"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2,332,071</w:t>
            </w:r>
          </w:p>
        </w:tc>
      </w:tr>
      <w:tr>
        <w:trPr>
          <w:trHeight w:val="601"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436" w:type="dxa"/>
            <w:tcBorders>
              <w:top w:val="single" w:sz="12"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r>
      <w:tr>
        <w:trPr>
          <w:trHeight w:val="453"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91"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8"/>
              <w:jc w:val="right"/>
              <w:rPr>
                <w:rFonts w:ascii="Arial" w:hAnsi="Arial" w:cs="Arial" w:eastAsia="Arial" w:hint="default"/>
                <w:sz w:val="24"/>
                <w:szCs w:val="24"/>
              </w:rPr>
            </w:pPr>
            <w:r>
              <w:rPr>
                <w:rFonts w:ascii="Arial"/>
                <w:spacing w:val="-1"/>
                <w:sz w:val="24"/>
              </w:rPr>
              <w:t>12,949,158</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4"/>
              <w:jc w:val="right"/>
              <w:rPr>
                <w:rFonts w:ascii="Arial" w:hAnsi="Arial" w:cs="Arial" w:eastAsia="Arial" w:hint="default"/>
                <w:sz w:val="24"/>
                <w:szCs w:val="24"/>
              </w:rPr>
            </w:pPr>
            <w:r>
              <w:rPr>
                <w:rFonts w:ascii="Arial"/>
                <w:spacing w:val="-3"/>
                <w:sz w:val="24"/>
              </w:rPr>
              <w:t>11,676,465</w:t>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79" w:lineRule="exact"/>
              <w:ind w:left="191" w:right="0"/>
              <w:jc w:val="left"/>
              <w:rPr>
                <w:rFonts w:ascii="宋体" w:hAnsi="宋体" w:cs="宋体" w:eastAsia="宋体" w:hint="default"/>
                <w:sz w:val="24"/>
                <w:szCs w:val="24"/>
              </w:rPr>
            </w:pPr>
            <w:r>
              <w:rPr>
                <w:rFonts w:ascii="宋体" w:hAnsi="宋体" w:cs="宋体" w:eastAsia="宋体" w:hint="default"/>
                <w:sz w:val="24"/>
                <w:szCs w:val="24"/>
              </w:rPr>
              <w:t>减：现金的年初余额</w:t>
            </w:r>
          </w:p>
        </w:tc>
        <w:tc>
          <w:tcPr>
            <w:tcW w:w="24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27"/>
              <w:jc w:val="right"/>
              <w:rPr>
                <w:rFonts w:ascii="Arial" w:hAnsi="Arial" w:cs="Arial" w:eastAsia="Arial" w:hint="default"/>
                <w:sz w:val="24"/>
                <w:szCs w:val="24"/>
              </w:rPr>
            </w:pPr>
            <w:r>
              <w:rPr>
                <w:rFonts w:ascii="Arial"/>
                <w:spacing w:val="-2"/>
                <w:sz w:val="24"/>
              </w:rPr>
              <w:t>(11,676,465)</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33"/>
              <w:jc w:val="right"/>
              <w:rPr>
                <w:rFonts w:ascii="Arial" w:hAnsi="Arial" w:cs="Arial" w:eastAsia="Arial" w:hint="default"/>
                <w:sz w:val="24"/>
                <w:szCs w:val="24"/>
              </w:rPr>
            </w:pPr>
            <w:r>
              <w:rPr>
                <w:rFonts w:ascii="Arial"/>
                <w:spacing w:val="-1"/>
                <w:sz w:val="24"/>
              </w:rPr>
              <w:t>(13,325,028)</w:t>
            </w:r>
          </w:p>
        </w:tc>
      </w:tr>
      <w:tr>
        <w:trPr>
          <w:trHeight w:val="334" w:hRule="exact"/>
        </w:trPr>
        <w:tc>
          <w:tcPr>
            <w:tcW w:w="736" w:type="dxa"/>
            <w:tcBorders>
              <w:top w:val="nil" w:sz="6" w:space="0" w:color="auto"/>
              <w:left w:val="nil" w:sz="6" w:space="0" w:color="auto"/>
              <w:bottom w:val="nil" w:sz="6" w:space="0" w:color="auto"/>
              <w:right w:val="nil" w:sz="6" w:space="0" w:color="auto"/>
            </w:tcBorders>
          </w:tcPr>
          <w:p>
            <w:pPr/>
          </w:p>
        </w:tc>
        <w:tc>
          <w:tcPr>
            <w:tcW w:w="4299" w:type="dxa"/>
            <w:tcBorders>
              <w:top w:val="nil" w:sz="6" w:space="0" w:color="auto"/>
              <w:left w:val="nil" w:sz="6" w:space="0" w:color="auto"/>
              <w:bottom w:val="nil" w:sz="6" w:space="0" w:color="auto"/>
              <w:right w:val="nil" w:sz="6" w:space="0" w:color="auto"/>
            </w:tcBorders>
          </w:tcPr>
          <w:p>
            <w:pPr>
              <w:pStyle w:val="TableParagraph"/>
              <w:spacing w:line="298" w:lineRule="exact"/>
              <w:ind w:left="191" w:right="0"/>
              <w:jc w:val="left"/>
              <w:rPr>
                <w:rFonts w:ascii="宋体" w:hAnsi="宋体" w:cs="宋体" w:eastAsia="宋体" w:hint="default"/>
                <w:sz w:val="24"/>
                <w:szCs w:val="24"/>
              </w:rPr>
            </w:pPr>
            <w:r>
              <w:rPr>
                <w:rFonts w:ascii="宋体" w:hAnsi="宋体" w:cs="宋体" w:eastAsia="宋体" w:hint="default"/>
                <w:sz w:val="24"/>
                <w:szCs w:val="24"/>
              </w:rPr>
              <w:t>现金及现金等价物净增加</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额</w:t>
            </w:r>
          </w:p>
        </w:tc>
        <w:tc>
          <w:tcPr>
            <w:tcW w:w="243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7"/>
              <w:jc w:val="right"/>
              <w:rPr>
                <w:rFonts w:ascii="Arial" w:hAnsi="Arial" w:cs="Arial" w:eastAsia="Arial" w:hint="default"/>
                <w:sz w:val="24"/>
                <w:szCs w:val="24"/>
              </w:rPr>
            </w:pPr>
            <w:r>
              <w:rPr>
                <w:rFonts w:ascii="Arial"/>
                <w:spacing w:val="-1"/>
                <w:sz w:val="24"/>
              </w:rPr>
              <w:t>1,272,693</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36"/>
              <w:jc w:val="right"/>
              <w:rPr>
                <w:rFonts w:ascii="Arial" w:hAnsi="Arial" w:cs="Arial" w:eastAsia="Arial" w:hint="default"/>
                <w:sz w:val="24"/>
                <w:szCs w:val="24"/>
              </w:rPr>
            </w:pPr>
            <w:r>
              <w:rPr>
                <w:rFonts w:ascii="Arial"/>
                <w:spacing w:val="-1"/>
                <w:sz w:val="24"/>
              </w:rPr>
              <w:t>(1,648,563)</w:t>
            </w:r>
          </w:p>
        </w:tc>
      </w:tr>
    </w:tbl>
    <w:p>
      <w:pPr>
        <w:spacing w:after="0" w:line="240" w:lineRule="auto"/>
        <w:jc w:val="right"/>
        <w:rPr>
          <w:rFonts w:ascii="Arial" w:hAnsi="Arial" w:cs="Arial" w:eastAsia="Arial" w:hint="default"/>
          <w:sz w:val="24"/>
          <w:szCs w:val="24"/>
        </w:rPr>
        <w:sectPr>
          <w:pgSz w:w="11910" w:h="16850"/>
          <w:pgMar w:header="754" w:footer="956" w:top="2240" w:bottom="1140" w:left="8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820"/>
        <w:gridCol w:w="5091"/>
        <w:gridCol w:w="1843"/>
        <w:gridCol w:w="560"/>
        <w:gridCol w:w="1850"/>
      </w:tblGrid>
      <w:tr>
        <w:trPr>
          <w:trHeight w:val="698"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五</w:t>
            </w:r>
            <w:r>
              <w:rPr>
                <w:rFonts w:ascii="宋体" w:hAnsi="宋体" w:cs="宋体" w:eastAsia="宋体" w:hint="default"/>
                <w:sz w:val="24"/>
                <w:szCs w:val="24"/>
              </w:rPr>
            </w:r>
          </w:p>
        </w:tc>
        <w:tc>
          <w:tcPr>
            <w:tcW w:w="509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08" w:right="0"/>
              <w:jc w:val="left"/>
              <w:rPr>
                <w:rFonts w:ascii="Arial" w:hAnsi="Arial" w:cs="Arial" w:eastAsia="Arial" w:hint="default"/>
                <w:sz w:val="24"/>
                <w:szCs w:val="24"/>
              </w:rPr>
            </w:pPr>
            <w:r>
              <w:rPr>
                <w:rFonts w:ascii="宋体" w:hAnsi="宋体" w:cs="宋体" w:eastAsia="宋体" w:hint="default"/>
                <w:b/>
                <w:bCs/>
                <w:sz w:val="24"/>
                <w:szCs w:val="24"/>
              </w:rPr>
              <w:t>合并财务报表项目附注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843" w:type="dxa"/>
            <w:tcBorders>
              <w:top w:val="single" w:sz="6" w:space="0" w:color="000000"/>
              <w:left w:val="nil" w:sz="6" w:space="0" w:color="auto"/>
              <w:bottom w:val="nil" w:sz="6" w:space="0" w:color="auto"/>
              <w:right w:val="nil" w:sz="6" w:space="0" w:color="auto"/>
            </w:tcBorders>
          </w:tcPr>
          <w:p>
            <w:pPr/>
          </w:p>
        </w:tc>
        <w:tc>
          <w:tcPr>
            <w:tcW w:w="560" w:type="dxa"/>
            <w:tcBorders>
              <w:top w:val="single" w:sz="6" w:space="0" w:color="000000"/>
              <w:left w:val="nil" w:sz="6" w:space="0" w:color="auto"/>
              <w:bottom w:val="nil" w:sz="6" w:space="0" w:color="auto"/>
              <w:right w:val="nil" w:sz="6" w:space="0" w:color="auto"/>
            </w:tcBorders>
          </w:tcPr>
          <w:p>
            <w:pPr/>
          </w:p>
        </w:tc>
        <w:tc>
          <w:tcPr>
            <w:tcW w:w="1850" w:type="dxa"/>
            <w:tcBorders>
              <w:top w:val="single" w:sz="6" w:space="0" w:color="000000"/>
              <w:left w:val="nil" w:sz="6" w:space="0" w:color="auto"/>
              <w:bottom w:val="nil" w:sz="6" w:space="0" w:color="auto"/>
              <w:right w:val="nil" w:sz="6" w:space="0" w:color="auto"/>
            </w:tcBorders>
          </w:tcPr>
          <w:p>
            <w:pPr/>
          </w:p>
        </w:tc>
      </w:tr>
      <w:tr>
        <w:trPr>
          <w:trHeight w:val="588"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(49)</w:t>
            </w:r>
          </w:p>
        </w:tc>
        <w:tc>
          <w:tcPr>
            <w:tcW w:w="509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Arial" w:hAnsi="Arial" w:cs="Arial" w:eastAsia="Arial" w:hint="default"/>
                <w:sz w:val="24"/>
                <w:szCs w:val="24"/>
              </w:rPr>
            </w:pPr>
            <w:r>
              <w:rPr>
                <w:rFonts w:ascii="宋体" w:hAnsi="宋体" w:cs="宋体" w:eastAsia="宋体" w:hint="default"/>
                <w:b/>
                <w:bCs/>
                <w:sz w:val="24"/>
                <w:szCs w:val="24"/>
              </w:rPr>
              <w:t>现金流量表补充资料</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843" w:type="dxa"/>
            <w:tcBorders>
              <w:top w:val="nil" w:sz="6" w:space="0" w:color="auto"/>
              <w:left w:val="nil" w:sz="6" w:space="0" w:color="auto"/>
              <w:bottom w:val="nil" w:sz="6" w:space="0" w:color="auto"/>
              <w:right w:val="nil" w:sz="6" w:space="0" w:color="auto"/>
            </w:tcBorders>
          </w:tcPr>
          <w:p>
            <w:pPr/>
          </w:p>
        </w:tc>
        <w:tc>
          <w:tcPr>
            <w:tcW w:w="560"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r>
      <w:tr>
        <w:trPr>
          <w:trHeight w:val="585"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509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8"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1843" w:type="dxa"/>
            <w:tcBorders>
              <w:top w:val="nil" w:sz="6" w:space="0" w:color="auto"/>
              <w:left w:val="nil" w:sz="6" w:space="0" w:color="auto"/>
              <w:bottom w:val="nil" w:sz="6" w:space="0" w:color="auto"/>
              <w:right w:val="nil" w:sz="6" w:space="0" w:color="auto"/>
            </w:tcBorders>
          </w:tcPr>
          <w:p>
            <w:pPr/>
          </w:p>
        </w:tc>
        <w:tc>
          <w:tcPr>
            <w:tcW w:w="560"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r>
      <w:tr>
        <w:trPr>
          <w:trHeight w:val="906" w:hRule="exact"/>
        </w:trPr>
        <w:tc>
          <w:tcPr>
            <w:tcW w:w="820" w:type="dxa"/>
            <w:tcBorders>
              <w:top w:val="nil" w:sz="6" w:space="0" w:color="auto"/>
              <w:left w:val="nil" w:sz="6" w:space="0" w:color="auto"/>
              <w:bottom w:val="nil" w:sz="6" w:space="0" w:color="auto"/>
              <w:right w:val="nil" w:sz="6" w:space="0" w:color="auto"/>
            </w:tcBorders>
          </w:tcPr>
          <w:p>
            <w:pPr/>
          </w:p>
        </w:tc>
        <w:tc>
          <w:tcPr>
            <w:tcW w:w="509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892"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51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560"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322" w:lineRule="exact" w:before="100"/>
              <w:ind w:left="88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52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51" w:hRule="exact"/>
        </w:trPr>
        <w:tc>
          <w:tcPr>
            <w:tcW w:w="820" w:type="dxa"/>
            <w:tcBorders>
              <w:top w:val="nil" w:sz="6" w:space="0" w:color="auto"/>
              <w:left w:val="nil" w:sz="6" w:space="0" w:color="auto"/>
              <w:bottom w:val="nil" w:sz="6" w:space="0" w:color="auto"/>
              <w:right w:val="nil" w:sz="6" w:space="0" w:color="auto"/>
            </w:tcBorders>
          </w:tcPr>
          <w:p>
            <w:pPr/>
          </w:p>
        </w:tc>
        <w:tc>
          <w:tcPr>
            <w:tcW w:w="5091"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08"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right="177"/>
              <w:jc w:val="right"/>
              <w:rPr>
                <w:rFonts w:ascii="Arial" w:hAnsi="Arial" w:cs="Arial" w:eastAsia="Arial" w:hint="default"/>
                <w:sz w:val="24"/>
                <w:szCs w:val="24"/>
              </w:rPr>
            </w:pPr>
            <w:r>
              <w:rPr>
                <w:rFonts w:ascii="Arial"/>
                <w:spacing w:val="-1"/>
                <w:sz w:val="24"/>
              </w:rPr>
              <w:t>12,949,158</w:t>
            </w:r>
          </w:p>
        </w:tc>
        <w:tc>
          <w:tcPr>
            <w:tcW w:w="560" w:type="dxa"/>
            <w:tcBorders>
              <w:top w:val="nil" w:sz="6" w:space="0" w:color="auto"/>
              <w:left w:val="nil" w:sz="6" w:space="0" w:color="auto"/>
              <w:bottom w:val="single" w:sz="4" w:space="0" w:color="000000"/>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168"/>
              <w:ind w:right="176"/>
              <w:jc w:val="right"/>
              <w:rPr>
                <w:rFonts w:ascii="Arial" w:hAnsi="Arial" w:cs="Arial" w:eastAsia="Arial" w:hint="default"/>
                <w:sz w:val="24"/>
                <w:szCs w:val="24"/>
              </w:rPr>
            </w:pPr>
            <w:r>
              <w:rPr>
                <w:rFonts w:ascii="Arial"/>
                <w:spacing w:val="-2"/>
                <w:w w:val="95"/>
                <w:sz w:val="24"/>
              </w:rPr>
              <w:t>11,676,465</w:t>
            </w:r>
            <w:r>
              <w:rPr>
                <w:rFonts w:ascii="Arial"/>
                <w:spacing w:val="-2"/>
                <w:sz w:val="24"/>
              </w:rPr>
            </w:r>
          </w:p>
        </w:tc>
      </w:tr>
      <w:tr>
        <w:trPr>
          <w:trHeight w:val="330" w:hRule="exact"/>
        </w:trPr>
        <w:tc>
          <w:tcPr>
            <w:tcW w:w="820" w:type="dxa"/>
            <w:tcBorders>
              <w:top w:val="nil" w:sz="6" w:space="0" w:color="auto"/>
              <w:left w:val="nil" w:sz="6" w:space="0" w:color="auto"/>
              <w:bottom w:val="nil" w:sz="6" w:space="0" w:color="auto"/>
              <w:right w:val="single" w:sz="4" w:space="0" w:color="000000"/>
            </w:tcBorders>
          </w:tcPr>
          <w:p>
            <w:pPr/>
          </w:p>
        </w:tc>
        <w:tc>
          <w:tcPr>
            <w:tcW w:w="5091" w:type="dxa"/>
            <w:tcBorders>
              <w:top w:val="single" w:sz="4" w:space="0" w:color="000000"/>
              <w:left w:val="single" w:sz="4" w:space="0" w:color="000000"/>
              <w:bottom w:val="nil" w:sz="6" w:space="0" w:color="auto"/>
              <w:right w:val="nil" w:sz="6" w:space="0" w:color="auto"/>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77"/>
              <w:jc w:val="right"/>
              <w:rPr>
                <w:rFonts w:ascii="Arial" w:hAnsi="Arial" w:cs="Arial" w:eastAsia="Arial" w:hint="default"/>
                <w:sz w:val="24"/>
                <w:szCs w:val="24"/>
              </w:rPr>
            </w:pPr>
            <w:r>
              <w:rPr>
                <w:rFonts w:ascii="Arial"/>
                <w:spacing w:val="-1"/>
                <w:sz w:val="24"/>
              </w:rPr>
              <w:t>14,433</w:t>
            </w:r>
          </w:p>
        </w:tc>
        <w:tc>
          <w:tcPr>
            <w:tcW w:w="560" w:type="dxa"/>
            <w:tcBorders>
              <w:top w:val="single" w:sz="4" w:space="0" w:color="000000"/>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right="172"/>
              <w:jc w:val="right"/>
              <w:rPr>
                <w:rFonts w:ascii="Arial" w:hAnsi="Arial" w:cs="Arial" w:eastAsia="Arial" w:hint="default"/>
                <w:sz w:val="24"/>
                <w:szCs w:val="24"/>
              </w:rPr>
            </w:pPr>
            <w:r>
              <w:rPr>
                <w:rFonts w:ascii="Arial"/>
                <w:spacing w:val="-1"/>
                <w:sz w:val="24"/>
              </w:rPr>
              <w:t>10,334</w:t>
            </w:r>
          </w:p>
        </w:tc>
      </w:tr>
      <w:tr>
        <w:trPr>
          <w:trHeight w:val="312" w:hRule="exact"/>
        </w:trPr>
        <w:tc>
          <w:tcPr>
            <w:tcW w:w="820" w:type="dxa"/>
            <w:tcBorders>
              <w:top w:val="nil" w:sz="6" w:space="0" w:color="auto"/>
              <w:left w:val="nil" w:sz="6" w:space="0" w:color="auto"/>
              <w:bottom w:val="nil" w:sz="6" w:space="0" w:color="auto"/>
              <w:right w:val="single" w:sz="4" w:space="0" w:color="000000"/>
            </w:tcBorders>
          </w:tcPr>
          <w:p>
            <w:pPr/>
          </w:p>
        </w:tc>
        <w:tc>
          <w:tcPr>
            <w:tcW w:w="5091" w:type="dxa"/>
            <w:tcBorders>
              <w:top w:val="nil" w:sz="6" w:space="0" w:color="auto"/>
              <w:left w:val="single" w:sz="4" w:space="0" w:color="000000"/>
              <w:bottom w:val="nil" w:sz="6" w:space="0" w:color="auto"/>
              <w:right w:val="nil" w:sz="6" w:space="0" w:color="auto"/>
            </w:tcBorders>
          </w:tcPr>
          <w:p>
            <w:pPr>
              <w:pStyle w:val="TableParagraph"/>
              <w:spacing w:line="261" w:lineRule="exact"/>
              <w:ind w:left="823"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7"/>
              <w:jc w:val="right"/>
              <w:rPr>
                <w:rFonts w:ascii="Arial" w:hAnsi="Arial" w:cs="Arial" w:eastAsia="Arial" w:hint="default"/>
                <w:sz w:val="24"/>
                <w:szCs w:val="24"/>
              </w:rPr>
            </w:pPr>
            <w:r>
              <w:rPr>
                <w:rFonts w:ascii="Arial"/>
                <w:spacing w:val="-1"/>
                <w:sz w:val="24"/>
              </w:rPr>
              <w:t>12,848,159</w:t>
            </w:r>
          </w:p>
        </w:tc>
        <w:tc>
          <w:tcPr>
            <w:tcW w:w="560"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right="171"/>
              <w:jc w:val="right"/>
              <w:rPr>
                <w:rFonts w:ascii="Arial" w:hAnsi="Arial" w:cs="Arial" w:eastAsia="Arial" w:hint="default"/>
                <w:sz w:val="24"/>
                <w:szCs w:val="24"/>
              </w:rPr>
            </w:pPr>
            <w:r>
              <w:rPr>
                <w:rFonts w:ascii="Arial"/>
                <w:spacing w:val="-2"/>
                <w:w w:val="95"/>
                <w:sz w:val="24"/>
              </w:rPr>
              <w:t>11,530,904</w:t>
            </w:r>
            <w:r>
              <w:rPr>
                <w:rFonts w:ascii="Arial"/>
                <w:spacing w:val="-2"/>
                <w:sz w:val="24"/>
              </w:rPr>
            </w:r>
          </w:p>
        </w:tc>
      </w:tr>
      <w:tr>
        <w:trPr>
          <w:trHeight w:val="304" w:hRule="exact"/>
        </w:trPr>
        <w:tc>
          <w:tcPr>
            <w:tcW w:w="820" w:type="dxa"/>
            <w:tcBorders>
              <w:top w:val="nil" w:sz="6" w:space="0" w:color="auto"/>
              <w:left w:val="nil" w:sz="6" w:space="0" w:color="auto"/>
              <w:bottom w:val="nil" w:sz="6" w:space="0" w:color="auto"/>
              <w:right w:val="single" w:sz="4" w:space="0" w:color="000000"/>
            </w:tcBorders>
          </w:tcPr>
          <w:p>
            <w:pPr/>
          </w:p>
        </w:tc>
        <w:tc>
          <w:tcPr>
            <w:tcW w:w="5091"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823"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77"/>
              <w:jc w:val="right"/>
              <w:rPr>
                <w:rFonts w:ascii="Arial" w:hAnsi="Arial" w:cs="Arial" w:eastAsia="Arial" w:hint="default"/>
                <w:sz w:val="24"/>
                <w:szCs w:val="24"/>
              </w:rPr>
            </w:pPr>
            <w:r>
              <w:rPr>
                <w:rFonts w:ascii="Arial"/>
                <w:spacing w:val="-1"/>
                <w:sz w:val="24"/>
              </w:rPr>
              <w:t>86,566</w:t>
            </w:r>
          </w:p>
        </w:tc>
        <w:tc>
          <w:tcPr>
            <w:tcW w:w="560" w:type="dxa"/>
            <w:tcBorders>
              <w:top w:val="nil" w:sz="6" w:space="0" w:color="auto"/>
              <w:left w:val="nil" w:sz="6" w:space="0" w:color="auto"/>
              <w:bottom w:val="single" w:sz="4" w:space="0" w:color="000000"/>
              <w:right w:val="nil" w:sz="6" w:space="0" w:color="auto"/>
            </w:tcBorders>
          </w:tcPr>
          <w:p>
            <w:pPr/>
          </w:p>
        </w:tc>
        <w:tc>
          <w:tcPr>
            <w:tcW w:w="1850" w:type="dxa"/>
            <w:tcBorders>
              <w:top w:val="nil" w:sz="6" w:space="0" w:color="auto"/>
              <w:left w:val="nil" w:sz="6" w:space="0" w:color="auto"/>
              <w:bottom w:val="single" w:sz="4" w:space="0" w:color="000000"/>
              <w:right w:val="single" w:sz="4" w:space="0" w:color="000000"/>
            </w:tcBorders>
          </w:tcPr>
          <w:p>
            <w:pPr>
              <w:pStyle w:val="TableParagraph"/>
              <w:spacing w:line="240" w:lineRule="auto" w:before="21"/>
              <w:ind w:right="171"/>
              <w:jc w:val="right"/>
              <w:rPr>
                <w:rFonts w:ascii="Arial" w:hAnsi="Arial" w:cs="Arial" w:eastAsia="Arial" w:hint="default"/>
                <w:sz w:val="24"/>
                <w:szCs w:val="24"/>
              </w:rPr>
            </w:pPr>
            <w:r>
              <w:rPr>
                <w:rFonts w:ascii="Arial"/>
                <w:spacing w:val="-1"/>
                <w:sz w:val="24"/>
              </w:rPr>
              <w:t>135,227</w:t>
            </w:r>
          </w:p>
        </w:tc>
      </w:tr>
      <w:tr>
        <w:trPr>
          <w:trHeight w:val="286" w:hRule="exact"/>
        </w:trPr>
        <w:tc>
          <w:tcPr>
            <w:tcW w:w="820" w:type="dxa"/>
            <w:tcBorders>
              <w:top w:val="nil" w:sz="6" w:space="0" w:color="auto"/>
              <w:left w:val="nil" w:sz="6" w:space="0" w:color="auto"/>
              <w:bottom w:val="nil" w:sz="6" w:space="0" w:color="auto"/>
              <w:right w:val="nil" w:sz="6" w:space="0" w:color="auto"/>
            </w:tcBorders>
          </w:tcPr>
          <w:p>
            <w:pPr/>
          </w:p>
        </w:tc>
        <w:tc>
          <w:tcPr>
            <w:tcW w:w="5091" w:type="dxa"/>
            <w:tcBorders>
              <w:top w:val="single" w:sz="4" w:space="0" w:color="000000"/>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
        </w:tc>
        <w:tc>
          <w:tcPr>
            <w:tcW w:w="560" w:type="dxa"/>
            <w:tcBorders>
              <w:top w:val="single" w:sz="4" w:space="0" w:color="000000"/>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4" w:space="0" w:color="000000"/>
              <w:right w:val="nil" w:sz="6" w:space="0" w:color="auto"/>
            </w:tcBorders>
          </w:tcPr>
          <w:p>
            <w:pPr/>
          </w:p>
        </w:tc>
      </w:tr>
      <w:tr>
        <w:trPr>
          <w:trHeight w:val="334" w:hRule="exact"/>
        </w:trPr>
        <w:tc>
          <w:tcPr>
            <w:tcW w:w="820" w:type="dxa"/>
            <w:tcBorders>
              <w:top w:val="nil" w:sz="6" w:space="0" w:color="auto"/>
              <w:left w:val="nil" w:sz="6" w:space="0" w:color="auto"/>
              <w:bottom w:val="nil" w:sz="6" w:space="0" w:color="auto"/>
              <w:right w:val="nil" w:sz="6" w:space="0" w:color="auto"/>
            </w:tcBorders>
          </w:tcPr>
          <w:p>
            <w:pPr/>
          </w:p>
        </w:tc>
        <w:tc>
          <w:tcPr>
            <w:tcW w:w="5091" w:type="dxa"/>
            <w:tcBorders>
              <w:top w:val="nil" w:sz="6" w:space="0" w:color="auto"/>
              <w:left w:val="nil" w:sz="6" w:space="0" w:color="auto"/>
              <w:bottom w:val="nil" w:sz="6" w:space="0" w:color="auto"/>
              <w:right w:val="nil" w:sz="6" w:space="0" w:color="auto"/>
            </w:tcBorders>
          </w:tcPr>
          <w:p>
            <w:pPr>
              <w:pStyle w:val="TableParagraph"/>
              <w:spacing w:line="281" w:lineRule="exact"/>
              <w:ind w:left="108"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77"/>
              <w:jc w:val="right"/>
              <w:rPr>
                <w:rFonts w:ascii="Arial" w:hAnsi="Arial" w:cs="Arial" w:eastAsia="Arial" w:hint="default"/>
                <w:sz w:val="24"/>
                <w:szCs w:val="24"/>
              </w:rPr>
            </w:pPr>
            <w:r>
              <w:rPr>
                <w:rFonts w:ascii="Arial"/>
                <w:spacing w:val="-1"/>
                <w:sz w:val="24"/>
              </w:rPr>
              <w:t>12,949,158</w:t>
            </w:r>
          </w:p>
        </w:tc>
        <w:tc>
          <w:tcPr>
            <w:tcW w:w="560"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76"/>
              <w:jc w:val="right"/>
              <w:rPr>
                <w:rFonts w:ascii="Arial" w:hAnsi="Arial" w:cs="Arial" w:eastAsia="Arial" w:hint="default"/>
                <w:sz w:val="24"/>
                <w:szCs w:val="24"/>
              </w:rPr>
            </w:pPr>
            <w:r>
              <w:rPr>
                <w:rFonts w:ascii="Arial"/>
                <w:spacing w:val="-2"/>
                <w:w w:val="95"/>
                <w:sz w:val="24"/>
              </w:rPr>
              <w:t>11,676,465</w:t>
            </w:r>
            <w:r>
              <w:rPr>
                <w:rFonts w:ascii="Arial"/>
                <w:spacing w:val="-2"/>
                <w:sz w:val="24"/>
              </w:rPr>
            </w:r>
          </w:p>
        </w:tc>
      </w:tr>
    </w:tbl>
    <w:p>
      <w:pPr>
        <w:spacing w:line="240" w:lineRule="auto" w:before="0"/>
        <w:rPr>
          <w:rFonts w:ascii="Times New Roman" w:hAnsi="Times New Roman" w:cs="Times New Roman" w:eastAsia="Times New Roman"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711"/>
        <w:gridCol w:w="2361"/>
        <w:gridCol w:w="1209"/>
        <w:gridCol w:w="1135"/>
        <w:gridCol w:w="1065"/>
        <w:gridCol w:w="1085"/>
        <w:gridCol w:w="1207"/>
        <w:gridCol w:w="1489"/>
      </w:tblGrid>
      <w:tr>
        <w:trPr>
          <w:trHeight w:val="41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exact"/>
              <w:ind w:left="216" w:right="-18"/>
              <w:jc w:val="left"/>
              <w:rPr>
                <w:rFonts w:ascii="宋体" w:hAnsi="宋体" w:cs="宋体" w:eastAsia="宋体" w:hint="default"/>
                <w:sz w:val="24"/>
                <w:szCs w:val="24"/>
              </w:rPr>
            </w:pPr>
            <w:r>
              <w:rPr>
                <w:rFonts w:ascii="宋体" w:hAnsi="宋体" w:cs="宋体" w:eastAsia="宋体" w:hint="default"/>
                <w:b/>
                <w:bCs/>
                <w:w w:val="95"/>
                <w:sz w:val="24"/>
                <w:szCs w:val="24"/>
              </w:rPr>
              <w:t>关联方关系及其交易</w:t>
            </w:r>
            <w:r>
              <w:rPr>
                <w:rFonts w:ascii="宋体" w:hAnsi="宋体" w:cs="宋体" w:eastAsia="宋体" w:hint="default"/>
                <w:sz w:val="24"/>
                <w:szCs w:val="24"/>
              </w:rPr>
            </w:r>
          </w:p>
        </w:tc>
        <w:tc>
          <w:tcPr>
            <w:tcW w:w="120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6" w:right="0"/>
              <w:jc w:val="left"/>
              <w:rPr>
                <w:rFonts w:ascii="宋体" w:hAnsi="宋体" w:cs="宋体" w:eastAsia="宋体" w:hint="default"/>
                <w:sz w:val="24"/>
                <w:szCs w:val="24"/>
              </w:rPr>
            </w:pPr>
            <w:r>
              <w:rPr>
                <w:rFonts w:ascii="宋体" w:hAnsi="宋体" w:cs="宋体" w:eastAsia="宋体" w:hint="default"/>
                <w:b/>
                <w:bCs/>
                <w:sz w:val="24"/>
                <w:szCs w:val="24"/>
              </w:rPr>
              <w:t>母公司情况</w:t>
            </w:r>
            <w:r>
              <w:rPr>
                <w:rFonts w:ascii="宋体" w:hAnsi="宋体" w:cs="宋体" w:eastAsia="宋体" w:hint="default"/>
                <w:sz w:val="24"/>
                <w:szCs w:val="24"/>
              </w:rPr>
            </w:r>
          </w:p>
        </w:tc>
        <w:tc>
          <w:tcPr>
            <w:tcW w:w="120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589"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6" w:right="0"/>
              <w:jc w:val="left"/>
              <w:rPr>
                <w:rFonts w:ascii="宋体" w:hAnsi="宋体" w:cs="宋体" w:eastAsia="宋体" w:hint="default"/>
                <w:sz w:val="24"/>
                <w:szCs w:val="24"/>
              </w:rPr>
            </w:pPr>
            <w:r>
              <w:rPr>
                <w:rFonts w:ascii="宋体" w:hAnsi="宋体" w:cs="宋体" w:eastAsia="宋体" w:hint="default"/>
                <w:sz w:val="24"/>
                <w:szCs w:val="24"/>
              </w:rPr>
              <w:t>母公司基本情况</w:t>
            </w:r>
          </w:p>
        </w:tc>
        <w:tc>
          <w:tcPr>
            <w:tcW w:w="120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808"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19"/>
              <w:jc w:val="right"/>
              <w:rPr>
                <w:rFonts w:ascii="宋体" w:hAnsi="宋体" w:cs="宋体" w:eastAsia="宋体" w:hint="default"/>
                <w:sz w:val="21"/>
                <w:szCs w:val="21"/>
              </w:rPr>
            </w:pPr>
            <w:r>
              <w:rPr>
                <w:rFonts w:ascii="宋体" w:hAnsi="宋体" w:cs="宋体" w:eastAsia="宋体" w:hint="default"/>
                <w:spacing w:val="-1"/>
                <w:sz w:val="21"/>
                <w:szCs w:val="21"/>
              </w:rPr>
              <w:t>企业类型</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78"/>
              <w:jc w:val="right"/>
              <w:rPr>
                <w:rFonts w:ascii="宋体" w:hAnsi="宋体" w:cs="宋体" w:eastAsia="宋体" w:hint="default"/>
                <w:sz w:val="21"/>
                <w:szCs w:val="21"/>
              </w:rPr>
            </w:pPr>
            <w:r>
              <w:rPr>
                <w:rFonts w:ascii="宋体" w:hAnsi="宋体" w:cs="宋体" w:eastAsia="宋体" w:hint="default"/>
                <w:sz w:val="21"/>
                <w:szCs w:val="21"/>
              </w:rPr>
              <w:t>注册地</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9"/>
              <w:jc w:val="right"/>
              <w:rPr>
                <w:rFonts w:ascii="宋体" w:hAnsi="宋体" w:cs="宋体" w:eastAsia="宋体" w:hint="default"/>
                <w:sz w:val="21"/>
                <w:szCs w:val="21"/>
              </w:rPr>
            </w:pPr>
            <w:r>
              <w:rPr>
                <w:rFonts w:ascii="宋体" w:hAnsi="宋体" w:cs="宋体" w:eastAsia="宋体" w:hint="default"/>
                <w:spacing w:val="-1"/>
                <w:sz w:val="21"/>
                <w:szCs w:val="21"/>
              </w:rPr>
              <w:t>法人代表</w:t>
            </w: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78"/>
              <w:jc w:val="right"/>
              <w:rPr>
                <w:rFonts w:ascii="宋体" w:hAnsi="宋体" w:cs="宋体" w:eastAsia="宋体" w:hint="default"/>
                <w:sz w:val="21"/>
                <w:szCs w:val="21"/>
              </w:rPr>
            </w:pPr>
            <w:r>
              <w:rPr>
                <w:rFonts w:ascii="宋体" w:hAnsi="宋体" w:cs="宋体" w:eastAsia="宋体" w:hint="default"/>
                <w:spacing w:val="-1"/>
                <w:sz w:val="21"/>
                <w:szCs w:val="21"/>
              </w:rPr>
              <w:t>业务性质</w:t>
            </w:r>
          </w:p>
        </w:tc>
        <w:tc>
          <w:tcPr>
            <w:tcW w:w="1489" w:type="dxa"/>
            <w:tcBorders>
              <w:top w:val="nil" w:sz="6" w:space="0" w:color="auto"/>
              <w:left w:val="nil" w:sz="6" w:space="0" w:color="auto"/>
              <w:bottom w:val="nil" w:sz="6" w:space="0" w:color="auto"/>
              <w:right w:val="nil" w:sz="6" w:space="0" w:color="auto"/>
            </w:tcBorders>
          </w:tcPr>
          <w:p>
            <w:pPr>
              <w:pStyle w:val="TableParagraph"/>
              <w:spacing w:line="274" w:lineRule="exact" w:before="108"/>
              <w:ind w:left="443" w:right="0"/>
              <w:jc w:val="left"/>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left="863" w:right="0"/>
              <w:jc w:val="left"/>
              <w:rPr>
                <w:rFonts w:ascii="宋体" w:hAnsi="宋体" w:cs="宋体" w:eastAsia="宋体" w:hint="default"/>
                <w:sz w:val="21"/>
                <w:szCs w:val="21"/>
              </w:rPr>
            </w:pPr>
            <w:r>
              <w:rPr>
                <w:rFonts w:ascii="宋体" w:hAnsi="宋体" w:cs="宋体" w:eastAsia="宋体" w:hint="default"/>
                <w:sz w:val="21"/>
                <w:szCs w:val="21"/>
              </w:rPr>
              <w:t>代码</w:t>
            </w:r>
          </w:p>
        </w:tc>
      </w:tr>
      <w:tr>
        <w:trPr>
          <w:trHeight w:val="394"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6" w:right="0"/>
              <w:jc w:val="left"/>
              <w:rPr>
                <w:rFonts w:ascii="宋体" w:hAnsi="宋体" w:cs="宋体" w:eastAsia="宋体" w:hint="default"/>
                <w:sz w:val="21"/>
                <w:szCs w:val="21"/>
              </w:rPr>
            </w:pPr>
            <w:r>
              <w:rPr>
                <w:rFonts w:ascii="宋体" w:hAnsi="宋体" w:cs="宋体" w:eastAsia="宋体" w:hint="default"/>
                <w:sz w:val="21"/>
                <w:szCs w:val="21"/>
              </w:rPr>
              <w:t>张近东先生</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0"/>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85"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2" w:lineRule="exact"/>
              <w:ind w:right="663"/>
              <w:jc w:val="center"/>
              <w:rPr>
                <w:rFonts w:ascii="宋体" w:hAnsi="宋体" w:cs="宋体" w:eastAsia="宋体" w:hint="default"/>
                <w:sz w:val="21"/>
                <w:szCs w:val="21"/>
              </w:rPr>
            </w:pPr>
            <w:r>
              <w:rPr>
                <w:rFonts w:ascii="宋体" w:hAnsi="宋体" w:cs="宋体" w:eastAsia="宋体" w:hint="default"/>
                <w:sz w:val="21"/>
                <w:szCs w:val="21"/>
              </w:rPr>
              <w:t>苏宁电器集团</w:t>
            </w:r>
          </w:p>
          <w:p>
            <w:pPr>
              <w:pStyle w:val="TableParagraph"/>
              <w:spacing w:line="274" w:lineRule="exact"/>
              <w:ind w:right="737"/>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209" w:type="dxa"/>
            <w:tcBorders>
              <w:top w:val="nil" w:sz="6" w:space="0" w:color="auto"/>
              <w:left w:val="nil" w:sz="6" w:space="0" w:color="auto"/>
              <w:bottom w:val="nil" w:sz="6" w:space="0" w:color="auto"/>
              <w:right w:val="nil" w:sz="6" w:space="0" w:color="auto"/>
            </w:tcBorders>
          </w:tcPr>
          <w:p>
            <w:pPr>
              <w:pStyle w:val="TableParagraph"/>
              <w:spacing w:line="242" w:lineRule="exact"/>
              <w:ind w:left="44" w:right="0"/>
              <w:jc w:val="left"/>
              <w:rPr>
                <w:rFonts w:ascii="宋体" w:hAnsi="宋体" w:cs="宋体" w:eastAsia="宋体" w:hint="default"/>
                <w:sz w:val="21"/>
                <w:szCs w:val="21"/>
              </w:rPr>
            </w:pPr>
            <w:r>
              <w:rPr>
                <w:rFonts w:ascii="宋体" w:hAnsi="宋体" w:cs="宋体" w:eastAsia="宋体" w:hint="default"/>
                <w:sz w:val="21"/>
                <w:szCs w:val="21"/>
              </w:rPr>
              <w:t>有限责任</w:t>
            </w:r>
          </w:p>
          <w:p>
            <w:pPr>
              <w:pStyle w:val="TableParagraph"/>
              <w:spacing w:line="274" w:lineRule="exact"/>
              <w:ind w:left="46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78"/>
              <w:jc w:val="right"/>
              <w:rPr>
                <w:rFonts w:ascii="宋体" w:hAnsi="宋体" w:cs="宋体" w:eastAsia="宋体" w:hint="default"/>
                <w:sz w:val="21"/>
                <w:szCs w:val="21"/>
              </w:rPr>
            </w:pPr>
            <w:r>
              <w:rPr>
                <w:rFonts w:ascii="宋体" w:hAnsi="宋体" w:cs="宋体" w:eastAsia="宋体" w:hint="default"/>
                <w:sz w:val="21"/>
                <w:szCs w:val="21"/>
              </w:rPr>
              <w:t>南京市</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40"/>
              <w:jc w:val="right"/>
              <w:rPr>
                <w:rFonts w:ascii="宋体" w:hAnsi="宋体" w:cs="宋体" w:eastAsia="宋体" w:hint="default"/>
                <w:sz w:val="21"/>
                <w:szCs w:val="21"/>
              </w:rPr>
            </w:pPr>
            <w:r>
              <w:rPr>
                <w:rFonts w:ascii="宋体" w:hAnsi="宋体" w:cs="宋体" w:eastAsia="宋体" w:hint="default"/>
                <w:sz w:val="21"/>
                <w:szCs w:val="21"/>
              </w:rPr>
              <w:t>马晓咏</w:t>
            </w:r>
          </w:p>
        </w:tc>
        <w:tc>
          <w:tcPr>
            <w:tcW w:w="2291"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217" w:right="0" w:firstLine="840"/>
              <w:jc w:val="left"/>
              <w:rPr>
                <w:rFonts w:ascii="宋体" w:hAnsi="宋体" w:cs="宋体" w:eastAsia="宋体" w:hint="default"/>
                <w:sz w:val="21"/>
                <w:szCs w:val="21"/>
              </w:rPr>
            </w:pPr>
            <w:r>
              <w:rPr>
                <w:rFonts w:ascii="宋体" w:hAnsi="宋体" w:cs="宋体" w:eastAsia="宋体" w:hint="default"/>
                <w:sz w:val="21"/>
                <w:szCs w:val="21"/>
              </w:rPr>
              <w:t>电脑数码、</w:t>
            </w:r>
          </w:p>
          <w:p>
            <w:pPr>
              <w:pStyle w:val="TableParagraph"/>
              <w:spacing w:line="274" w:lineRule="exact"/>
              <w:ind w:left="217" w:right="0"/>
              <w:jc w:val="left"/>
              <w:rPr>
                <w:rFonts w:ascii="宋体" w:hAnsi="宋体" w:cs="宋体" w:eastAsia="宋体" w:hint="default"/>
                <w:sz w:val="21"/>
                <w:szCs w:val="21"/>
              </w:rPr>
            </w:pPr>
            <w:r>
              <w:rPr>
                <w:rFonts w:ascii="宋体" w:hAnsi="宋体" w:cs="宋体" w:eastAsia="宋体" w:hint="default"/>
                <w:sz w:val="21"/>
                <w:szCs w:val="21"/>
              </w:rPr>
              <w:t>移动通讯、家用电器</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0"/>
              <w:jc w:val="right"/>
              <w:rPr>
                <w:rFonts w:ascii="Arial" w:hAnsi="Arial" w:cs="Arial" w:eastAsia="Arial" w:hint="default"/>
                <w:sz w:val="21"/>
                <w:szCs w:val="21"/>
              </w:rPr>
            </w:pPr>
            <w:r>
              <w:rPr>
                <w:rFonts w:ascii="Arial"/>
                <w:spacing w:val="-1"/>
                <w:sz w:val="21"/>
              </w:rPr>
              <w:t>71409210-3</w:t>
            </w:r>
          </w:p>
        </w:tc>
      </w:tr>
      <w:tr>
        <w:trPr>
          <w:trHeight w:val="559" w:hRule="exact"/>
        </w:trPr>
        <w:tc>
          <w:tcPr>
            <w:tcW w:w="1026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2"/>
              <w:ind w:left="927" w:right="0"/>
              <w:jc w:val="left"/>
              <w:rPr>
                <w:rFonts w:ascii="宋体" w:hAnsi="宋体" w:cs="宋体" w:eastAsia="宋体" w:hint="default"/>
                <w:sz w:val="24"/>
                <w:szCs w:val="24"/>
              </w:rPr>
            </w:pPr>
            <w:r>
              <w:rPr>
                <w:rFonts w:ascii="宋体" w:hAnsi="宋体" w:cs="宋体" w:eastAsia="宋体" w:hint="default"/>
                <w:sz w:val="24"/>
                <w:szCs w:val="24"/>
              </w:rPr>
              <w:t>本公司的实际控制人为张近东先生。</w:t>
            </w:r>
          </w:p>
        </w:tc>
      </w:tr>
      <w:tr>
        <w:trPr>
          <w:trHeight w:val="589"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3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16" w:right="0"/>
              <w:jc w:val="left"/>
              <w:rPr>
                <w:rFonts w:ascii="宋体" w:hAnsi="宋体" w:cs="宋体" w:eastAsia="宋体" w:hint="default"/>
                <w:sz w:val="24"/>
                <w:szCs w:val="24"/>
              </w:rPr>
            </w:pPr>
            <w:r>
              <w:rPr>
                <w:rFonts w:ascii="宋体" w:hAnsi="宋体" w:cs="宋体" w:eastAsia="宋体" w:hint="default"/>
                <w:sz w:val="24"/>
                <w:szCs w:val="24"/>
              </w:rPr>
              <w:t>母公司注册资本及其变化</w:t>
            </w:r>
          </w:p>
        </w:tc>
        <w:tc>
          <w:tcPr>
            <w:tcW w:w="11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r>
        <w:trPr>
          <w:trHeight w:val="813"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82" w:lineRule="exact" w:before="108"/>
              <w:ind w:left="107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p>
          <w:p>
            <w:pPr>
              <w:pStyle w:val="TableParagraph"/>
              <w:spacing w:line="282" w:lineRule="exact"/>
              <w:ind w:left="76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98"/>
              <w:jc w:val="right"/>
              <w:rPr>
                <w:rFonts w:ascii="宋体" w:hAnsi="宋体" w:cs="宋体" w:eastAsia="宋体" w:hint="default"/>
                <w:sz w:val="21"/>
                <w:szCs w:val="21"/>
              </w:rPr>
            </w:pPr>
            <w:r>
              <w:rPr>
                <w:rFonts w:ascii="宋体" w:hAnsi="宋体" w:cs="宋体" w:eastAsia="宋体" w:hint="default"/>
                <w:spacing w:val="-1"/>
                <w:sz w:val="21"/>
                <w:szCs w:val="21"/>
              </w:rPr>
              <w:t>本年增加</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161"/>
              <w:jc w:val="right"/>
              <w:rPr>
                <w:rFonts w:ascii="宋体" w:hAnsi="宋体" w:cs="宋体" w:eastAsia="宋体" w:hint="default"/>
                <w:sz w:val="21"/>
                <w:szCs w:val="21"/>
              </w:rPr>
            </w:pPr>
            <w:r>
              <w:rPr>
                <w:rFonts w:ascii="宋体" w:hAnsi="宋体" w:cs="宋体" w:eastAsia="宋体" w:hint="default"/>
                <w:spacing w:val="-1"/>
                <w:sz w:val="21"/>
                <w:szCs w:val="21"/>
              </w:rPr>
              <w:t>本年减少</w:t>
            </w:r>
          </w:p>
        </w:tc>
        <w:tc>
          <w:tcPr>
            <w:tcW w:w="1489" w:type="dxa"/>
            <w:tcBorders>
              <w:top w:val="nil" w:sz="6" w:space="0" w:color="auto"/>
              <w:left w:val="nil" w:sz="6" w:space="0" w:color="auto"/>
              <w:bottom w:val="nil" w:sz="6" w:space="0" w:color="auto"/>
              <w:right w:val="nil" w:sz="6" w:space="0" w:color="auto"/>
            </w:tcBorders>
          </w:tcPr>
          <w:p>
            <w:pPr>
              <w:pStyle w:val="TableParagraph"/>
              <w:spacing w:line="282" w:lineRule="exact" w:before="108"/>
              <w:ind w:left="57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p>
          <w:p>
            <w:pPr>
              <w:pStyle w:val="TableParagraph"/>
              <w:spacing w:line="282" w:lineRule="exact"/>
              <w:ind w:left="24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388"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6" w:right="0"/>
              <w:jc w:val="left"/>
              <w:rPr>
                <w:rFonts w:ascii="宋体" w:hAnsi="宋体" w:cs="宋体" w:eastAsia="宋体" w:hint="default"/>
                <w:sz w:val="21"/>
                <w:szCs w:val="21"/>
              </w:rPr>
            </w:pPr>
            <w:r>
              <w:rPr>
                <w:rFonts w:ascii="宋体" w:hAnsi="宋体" w:cs="宋体" w:eastAsia="宋体" w:hint="default"/>
                <w:sz w:val="21"/>
                <w:szCs w:val="21"/>
              </w:rPr>
              <w:t>张近东先生</w:t>
            </w:r>
          </w:p>
        </w:tc>
        <w:tc>
          <w:tcPr>
            <w:tcW w:w="120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0"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1"/>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65" w:hRule="exact"/>
        </w:trPr>
        <w:tc>
          <w:tcPr>
            <w:tcW w:w="711"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2" w:lineRule="exact"/>
              <w:ind w:left="216"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1209" w:type="dxa"/>
            <w:tcBorders>
              <w:top w:val="nil" w:sz="6" w:space="0" w:color="auto"/>
              <w:left w:val="nil" w:sz="6" w:space="0" w:color="auto"/>
              <w:bottom w:val="nil" w:sz="6" w:space="0" w:color="auto"/>
              <w:right w:val="nil" w:sz="6" w:space="0" w:color="auto"/>
            </w:tcBorders>
          </w:tcPr>
          <w:p>
            <w:pPr/>
          </w:p>
        </w:tc>
        <w:tc>
          <w:tcPr>
            <w:tcW w:w="22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48" w:right="0"/>
              <w:jc w:val="left"/>
              <w:rPr>
                <w:rFonts w:ascii="Arial" w:hAnsi="Arial" w:cs="Arial" w:eastAsia="Arial" w:hint="default"/>
                <w:sz w:val="21"/>
                <w:szCs w:val="21"/>
              </w:rPr>
            </w:pPr>
            <w:r>
              <w:rPr>
                <w:rFonts w:ascii="Arial"/>
                <w:sz w:val="21"/>
              </w:rPr>
              <w:t>200,000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00"/>
              <w:jc w:val="right"/>
              <w:rPr>
                <w:rFonts w:ascii="Arial" w:hAnsi="Arial" w:cs="Arial" w:eastAsia="Arial" w:hint="default"/>
                <w:sz w:val="21"/>
                <w:szCs w:val="21"/>
              </w:rPr>
            </w:pPr>
            <w:r>
              <w:rPr>
                <w:rFonts w:ascii="Arial"/>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2"/>
              <w:jc w:val="right"/>
              <w:rPr>
                <w:rFonts w:ascii="Arial" w:hAnsi="Arial" w:cs="Arial" w:eastAsia="Arial" w:hint="default"/>
                <w:sz w:val="21"/>
                <w:szCs w:val="21"/>
              </w:rPr>
            </w:pPr>
            <w:r>
              <w:rPr>
                <w:rFonts w:ascii="Arial"/>
                <w:w w:val="100"/>
                <w:sz w:val="21"/>
              </w:rPr>
              <w:t>-</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8"/>
              <w:jc w:val="right"/>
              <w:rPr>
                <w:rFonts w:ascii="Arial" w:hAnsi="Arial" w:cs="Arial" w:eastAsia="Arial" w:hint="default"/>
                <w:sz w:val="21"/>
                <w:szCs w:val="21"/>
              </w:rPr>
            </w:pPr>
            <w:r>
              <w:rPr>
                <w:rFonts w:ascii="Arial"/>
                <w:spacing w:val="-1"/>
                <w:sz w:val="21"/>
              </w:rPr>
              <w:t>200,000</w:t>
            </w:r>
          </w:p>
        </w:tc>
      </w:tr>
    </w:tbl>
    <w:p>
      <w:pPr>
        <w:spacing w:after="0" w:line="240" w:lineRule="auto"/>
        <w:jc w:val="right"/>
        <w:rPr>
          <w:rFonts w:ascii="Arial" w:hAnsi="Arial" w:cs="Arial" w:eastAsia="Arial" w:hint="default"/>
          <w:sz w:val="21"/>
          <w:szCs w:val="21"/>
        </w:rPr>
        <w:sectPr>
          <w:pgSz w:w="11910" w:h="16850"/>
          <w:pgMar w:header="754" w:footer="956" w:top="2240" w:bottom="1140" w:left="76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79"/>
        <w:gridCol w:w="3370"/>
        <w:gridCol w:w="1465"/>
        <w:gridCol w:w="1372"/>
        <w:gridCol w:w="427"/>
        <w:gridCol w:w="1365"/>
        <w:gridCol w:w="1386"/>
      </w:tblGrid>
      <w:tr>
        <w:trPr>
          <w:trHeight w:val="69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337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48"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465" w:type="dxa"/>
            <w:tcBorders>
              <w:top w:val="single" w:sz="6" w:space="0" w:color="000000"/>
              <w:left w:val="nil" w:sz="6" w:space="0" w:color="auto"/>
              <w:bottom w:val="nil" w:sz="6" w:space="0" w:color="auto"/>
              <w:right w:val="nil" w:sz="6" w:space="0" w:color="auto"/>
            </w:tcBorders>
          </w:tcPr>
          <w:p>
            <w:pPr/>
          </w:p>
        </w:tc>
        <w:tc>
          <w:tcPr>
            <w:tcW w:w="1372" w:type="dxa"/>
            <w:tcBorders>
              <w:top w:val="single" w:sz="6" w:space="0" w:color="000000"/>
              <w:left w:val="nil" w:sz="6" w:space="0" w:color="auto"/>
              <w:bottom w:val="nil" w:sz="6" w:space="0" w:color="auto"/>
              <w:right w:val="nil" w:sz="6" w:space="0" w:color="auto"/>
            </w:tcBorders>
          </w:tcPr>
          <w:p>
            <w:pPr/>
          </w:p>
        </w:tc>
        <w:tc>
          <w:tcPr>
            <w:tcW w:w="427" w:type="dxa"/>
            <w:tcBorders>
              <w:top w:val="single" w:sz="6" w:space="0" w:color="000000"/>
              <w:left w:val="nil" w:sz="6" w:space="0" w:color="auto"/>
              <w:bottom w:val="nil" w:sz="6" w:space="0" w:color="auto"/>
              <w:right w:val="nil" w:sz="6" w:space="0" w:color="auto"/>
            </w:tcBorders>
          </w:tcPr>
          <w:p>
            <w:pPr/>
          </w:p>
        </w:tc>
        <w:tc>
          <w:tcPr>
            <w:tcW w:w="1365" w:type="dxa"/>
            <w:tcBorders>
              <w:top w:val="single" w:sz="6" w:space="0" w:color="000000"/>
              <w:left w:val="nil" w:sz="6" w:space="0" w:color="auto"/>
              <w:bottom w:val="nil" w:sz="6" w:space="0" w:color="auto"/>
              <w:right w:val="nil" w:sz="6" w:space="0" w:color="auto"/>
            </w:tcBorders>
          </w:tcPr>
          <w:p>
            <w:pPr/>
          </w:p>
        </w:tc>
        <w:tc>
          <w:tcPr>
            <w:tcW w:w="1386"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8" w:right="0"/>
              <w:jc w:val="left"/>
              <w:rPr>
                <w:rFonts w:ascii="Arial" w:hAnsi="Arial" w:cs="Arial" w:eastAsia="Arial" w:hint="default"/>
                <w:sz w:val="24"/>
                <w:szCs w:val="24"/>
              </w:rPr>
            </w:pPr>
            <w:r>
              <w:rPr>
                <w:rFonts w:ascii="宋体" w:hAnsi="宋体" w:cs="宋体" w:eastAsia="宋体" w:hint="default"/>
                <w:b/>
                <w:bCs/>
                <w:sz w:val="24"/>
                <w:szCs w:val="24"/>
              </w:rPr>
              <w:t>母公司情况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46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83"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(c)</w:t>
            </w:r>
          </w:p>
        </w:tc>
        <w:tc>
          <w:tcPr>
            <w:tcW w:w="48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48" w:right="0"/>
              <w:jc w:val="left"/>
              <w:rPr>
                <w:rFonts w:ascii="宋体" w:hAnsi="宋体" w:cs="宋体" w:eastAsia="宋体" w:hint="default"/>
                <w:sz w:val="24"/>
                <w:szCs w:val="24"/>
              </w:rPr>
            </w:pPr>
            <w:r>
              <w:rPr>
                <w:rFonts w:ascii="宋体" w:hAnsi="宋体" w:cs="宋体" w:eastAsia="宋体" w:hint="default"/>
                <w:sz w:val="24"/>
                <w:szCs w:val="24"/>
              </w:rPr>
              <w:t>母公司对本公司的持股比例和表决权比例</w:t>
            </w:r>
          </w:p>
        </w:tc>
        <w:tc>
          <w:tcPr>
            <w:tcW w:w="137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430"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
        </w:tc>
        <w:tc>
          <w:tcPr>
            <w:tcW w:w="283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08"/>
              <w:ind w:left="513"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31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8"/>
              <w:ind w:left="89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r>
        <w:trPr>
          <w:trHeight w:val="431"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
        </w:tc>
        <w:tc>
          <w:tcPr>
            <w:tcW w:w="1465" w:type="dxa"/>
            <w:tcBorders>
              <w:top w:val="single" w:sz="12" w:space="0" w:color="000000"/>
              <w:left w:val="nil" w:sz="6" w:space="0" w:color="auto"/>
              <w:bottom w:val="nil" w:sz="6" w:space="0" w:color="auto"/>
              <w:right w:val="nil" w:sz="6" w:space="0" w:color="auto"/>
            </w:tcBorders>
          </w:tcPr>
          <w:p>
            <w:pPr>
              <w:pStyle w:val="TableParagraph"/>
              <w:spacing w:line="246" w:lineRule="exact"/>
              <w:ind w:right="210"/>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c>
          <w:tcPr>
            <w:tcW w:w="1372" w:type="dxa"/>
            <w:tcBorders>
              <w:top w:val="single" w:sz="12" w:space="0" w:color="000000"/>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表决权比例</w:t>
            </w: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single" w:sz="12" w:space="0" w:color="000000"/>
              <w:left w:val="nil" w:sz="6" w:space="0" w:color="auto"/>
              <w:bottom w:val="nil" w:sz="6" w:space="0" w:color="auto"/>
              <w:right w:val="nil" w:sz="6" w:space="0" w:color="auto"/>
            </w:tcBorders>
          </w:tcPr>
          <w:p>
            <w:pPr>
              <w:pStyle w:val="TableParagraph"/>
              <w:spacing w:line="246" w:lineRule="exact"/>
              <w:ind w:right="157"/>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c>
          <w:tcPr>
            <w:tcW w:w="1386" w:type="dxa"/>
            <w:tcBorders>
              <w:top w:val="single" w:sz="12" w:space="0" w:color="000000"/>
              <w:left w:val="nil" w:sz="6" w:space="0" w:color="auto"/>
              <w:bottom w:val="nil" w:sz="6" w:space="0" w:color="auto"/>
              <w:right w:val="nil" w:sz="6" w:space="0" w:color="auto"/>
            </w:tcBorders>
          </w:tcPr>
          <w:p>
            <w:pPr>
              <w:pStyle w:val="TableParagraph"/>
              <w:spacing w:line="246" w:lineRule="exact"/>
              <w:ind w:left="159" w:right="0"/>
              <w:jc w:val="left"/>
              <w:rPr>
                <w:rFonts w:ascii="宋体" w:hAnsi="宋体" w:cs="宋体" w:eastAsia="宋体" w:hint="default"/>
                <w:sz w:val="21"/>
                <w:szCs w:val="21"/>
              </w:rPr>
            </w:pPr>
            <w:r>
              <w:rPr>
                <w:rFonts w:ascii="宋体" w:hAnsi="宋体" w:cs="宋体" w:eastAsia="宋体" w:hint="default"/>
                <w:sz w:val="21"/>
                <w:szCs w:val="21"/>
              </w:rPr>
              <w:t>表决权比例</w:t>
            </w:r>
          </w:p>
        </w:tc>
      </w:tr>
      <w:tr>
        <w:trPr>
          <w:trHeight w:val="425"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8" w:right="0"/>
              <w:jc w:val="left"/>
              <w:rPr>
                <w:rFonts w:ascii="Arial" w:hAnsi="Arial" w:cs="Arial" w:eastAsia="Arial" w:hint="default"/>
                <w:sz w:val="21"/>
                <w:szCs w:val="21"/>
              </w:rPr>
            </w:pPr>
            <w:r>
              <w:rPr>
                <w:rFonts w:ascii="宋体" w:hAnsi="宋体" w:cs="宋体" w:eastAsia="宋体" w:hint="default"/>
                <w:sz w:val="21"/>
                <w:szCs w:val="21"/>
              </w:rPr>
              <w:t>张近东先生</w:t>
            </w:r>
            <w:r>
              <w:rPr>
                <w:rFonts w:ascii="Arial" w:hAnsi="Arial" w:cs="Arial" w:eastAsia="Arial" w:hint="default"/>
                <w:sz w:val="21"/>
                <w:szCs w:val="21"/>
              </w:rPr>
              <w:t>(</w:t>
            </w:r>
            <w:r>
              <w:rPr>
                <w:rFonts w:ascii="宋体" w:hAnsi="宋体" w:cs="宋体" w:eastAsia="宋体" w:hint="default"/>
                <w:sz w:val="21"/>
                <w:szCs w:val="21"/>
              </w:rPr>
              <w:t>注</w:t>
            </w:r>
            <w:r>
              <w:rPr>
                <w:rFonts w:ascii="Arial" w:hAnsi="Arial" w:cs="Arial" w:eastAsia="Arial" w:hint="default"/>
                <w:sz w:val="21"/>
                <w:szCs w:val="21"/>
              </w:rPr>
              <w:t>)</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10"/>
              <w:jc w:val="right"/>
              <w:rPr>
                <w:rFonts w:ascii="Arial" w:hAnsi="Arial" w:cs="Arial" w:eastAsia="Arial" w:hint="default"/>
                <w:sz w:val="21"/>
                <w:szCs w:val="21"/>
              </w:rPr>
            </w:pPr>
            <w:r>
              <w:rPr>
                <w:rFonts w:ascii="Arial"/>
                <w:spacing w:val="-1"/>
                <w:sz w:val="21"/>
              </w:rPr>
              <w:t>31.67%</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3"/>
              <w:jc w:val="right"/>
              <w:rPr>
                <w:rFonts w:ascii="Arial" w:hAnsi="Arial" w:cs="Arial" w:eastAsia="Arial" w:hint="default"/>
                <w:sz w:val="21"/>
                <w:szCs w:val="21"/>
              </w:rPr>
            </w:pPr>
            <w:r>
              <w:rPr>
                <w:rFonts w:ascii="Arial"/>
                <w:spacing w:val="-1"/>
                <w:sz w:val="21"/>
              </w:rPr>
              <w:t>27.90%</w:t>
            </w: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57"/>
              <w:jc w:val="right"/>
              <w:rPr>
                <w:rFonts w:ascii="Arial" w:hAnsi="Arial" w:cs="Arial" w:eastAsia="Arial" w:hint="default"/>
                <w:sz w:val="21"/>
                <w:szCs w:val="21"/>
              </w:rPr>
            </w:pPr>
            <w:r>
              <w:rPr>
                <w:rFonts w:ascii="Arial"/>
                <w:spacing w:val="-1"/>
                <w:sz w:val="21"/>
              </w:rPr>
              <w:t>31.67%</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3"/>
              <w:jc w:val="right"/>
              <w:rPr>
                <w:rFonts w:ascii="Arial" w:hAnsi="Arial" w:cs="Arial" w:eastAsia="Arial" w:hint="default"/>
                <w:sz w:val="21"/>
                <w:szCs w:val="21"/>
              </w:rPr>
            </w:pPr>
            <w:r>
              <w:rPr>
                <w:rFonts w:ascii="Arial"/>
                <w:spacing w:val="-1"/>
                <w:sz w:val="21"/>
              </w:rPr>
              <w:t>27.90%</w:t>
            </w:r>
          </w:p>
        </w:tc>
      </w:tr>
      <w:tr>
        <w:trPr>
          <w:trHeight w:val="414"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2" w:lineRule="exact"/>
              <w:ind w:left="148"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0"/>
              <w:jc w:val="right"/>
              <w:rPr>
                <w:rFonts w:ascii="Arial" w:hAnsi="Arial" w:cs="Arial" w:eastAsia="Arial" w:hint="default"/>
                <w:sz w:val="21"/>
                <w:szCs w:val="21"/>
              </w:rPr>
            </w:pPr>
            <w:r>
              <w:rPr>
                <w:rFonts w:ascii="Arial"/>
                <w:spacing w:val="-1"/>
                <w:sz w:val="21"/>
              </w:rPr>
              <w:t>13.47%</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1"/>
                <w:szCs w:val="21"/>
              </w:rPr>
            </w:pPr>
            <w:r>
              <w:rPr>
                <w:rFonts w:ascii="Arial"/>
                <w:spacing w:val="-1"/>
                <w:sz w:val="21"/>
              </w:rPr>
              <w:t>13.47%</w:t>
            </w: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7"/>
              <w:jc w:val="right"/>
              <w:rPr>
                <w:rFonts w:ascii="Arial" w:hAnsi="Arial" w:cs="Arial" w:eastAsia="Arial" w:hint="default"/>
                <w:sz w:val="21"/>
                <w:szCs w:val="21"/>
              </w:rPr>
            </w:pPr>
            <w:r>
              <w:rPr>
                <w:rFonts w:ascii="Arial"/>
                <w:spacing w:val="-1"/>
                <w:sz w:val="21"/>
              </w:rPr>
              <w:t>13.47%</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1"/>
                <w:szCs w:val="21"/>
              </w:rPr>
            </w:pPr>
            <w:r>
              <w:rPr>
                <w:rFonts w:ascii="Arial"/>
                <w:spacing w:val="-1"/>
                <w:sz w:val="21"/>
              </w:rPr>
              <w:t>13.47%</w:t>
            </w:r>
          </w:p>
        </w:tc>
      </w:tr>
      <w:tr>
        <w:trPr>
          <w:trHeight w:val="888" w:hRule="exact"/>
        </w:trPr>
        <w:tc>
          <w:tcPr>
            <w:tcW w:w="10164" w:type="dxa"/>
            <w:gridSpan w:val="7"/>
            <w:tcBorders>
              <w:top w:val="nil" w:sz="6" w:space="0" w:color="auto"/>
              <w:left w:val="nil" w:sz="6" w:space="0" w:color="auto"/>
              <w:bottom w:val="nil" w:sz="6" w:space="0" w:color="auto"/>
              <w:right w:val="nil" w:sz="6" w:space="0" w:color="auto"/>
            </w:tcBorders>
          </w:tcPr>
          <w:p>
            <w:pPr>
              <w:pStyle w:val="TableParagraph"/>
              <w:spacing w:line="312" w:lineRule="exact" w:before="115"/>
              <w:ind w:left="927" w:right="103"/>
              <w:jc w:val="left"/>
              <w:rPr>
                <w:rFonts w:ascii="宋体" w:hAnsi="宋体" w:cs="宋体" w:eastAsia="宋体" w:hint="default"/>
                <w:sz w:val="24"/>
                <w:szCs w:val="24"/>
              </w:rPr>
            </w:pPr>
            <w:r>
              <w:rPr>
                <w:rFonts w:ascii="宋体" w:hAnsi="宋体" w:cs="宋体" w:eastAsia="宋体" w:hint="default"/>
                <w:spacing w:val="-13"/>
                <w:sz w:val="24"/>
                <w:szCs w:val="24"/>
              </w:rPr>
              <w:t>注：于</w:t>
            </w:r>
            <w:r>
              <w:rPr>
                <w:rFonts w:ascii="宋体" w:hAnsi="宋体" w:cs="宋体" w:eastAsia="宋体" w:hint="default"/>
                <w:spacing w:val="-61"/>
                <w:sz w:val="24"/>
                <w:szCs w:val="24"/>
              </w:rPr>
              <w:t> </w:t>
            </w:r>
            <w:r>
              <w:rPr>
                <w:rFonts w:ascii="Arial" w:hAnsi="Arial" w:cs="Arial" w:eastAsia="Arial" w:hint="default"/>
                <w:spacing w:val="-5"/>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日，张近东先生直接持有本公司</w:t>
            </w:r>
            <w:r>
              <w:rPr>
                <w:rFonts w:ascii="宋体" w:hAnsi="宋体" w:cs="宋体" w:eastAsia="宋体" w:hint="default"/>
                <w:spacing w:val="-60"/>
                <w:sz w:val="24"/>
                <w:szCs w:val="24"/>
              </w:rPr>
              <w:t> </w:t>
            </w:r>
            <w:r>
              <w:rPr>
                <w:rFonts w:ascii="Arial" w:hAnsi="Arial" w:cs="Arial" w:eastAsia="Arial" w:hint="default"/>
                <w:spacing w:val="-3"/>
                <w:sz w:val="24"/>
                <w:szCs w:val="24"/>
              </w:rPr>
              <w:t>27.90%</w:t>
            </w:r>
            <w:r>
              <w:rPr>
                <w:rFonts w:ascii="宋体" w:hAnsi="宋体" w:cs="宋体" w:eastAsia="宋体" w:hint="default"/>
                <w:spacing w:val="-3"/>
                <w:sz w:val="24"/>
                <w:szCs w:val="24"/>
              </w:rPr>
              <w:t>的股份，同时持有苏宁</w:t>
            </w:r>
            <w:r>
              <w:rPr>
                <w:rFonts w:ascii="宋体" w:hAnsi="宋体" w:cs="宋体" w:eastAsia="宋体" w:hint="default"/>
                <w:sz w:val="24"/>
                <w:szCs w:val="24"/>
              </w:rPr>
              <w:t> 电器集团有限公司</w:t>
            </w:r>
            <w:r>
              <w:rPr>
                <w:rFonts w:ascii="宋体" w:hAnsi="宋体" w:cs="宋体" w:eastAsia="宋体" w:hint="default"/>
                <w:spacing w:val="-63"/>
                <w:sz w:val="24"/>
                <w:szCs w:val="24"/>
              </w:rPr>
              <w:t> </w:t>
            </w:r>
            <w:r>
              <w:rPr>
                <w:rFonts w:ascii="Arial" w:hAnsi="Arial" w:cs="Arial" w:eastAsia="Arial" w:hint="default"/>
                <w:sz w:val="24"/>
                <w:szCs w:val="24"/>
              </w:rPr>
              <w:t>28%</w:t>
            </w:r>
            <w:r>
              <w:rPr>
                <w:rFonts w:ascii="宋体" w:hAnsi="宋体" w:cs="宋体" w:eastAsia="宋体" w:hint="default"/>
                <w:sz w:val="24"/>
                <w:szCs w:val="24"/>
              </w:rPr>
              <w:t>的股权。</w:t>
            </w:r>
          </w:p>
        </w:tc>
      </w:tr>
      <w:tr>
        <w:trPr>
          <w:trHeight w:val="59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8" w:right="0"/>
              <w:jc w:val="left"/>
              <w:rPr>
                <w:rFonts w:ascii="宋体" w:hAnsi="宋体" w:cs="宋体" w:eastAsia="宋体" w:hint="default"/>
                <w:sz w:val="24"/>
                <w:szCs w:val="24"/>
              </w:rPr>
            </w:pPr>
            <w:r>
              <w:rPr>
                <w:rFonts w:ascii="宋体" w:hAnsi="宋体" w:cs="宋体" w:eastAsia="宋体" w:hint="default"/>
                <w:b/>
                <w:bCs/>
                <w:sz w:val="24"/>
                <w:szCs w:val="24"/>
              </w:rPr>
              <w:t>子公司情况</w:t>
            </w:r>
            <w:r>
              <w:rPr>
                <w:rFonts w:ascii="宋体" w:hAnsi="宋体" w:cs="宋体" w:eastAsia="宋体" w:hint="default"/>
                <w:sz w:val="24"/>
                <w:szCs w:val="24"/>
              </w:rPr>
            </w:r>
          </w:p>
        </w:tc>
        <w:tc>
          <w:tcPr>
            <w:tcW w:w="146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91" w:hRule="exact"/>
        </w:trPr>
        <w:tc>
          <w:tcPr>
            <w:tcW w:w="1016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6"/>
              <w:ind w:left="927" w:right="0"/>
              <w:jc w:val="left"/>
              <w:rPr>
                <w:rFonts w:ascii="宋体" w:hAnsi="宋体" w:cs="宋体" w:eastAsia="宋体" w:hint="default"/>
                <w:sz w:val="24"/>
                <w:szCs w:val="24"/>
              </w:rPr>
            </w:pPr>
            <w:r>
              <w:rPr>
                <w:rFonts w:ascii="宋体" w:hAnsi="宋体" w:cs="宋体" w:eastAsia="宋体" w:hint="default"/>
                <w:sz w:val="24"/>
                <w:szCs w:val="24"/>
              </w:rPr>
              <w:t>子公司的基本情况及相关信息见附注四。</w:t>
            </w:r>
          </w:p>
        </w:tc>
      </w:tr>
      <w:tr>
        <w:trPr>
          <w:trHeight w:val="596"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(3)</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8" w:right="0"/>
              <w:jc w:val="left"/>
              <w:rPr>
                <w:rFonts w:ascii="宋体" w:hAnsi="宋体" w:cs="宋体" w:eastAsia="宋体" w:hint="default"/>
                <w:sz w:val="24"/>
                <w:szCs w:val="24"/>
              </w:rPr>
            </w:pPr>
            <w:r>
              <w:rPr>
                <w:rFonts w:ascii="宋体" w:hAnsi="宋体" w:cs="宋体" w:eastAsia="宋体" w:hint="default"/>
                <w:b/>
                <w:bCs/>
                <w:sz w:val="24"/>
                <w:szCs w:val="24"/>
              </w:rPr>
              <w:t>联营企业情况</w:t>
            </w:r>
            <w:r>
              <w:rPr>
                <w:rFonts w:ascii="宋体" w:hAnsi="宋体" w:cs="宋体" w:eastAsia="宋体" w:hint="default"/>
                <w:sz w:val="24"/>
                <w:szCs w:val="24"/>
              </w:rPr>
            </w:r>
          </w:p>
        </w:tc>
        <w:tc>
          <w:tcPr>
            <w:tcW w:w="146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431" w:hRule="exact"/>
        </w:trPr>
        <w:tc>
          <w:tcPr>
            <w:tcW w:w="779" w:type="dxa"/>
            <w:tcBorders>
              <w:top w:val="nil" w:sz="6" w:space="0" w:color="auto"/>
              <w:left w:val="nil" w:sz="6" w:space="0" w:color="auto"/>
              <w:bottom w:val="nil" w:sz="6" w:space="0" w:color="auto"/>
              <w:right w:val="nil" w:sz="6" w:space="0" w:color="auto"/>
            </w:tcBorders>
          </w:tcPr>
          <w:p>
            <w:pPr/>
          </w:p>
        </w:tc>
        <w:tc>
          <w:tcPr>
            <w:tcW w:w="620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148" w:right="0"/>
              <w:jc w:val="left"/>
              <w:rPr>
                <w:rFonts w:ascii="宋体" w:hAnsi="宋体" w:cs="宋体" w:eastAsia="宋体" w:hint="default"/>
                <w:sz w:val="24"/>
                <w:szCs w:val="24"/>
              </w:rPr>
            </w:pPr>
            <w:r>
              <w:rPr>
                <w:rFonts w:ascii="宋体" w:hAnsi="宋体" w:cs="宋体" w:eastAsia="宋体" w:hint="default"/>
                <w:sz w:val="24"/>
                <w:szCs w:val="24"/>
              </w:rPr>
              <w:t>联营企业的基本情况及相关信息见附注五</w:t>
            </w:r>
            <w:r>
              <w:rPr>
                <w:rFonts w:ascii="Arial" w:hAnsi="Arial" w:cs="Arial" w:eastAsia="Arial" w:hint="default"/>
                <w:sz w:val="24"/>
                <w:szCs w:val="24"/>
              </w:rPr>
              <w:t>(9)</w:t>
            </w:r>
            <w:r>
              <w:rPr>
                <w:rFonts w:ascii="宋体" w:hAnsi="宋体" w:cs="宋体" w:eastAsia="宋体" w:hint="default"/>
                <w:sz w:val="24"/>
                <w:szCs w:val="24"/>
              </w:rPr>
              <w:t>。</w:t>
            </w:r>
          </w:p>
        </w:tc>
        <w:tc>
          <w:tcPr>
            <w:tcW w:w="42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Times New Roman" w:hAnsi="Times New Roman" w:cs="Times New Roman" w:eastAsia="Times New Roman"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712"/>
        <w:gridCol w:w="3833"/>
        <w:gridCol w:w="3763"/>
        <w:gridCol w:w="1951"/>
      </w:tblGrid>
      <w:tr>
        <w:trPr>
          <w:trHeight w:val="417"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w:t>
            </w:r>
          </w:p>
        </w:tc>
        <w:tc>
          <w:tcPr>
            <w:tcW w:w="3833" w:type="dxa"/>
            <w:tcBorders>
              <w:top w:val="nil" w:sz="6" w:space="0" w:color="auto"/>
              <w:left w:val="nil" w:sz="6" w:space="0" w:color="auto"/>
              <w:bottom w:val="nil" w:sz="6" w:space="0" w:color="auto"/>
              <w:right w:val="nil" w:sz="6" w:space="0" w:color="auto"/>
            </w:tcBorders>
          </w:tcPr>
          <w:p>
            <w:pPr>
              <w:pStyle w:val="TableParagraph"/>
              <w:spacing w:line="245" w:lineRule="exact"/>
              <w:ind w:left="218" w:right="0"/>
              <w:jc w:val="left"/>
              <w:rPr>
                <w:rFonts w:ascii="宋体" w:hAnsi="宋体" w:cs="宋体" w:eastAsia="宋体" w:hint="default"/>
                <w:sz w:val="24"/>
                <w:szCs w:val="24"/>
              </w:rPr>
            </w:pPr>
            <w:r>
              <w:rPr>
                <w:rFonts w:ascii="宋体" w:hAnsi="宋体" w:cs="宋体" w:eastAsia="宋体" w:hint="default"/>
                <w:b/>
                <w:bCs/>
                <w:sz w:val="24"/>
                <w:szCs w:val="24"/>
              </w:rPr>
              <w:t>其他关联方情况</w:t>
            </w:r>
            <w:r>
              <w:rPr>
                <w:rFonts w:ascii="宋体" w:hAnsi="宋体" w:cs="宋体" w:eastAsia="宋体" w:hint="default"/>
                <w:sz w:val="24"/>
                <w:szCs w:val="24"/>
              </w:rPr>
            </w:r>
          </w:p>
        </w:tc>
        <w:tc>
          <w:tcPr>
            <w:tcW w:w="3763"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r>
      <w:tr>
        <w:trPr>
          <w:trHeight w:val="536"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5"/>
              <w:jc w:val="right"/>
              <w:rPr>
                <w:rFonts w:ascii="宋体" w:hAnsi="宋体" w:cs="宋体" w:eastAsia="宋体" w:hint="default"/>
                <w:sz w:val="21"/>
                <w:szCs w:val="21"/>
              </w:rPr>
            </w:pPr>
            <w:r>
              <w:rPr>
                <w:rFonts w:ascii="宋体" w:hAnsi="宋体" w:cs="宋体" w:eastAsia="宋体" w:hint="default"/>
                <w:spacing w:val="-1"/>
                <w:sz w:val="21"/>
                <w:szCs w:val="21"/>
              </w:rPr>
              <w:t>与本集团的关系</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8"/>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677"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73" w:lineRule="exact" w:before="88"/>
              <w:ind w:left="218" w:right="0"/>
              <w:jc w:val="left"/>
              <w:rPr>
                <w:rFonts w:ascii="宋体" w:hAnsi="宋体" w:cs="宋体" w:eastAsia="宋体" w:hint="default"/>
                <w:sz w:val="21"/>
                <w:szCs w:val="21"/>
              </w:rPr>
            </w:pPr>
            <w:r>
              <w:rPr>
                <w:rFonts w:ascii="宋体" w:hAnsi="宋体" w:cs="宋体" w:eastAsia="宋体" w:hint="default"/>
                <w:sz w:val="21"/>
                <w:szCs w:val="21"/>
              </w:rPr>
              <w:t>江苏苏宁环球集团有限公司</w:t>
            </w:r>
          </w:p>
          <w:p>
            <w:pPr>
              <w:pStyle w:val="TableParagraph"/>
              <w:spacing w:line="288" w:lineRule="exact"/>
              <w:ind w:left="429"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环球集团</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73" w:lineRule="exact" w:before="88"/>
              <w:ind w:left="931" w:right="0"/>
              <w:jc w:val="left"/>
              <w:rPr>
                <w:rFonts w:ascii="宋体" w:hAnsi="宋体" w:cs="宋体" w:eastAsia="宋体" w:hint="default"/>
                <w:sz w:val="21"/>
                <w:szCs w:val="21"/>
              </w:rPr>
            </w:pPr>
            <w:r>
              <w:rPr>
                <w:rFonts w:ascii="宋体" w:hAnsi="宋体" w:cs="宋体" w:eastAsia="宋体" w:hint="default"/>
                <w:sz w:val="21"/>
                <w:szCs w:val="21"/>
              </w:rPr>
              <w:t>法定代表人系张近东先生</w:t>
            </w:r>
          </w:p>
          <w:p>
            <w:pPr>
              <w:pStyle w:val="TableParagraph"/>
              <w:spacing w:line="273" w:lineRule="exact"/>
              <w:ind w:left="2402" w:right="0"/>
              <w:jc w:val="left"/>
              <w:rPr>
                <w:rFonts w:ascii="宋体" w:hAnsi="宋体" w:cs="宋体" w:eastAsia="宋体" w:hint="default"/>
                <w:sz w:val="21"/>
                <w:szCs w:val="21"/>
              </w:rPr>
            </w:pPr>
            <w:r>
              <w:rPr>
                <w:rFonts w:ascii="宋体" w:hAnsi="宋体" w:cs="宋体" w:eastAsia="宋体" w:hint="default"/>
                <w:sz w:val="21"/>
                <w:szCs w:val="21"/>
              </w:rPr>
              <w:t>家庭成员</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Arial" w:hAnsi="Arial" w:cs="Arial" w:eastAsia="Arial" w:hint="default"/>
                <w:sz w:val="21"/>
                <w:szCs w:val="21"/>
              </w:rPr>
            </w:pPr>
            <w:r>
              <w:rPr>
                <w:rFonts w:ascii="Arial"/>
                <w:spacing w:val="-1"/>
                <w:sz w:val="21"/>
              </w:rPr>
              <w:t>12448291-0</w:t>
            </w:r>
          </w:p>
        </w:tc>
      </w:tr>
      <w:tr>
        <w:trPr>
          <w:trHeight w:val="820"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30" w:lineRule="exact"/>
              <w:ind w:left="218" w:right="0"/>
              <w:jc w:val="left"/>
              <w:rPr>
                <w:rFonts w:ascii="宋体" w:hAnsi="宋体" w:cs="宋体" w:eastAsia="宋体" w:hint="default"/>
                <w:sz w:val="21"/>
                <w:szCs w:val="21"/>
              </w:rPr>
            </w:pPr>
            <w:r>
              <w:rPr>
                <w:rFonts w:ascii="宋体" w:hAnsi="宋体" w:cs="宋体" w:eastAsia="宋体" w:hint="default"/>
                <w:spacing w:val="8"/>
                <w:sz w:val="21"/>
                <w:szCs w:val="21"/>
              </w:rPr>
              <w:t>南京钟山国际高尔夫置业有限公司</w:t>
            </w:r>
          </w:p>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索菲特钟山高尔夫酒店</w:t>
            </w:r>
          </w:p>
          <w:p>
            <w:pPr>
              <w:pStyle w:val="TableParagraph"/>
              <w:spacing w:line="289" w:lineRule="exact"/>
              <w:ind w:left="429"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钟山高尔夫酒店</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4" w:lineRule="exact"/>
              <w:ind w:left="931" w:right="0"/>
              <w:jc w:val="left"/>
              <w:rPr>
                <w:rFonts w:ascii="宋体" w:hAnsi="宋体" w:cs="宋体" w:eastAsia="宋体" w:hint="default"/>
                <w:sz w:val="21"/>
                <w:szCs w:val="21"/>
              </w:rPr>
            </w:pPr>
            <w:r>
              <w:rPr>
                <w:rFonts w:ascii="宋体" w:hAnsi="宋体" w:cs="宋体" w:eastAsia="宋体" w:hint="default"/>
                <w:sz w:val="21"/>
                <w:szCs w:val="21"/>
              </w:rPr>
              <w:t>实际控制人系张近东先生</w:t>
            </w:r>
          </w:p>
          <w:p>
            <w:pPr>
              <w:pStyle w:val="TableParagraph"/>
              <w:spacing w:line="274" w:lineRule="exact"/>
              <w:ind w:left="2402" w:right="0"/>
              <w:jc w:val="left"/>
              <w:rPr>
                <w:rFonts w:ascii="宋体" w:hAnsi="宋体" w:cs="宋体" w:eastAsia="宋体" w:hint="default"/>
                <w:sz w:val="21"/>
                <w:szCs w:val="21"/>
              </w:rPr>
            </w:pPr>
            <w:r>
              <w:rPr>
                <w:rFonts w:ascii="宋体" w:hAnsi="宋体" w:cs="宋体" w:eastAsia="宋体" w:hint="default"/>
                <w:sz w:val="21"/>
                <w:szCs w:val="21"/>
              </w:rPr>
              <w:t>家庭成员</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9"/>
                <w:szCs w:val="29"/>
              </w:rPr>
            </w:pPr>
          </w:p>
          <w:p>
            <w:pPr>
              <w:pStyle w:val="TableParagraph"/>
              <w:spacing w:line="240" w:lineRule="auto"/>
              <w:ind w:right="198"/>
              <w:jc w:val="right"/>
              <w:rPr>
                <w:rFonts w:ascii="Arial" w:hAnsi="Arial" w:cs="Arial" w:eastAsia="Arial" w:hint="default"/>
                <w:sz w:val="21"/>
                <w:szCs w:val="21"/>
              </w:rPr>
            </w:pPr>
            <w:r>
              <w:rPr>
                <w:rFonts w:ascii="Arial"/>
                <w:spacing w:val="-1"/>
                <w:sz w:val="21"/>
              </w:rPr>
              <w:t>78380394-1</w:t>
            </w:r>
          </w:p>
        </w:tc>
      </w:tr>
      <w:tr>
        <w:trPr>
          <w:trHeight w:val="546"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30" w:lineRule="exact"/>
              <w:ind w:left="218" w:right="0"/>
              <w:jc w:val="left"/>
              <w:rPr>
                <w:rFonts w:ascii="宋体" w:hAnsi="宋体" w:cs="宋体" w:eastAsia="宋体" w:hint="default"/>
                <w:sz w:val="21"/>
                <w:szCs w:val="21"/>
              </w:rPr>
            </w:pPr>
            <w:r>
              <w:rPr>
                <w:rFonts w:ascii="宋体" w:hAnsi="宋体" w:cs="宋体" w:eastAsia="宋体" w:hint="default"/>
                <w:spacing w:val="8"/>
                <w:sz w:val="21"/>
                <w:szCs w:val="21"/>
              </w:rPr>
              <w:t>江苏苏宁银河国际购物广场有限公</w:t>
            </w:r>
          </w:p>
          <w:p>
            <w:pPr>
              <w:pStyle w:val="TableParagraph"/>
              <w:spacing w:line="289" w:lineRule="exact"/>
              <w:ind w:left="429" w:right="0"/>
              <w:jc w:val="left"/>
              <w:rPr>
                <w:rFonts w:ascii="Arial" w:hAnsi="Arial" w:cs="Arial" w:eastAsia="Arial" w:hint="default"/>
                <w:sz w:val="21"/>
                <w:szCs w:val="21"/>
              </w:rPr>
            </w:pPr>
            <w:r>
              <w:rPr>
                <w:rFonts w:ascii="宋体" w:hAnsi="宋体" w:cs="宋体" w:eastAsia="宋体" w:hint="default"/>
                <w:sz w:val="21"/>
                <w:szCs w:val="21"/>
              </w:rPr>
              <w:t>司</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银河国际购物广场</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515"/>
              <w:jc w:val="right"/>
              <w:rPr>
                <w:rFonts w:ascii="宋体" w:hAnsi="宋体" w:cs="宋体" w:eastAsia="宋体" w:hint="default"/>
                <w:sz w:val="21"/>
                <w:szCs w:val="21"/>
              </w:rPr>
            </w:pPr>
            <w:r>
              <w:rPr>
                <w:rFonts w:ascii="宋体" w:hAnsi="宋体" w:cs="宋体" w:eastAsia="宋体" w:hint="default"/>
                <w:spacing w:val="-2"/>
                <w:sz w:val="21"/>
                <w:szCs w:val="21"/>
              </w:rPr>
              <w:t>苏宁电器集团有限公司之子公司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77377182-7</w:t>
            </w:r>
          </w:p>
        </w:tc>
      </w:tr>
      <w:tr>
        <w:trPr>
          <w:trHeight w:val="546"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30" w:lineRule="exact"/>
              <w:ind w:left="218" w:right="0"/>
              <w:jc w:val="left"/>
              <w:rPr>
                <w:rFonts w:ascii="宋体" w:hAnsi="宋体" w:cs="宋体" w:eastAsia="宋体" w:hint="default"/>
                <w:sz w:val="21"/>
                <w:szCs w:val="21"/>
              </w:rPr>
            </w:pPr>
            <w:r>
              <w:rPr>
                <w:rFonts w:ascii="宋体" w:hAnsi="宋体" w:cs="宋体" w:eastAsia="宋体" w:hint="default"/>
                <w:sz w:val="21"/>
                <w:szCs w:val="21"/>
              </w:rPr>
              <w:t>江苏苏宁银河酒店管理有限公司</w:t>
            </w:r>
          </w:p>
          <w:p>
            <w:pPr>
              <w:pStyle w:val="TableParagraph"/>
              <w:spacing w:line="289" w:lineRule="exact"/>
              <w:ind w:left="429"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银河酒店管理公司</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15"/>
              <w:jc w:val="right"/>
              <w:rPr>
                <w:rFonts w:ascii="宋体" w:hAnsi="宋体" w:cs="宋体" w:eastAsia="宋体" w:hint="default"/>
                <w:sz w:val="21"/>
                <w:szCs w:val="21"/>
              </w:rPr>
            </w:pPr>
            <w:r>
              <w:rPr>
                <w:rFonts w:ascii="宋体" w:hAnsi="宋体" w:cs="宋体" w:eastAsia="宋体" w:hint="default"/>
                <w:spacing w:val="-2"/>
                <w:sz w:val="21"/>
                <w:szCs w:val="21"/>
              </w:rPr>
              <w:t>苏宁电器集团有限公司之子公司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77203344-3</w:t>
            </w:r>
          </w:p>
        </w:tc>
      </w:tr>
      <w:tr>
        <w:trPr>
          <w:trHeight w:val="820"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29" w:lineRule="exact"/>
              <w:ind w:left="218" w:right="0"/>
              <w:jc w:val="left"/>
              <w:rPr>
                <w:rFonts w:ascii="宋体" w:hAnsi="宋体" w:cs="宋体" w:eastAsia="宋体" w:hint="default"/>
                <w:sz w:val="21"/>
                <w:szCs w:val="21"/>
              </w:rPr>
            </w:pPr>
            <w:r>
              <w:rPr>
                <w:rFonts w:ascii="宋体" w:hAnsi="宋体" w:cs="宋体" w:eastAsia="宋体" w:hint="default"/>
                <w:spacing w:val="8"/>
                <w:sz w:val="21"/>
                <w:szCs w:val="21"/>
              </w:rPr>
              <w:t>南京银河房地产开发有限公司索菲</w:t>
            </w:r>
          </w:p>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w w:val="100"/>
                <w:sz w:val="21"/>
                <w:szCs w:val="21"/>
              </w:rPr>
              <w:t>特</w:t>
            </w:r>
          </w:p>
          <w:p>
            <w:pPr>
              <w:pStyle w:val="TableParagraph"/>
              <w:spacing w:line="289" w:lineRule="exact"/>
              <w:ind w:left="443" w:right="0"/>
              <w:jc w:val="left"/>
              <w:rPr>
                <w:rFonts w:ascii="Arial" w:hAnsi="Arial" w:cs="Arial" w:eastAsia="Arial" w:hint="default"/>
                <w:sz w:val="21"/>
                <w:szCs w:val="21"/>
              </w:rPr>
            </w:pPr>
            <w:r>
              <w:rPr>
                <w:rFonts w:ascii="宋体" w:hAnsi="宋体" w:cs="宋体" w:eastAsia="宋体" w:hint="default"/>
                <w:sz w:val="21"/>
                <w:szCs w:val="21"/>
              </w:rPr>
              <w:t>银河大酒店</w:t>
            </w: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索菲特银河大酒店</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4" w:lineRule="exact"/>
              <w:ind w:left="328" w:right="486" w:firstLine="1613"/>
              <w:jc w:val="left"/>
              <w:rPr>
                <w:rFonts w:ascii="宋体" w:hAnsi="宋体" w:cs="宋体" w:eastAsia="宋体" w:hint="default"/>
                <w:sz w:val="21"/>
                <w:szCs w:val="21"/>
              </w:rPr>
            </w:pPr>
            <w:r>
              <w:rPr>
                <w:rFonts w:ascii="宋体" w:hAnsi="宋体" w:cs="宋体" w:eastAsia="宋体" w:hint="default"/>
                <w:spacing w:val="-1"/>
                <w:sz w:val="21"/>
                <w:szCs w:val="21"/>
              </w:rPr>
              <w:t>本公司关联方</w:t>
            </w:r>
            <w:r>
              <w:rPr>
                <w:rFonts w:ascii="Arial" w:hAnsi="Arial" w:cs="Arial" w:eastAsia="Arial" w:hint="default"/>
                <w:spacing w:val="-1"/>
                <w:sz w:val="21"/>
                <w:szCs w:val="21"/>
              </w:rPr>
              <w:t>-</w:t>
            </w:r>
            <w:r>
              <w:rPr>
                <w:rFonts w:ascii="Arial" w:hAnsi="Arial" w:cs="Arial" w:eastAsia="Arial" w:hint="default"/>
                <w:w w:val="100"/>
                <w:sz w:val="21"/>
                <w:szCs w:val="21"/>
              </w:rPr>
              <w:t> </w:t>
            </w:r>
            <w:r>
              <w:rPr>
                <w:rFonts w:ascii="宋体" w:hAnsi="宋体" w:cs="宋体" w:eastAsia="宋体" w:hint="default"/>
                <w:spacing w:val="-2"/>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Arial" w:hAnsi="Arial" w:cs="Arial" w:eastAsia="Arial" w:hint="default"/>
                <w:sz w:val="21"/>
                <w:szCs w:val="21"/>
              </w:rPr>
            </w:pPr>
            <w:r>
              <w:rPr>
                <w:rFonts w:ascii="Arial"/>
                <w:spacing w:val="-1"/>
                <w:sz w:val="21"/>
              </w:rPr>
              <w:t>67131631-3</w:t>
            </w:r>
          </w:p>
        </w:tc>
      </w:tr>
      <w:tr>
        <w:trPr>
          <w:trHeight w:val="525" w:hRule="exact"/>
        </w:trPr>
        <w:tc>
          <w:tcPr>
            <w:tcW w:w="712" w:type="dxa"/>
            <w:tcBorders>
              <w:top w:val="nil" w:sz="6" w:space="0" w:color="auto"/>
              <w:left w:val="nil" w:sz="6" w:space="0" w:color="auto"/>
              <w:bottom w:val="nil" w:sz="6" w:space="0" w:color="auto"/>
              <w:right w:val="nil" w:sz="6" w:space="0" w:color="auto"/>
            </w:tcBorders>
          </w:tcPr>
          <w:p>
            <w:pPr/>
          </w:p>
        </w:tc>
        <w:tc>
          <w:tcPr>
            <w:tcW w:w="3833" w:type="dxa"/>
            <w:tcBorders>
              <w:top w:val="nil" w:sz="6" w:space="0" w:color="auto"/>
              <w:left w:val="nil" w:sz="6" w:space="0" w:color="auto"/>
              <w:bottom w:val="nil" w:sz="6" w:space="0" w:color="auto"/>
              <w:right w:val="nil" w:sz="6" w:space="0" w:color="auto"/>
            </w:tcBorders>
          </w:tcPr>
          <w:p>
            <w:pPr>
              <w:pStyle w:val="TableParagraph"/>
              <w:spacing w:line="229" w:lineRule="exact"/>
              <w:ind w:left="218" w:right="0"/>
              <w:jc w:val="left"/>
              <w:rPr>
                <w:rFonts w:ascii="宋体" w:hAnsi="宋体" w:cs="宋体" w:eastAsia="宋体" w:hint="default"/>
                <w:sz w:val="21"/>
                <w:szCs w:val="21"/>
              </w:rPr>
            </w:pPr>
            <w:r>
              <w:rPr>
                <w:rFonts w:ascii="宋体" w:hAnsi="宋体" w:cs="宋体" w:eastAsia="宋体" w:hint="default"/>
                <w:sz w:val="21"/>
                <w:szCs w:val="21"/>
              </w:rPr>
              <w:t>苏宁置业集团有限公司</w:t>
            </w:r>
          </w:p>
          <w:p>
            <w:pPr>
              <w:pStyle w:val="TableParagraph"/>
              <w:spacing w:line="288" w:lineRule="exact"/>
              <w:ind w:left="431"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苏宁置业</w:t>
            </w:r>
            <w:r>
              <w:rPr>
                <w:rFonts w:ascii="Arial" w:hAnsi="Arial" w:cs="Arial" w:eastAsia="Arial" w:hint="default"/>
                <w:sz w:val="21"/>
                <w:szCs w:val="21"/>
              </w:rPr>
              <w:t>”</w:t>
            </w:r>
            <w:r>
              <w:rPr>
                <w:rFonts w:ascii="Arial" w:hAnsi="Arial" w:cs="Arial" w:eastAsia="Arial" w:hint="default"/>
                <w:sz w:val="21"/>
                <w:szCs w:val="21"/>
              </w:rPr>
              <w:t>)</w:t>
            </w: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515"/>
              <w:jc w:val="right"/>
              <w:rPr>
                <w:rFonts w:ascii="宋体" w:hAnsi="宋体" w:cs="宋体" w:eastAsia="宋体" w:hint="default"/>
                <w:sz w:val="21"/>
                <w:szCs w:val="21"/>
              </w:rPr>
            </w:pPr>
            <w:r>
              <w:rPr>
                <w:rFonts w:ascii="宋体" w:hAnsi="宋体" w:cs="宋体" w:eastAsia="宋体" w:hint="default"/>
                <w:spacing w:val="-2"/>
                <w:sz w:val="21"/>
                <w:szCs w:val="21"/>
              </w:rPr>
              <w:t>与本公司受同一实际控制人控制</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77804414-3</w:t>
            </w:r>
          </w:p>
        </w:tc>
      </w:tr>
    </w:tbl>
    <w:p>
      <w:pPr>
        <w:spacing w:after="0" w:line="240" w:lineRule="auto"/>
        <w:jc w:val="right"/>
        <w:rPr>
          <w:rFonts w:ascii="Arial" w:hAnsi="Arial" w:cs="Arial" w:eastAsia="Arial" w:hint="default"/>
          <w:sz w:val="21"/>
          <w:szCs w:val="21"/>
        </w:rPr>
        <w:sectPr>
          <w:pgSz w:w="11910" w:h="16850"/>
          <w:pgMar w:header="754" w:footer="956" w:top="2240" w:bottom="1140" w:left="76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779"/>
        <w:gridCol w:w="3370"/>
        <w:gridCol w:w="4159"/>
        <w:gridCol w:w="1951"/>
      </w:tblGrid>
      <w:tr>
        <w:trPr>
          <w:trHeight w:val="699"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Arial" w:hAnsi="Arial" w:cs="Arial" w:eastAsia="Arial" w:hint="default"/>
                <w:sz w:val="24"/>
                <w:szCs w:val="24"/>
              </w:rPr>
            </w:pPr>
            <w:r>
              <w:rPr>
                <w:rFonts w:ascii="Arial"/>
                <w:sz w:val="24"/>
              </w:rPr>
              <w:t>(4)</w:t>
            </w:r>
          </w:p>
        </w:tc>
        <w:tc>
          <w:tcPr>
            <w:tcW w:w="3370"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51" w:right="0"/>
              <w:jc w:val="left"/>
              <w:rPr>
                <w:rFonts w:ascii="Arial" w:hAnsi="Arial" w:cs="Arial" w:eastAsia="Arial" w:hint="default"/>
                <w:sz w:val="24"/>
                <w:szCs w:val="24"/>
              </w:rPr>
            </w:pPr>
            <w:r>
              <w:rPr>
                <w:rFonts w:ascii="宋体" w:hAnsi="宋体" w:cs="宋体" w:eastAsia="宋体" w:hint="default"/>
                <w:b/>
                <w:bCs/>
                <w:sz w:val="24"/>
                <w:szCs w:val="24"/>
              </w:rPr>
              <w:t>其他关联方情况</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4159" w:type="dxa"/>
            <w:tcBorders>
              <w:top w:val="single" w:sz="6" w:space="0" w:color="000000"/>
              <w:left w:val="nil" w:sz="6" w:space="0" w:color="auto"/>
              <w:bottom w:val="nil" w:sz="6" w:space="0" w:color="auto"/>
              <w:right w:val="nil" w:sz="6" w:space="0" w:color="auto"/>
            </w:tcBorders>
          </w:tcPr>
          <w:p>
            <w:pPr/>
          </w:p>
        </w:tc>
        <w:tc>
          <w:tcPr>
            <w:tcW w:w="1951" w:type="dxa"/>
            <w:tcBorders>
              <w:top w:val="single" w:sz="6" w:space="0" w:color="000000"/>
              <w:left w:val="nil" w:sz="6" w:space="0" w:color="auto"/>
              <w:bottom w:val="nil" w:sz="6" w:space="0" w:color="auto"/>
              <w:right w:val="nil" w:sz="6" w:space="0" w:color="auto"/>
            </w:tcBorders>
          </w:tcPr>
          <w:p>
            <w:pPr/>
          </w:p>
        </w:tc>
      </w:tr>
      <w:tr>
        <w:trPr>
          <w:trHeight w:val="528"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
        </w:tc>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15"/>
              <w:jc w:val="right"/>
              <w:rPr>
                <w:rFonts w:ascii="宋体" w:hAnsi="宋体" w:cs="宋体" w:eastAsia="宋体" w:hint="default"/>
                <w:sz w:val="21"/>
                <w:szCs w:val="21"/>
              </w:rPr>
            </w:pPr>
            <w:r>
              <w:rPr>
                <w:rFonts w:ascii="宋体" w:hAnsi="宋体" w:cs="宋体" w:eastAsia="宋体" w:hint="default"/>
                <w:spacing w:val="-1"/>
                <w:sz w:val="21"/>
                <w:szCs w:val="21"/>
              </w:rPr>
              <w:t>与本集团的关系</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8"/>
              <w:jc w:val="right"/>
              <w:rPr>
                <w:rFonts w:ascii="宋体" w:hAnsi="宋体" w:cs="宋体" w:eastAsia="宋体" w:hint="default"/>
                <w:sz w:val="21"/>
                <w:szCs w:val="21"/>
              </w:rPr>
            </w:pPr>
            <w:r>
              <w:rPr>
                <w:rFonts w:ascii="宋体" w:hAnsi="宋体" w:cs="宋体" w:eastAsia="宋体" w:hint="default"/>
                <w:spacing w:val="-1"/>
                <w:sz w:val="21"/>
                <w:szCs w:val="21"/>
              </w:rPr>
              <w:t>组织机构代码</w:t>
            </w:r>
          </w:p>
        </w:tc>
      </w:tr>
      <w:tr>
        <w:trPr>
          <w:trHeight w:val="678"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74" w:lineRule="exact" w:before="87"/>
              <w:ind w:left="151" w:right="0"/>
              <w:jc w:val="left"/>
              <w:rPr>
                <w:rFonts w:ascii="宋体" w:hAnsi="宋体" w:cs="宋体" w:eastAsia="宋体" w:hint="default"/>
                <w:sz w:val="21"/>
                <w:szCs w:val="21"/>
              </w:rPr>
            </w:pPr>
            <w:r>
              <w:rPr>
                <w:rFonts w:ascii="宋体" w:hAnsi="宋体" w:cs="宋体" w:eastAsia="宋体" w:hint="default"/>
                <w:sz w:val="21"/>
                <w:szCs w:val="21"/>
              </w:rPr>
              <w:t>江苏苏宁商业管理有限公司</w:t>
            </w:r>
          </w:p>
          <w:p>
            <w:pPr>
              <w:pStyle w:val="TableParagraph"/>
              <w:spacing w:line="289" w:lineRule="exact"/>
              <w:ind w:left="568"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苏宁商业管理公司</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515"/>
              <w:jc w:val="right"/>
              <w:rPr>
                <w:rFonts w:ascii="宋体" w:hAnsi="宋体" w:cs="宋体" w:eastAsia="宋体" w:hint="default"/>
                <w:sz w:val="21"/>
                <w:szCs w:val="21"/>
              </w:rPr>
            </w:pPr>
            <w:r>
              <w:rPr>
                <w:rFonts w:ascii="宋体" w:hAnsi="宋体" w:cs="宋体" w:eastAsia="宋体" w:hint="default"/>
                <w:spacing w:val="-2"/>
                <w:sz w:val="21"/>
                <w:szCs w:val="21"/>
              </w:rPr>
              <w:t>苏宁电器集团有限公司之子公司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Arial" w:hAnsi="Arial" w:cs="Arial" w:eastAsia="Arial" w:hint="default"/>
                <w:sz w:val="21"/>
                <w:szCs w:val="21"/>
              </w:rPr>
            </w:pPr>
            <w:r>
              <w:rPr>
                <w:rFonts w:ascii="Arial"/>
                <w:spacing w:val="-1"/>
                <w:sz w:val="21"/>
              </w:rPr>
              <w:t>55713952-8</w:t>
            </w:r>
          </w:p>
        </w:tc>
      </w:tr>
      <w:tr>
        <w:trPr>
          <w:trHeight w:val="546"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right="542"/>
              <w:jc w:val="center"/>
              <w:rPr>
                <w:rFonts w:ascii="宋体" w:hAnsi="宋体" w:cs="宋体" w:eastAsia="宋体" w:hint="default"/>
                <w:sz w:val="21"/>
                <w:szCs w:val="21"/>
              </w:rPr>
            </w:pPr>
            <w:r>
              <w:rPr>
                <w:rFonts w:ascii="宋体" w:hAnsi="宋体" w:cs="宋体" w:eastAsia="宋体" w:hint="default"/>
                <w:sz w:val="21"/>
                <w:szCs w:val="21"/>
              </w:rPr>
              <w:t>南京玄武苏宁置业有限公司</w:t>
            </w:r>
          </w:p>
          <w:p>
            <w:pPr>
              <w:pStyle w:val="TableParagraph"/>
              <w:spacing w:line="289" w:lineRule="exact"/>
              <w:ind w:right="687"/>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玄武苏宁置业</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38" w:lineRule="exact"/>
              <w:ind w:left="696" w:right="0" w:firstLine="1642"/>
              <w:jc w:val="left"/>
              <w:rPr>
                <w:rFonts w:ascii="Arial" w:hAnsi="Arial" w:cs="Arial" w:eastAsia="Arial" w:hint="default"/>
                <w:sz w:val="21"/>
                <w:szCs w:val="21"/>
              </w:rPr>
            </w:pPr>
            <w:r>
              <w:rPr>
                <w:rFonts w:ascii="宋体" w:hAnsi="宋体" w:cs="宋体" w:eastAsia="宋体" w:hint="default"/>
                <w:sz w:val="21"/>
                <w:szCs w:val="21"/>
              </w:rPr>
              <w:t>本公司关联方</w:t>
            </w:r>
            <w:r>
              <w:rPr>
                <w:rFonts w:ascii="Arial" w:hAnsi="Arial" w:cs="Arial" w:eastAsia="Arial" w:hint="default"/>
                <w:sz w:val="21"/>
                <w:szCs w:val="21"/>
              </w:rPr>
              <w:t>-</w:t>
            </w:r>
          </w:p>
          <w:p>
            <w:pPr>
              <w:pStyle w:val="TableParagraph"/>
              <w:spacing w:line="267" w:lineRule="exact"/>
              <w:ind w:left="696" w:right="0"/>
              <w:jc w:val="left"/>
              <w:rPr>
                <w:rFonts w:ascii="宋体" w:hAnsi="宋体" w:cs="宋体" w:eastAsia="宋体" w:hint="default"/>
                <w:sz w:val="21"/>
                <w:szCs w:val="21"/>
              </w:rPr>
            </w:pPr>
            <w:r>
              <w:rPr>
                <w:rFonts w:ascii="宋体" w:hAnsi="宋体" w:cs="宋体" w:eastAsia="宋体" w:hint="default"/>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69836887-7</w:t>
            </w:r>
          </w:p>
        </w:tc>
      </w:tr>
      <w:tr>
        <w:trPr>
          <w:trHeight w:val="547"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right="542"/>
              <w:jc w:val="center"/>
              <w:rPr>
                <w:rFonts w:ascii="宋体" w:hAnsi="宋体" w:cs="宋体" w:eastAsia="宋体" w:hint="default"/>
                <w:sz w:val="21"/>
                <w:szCs w:val="21"/>
              </w:rPr>
            </w:pPr>
            <w:r>
              <w:rPr>
                <w:rFonts w:ascii="宋体" w:hAnsi="宋体" w:cs="宋体" w:eastAsia="宋体" w:hint="default"/>
                <w:sz w:val="21"/>
                <w:szCs w:val="21"/>
              </w:rPr>
              <w:t>玄武苏宁银河诺富特大酒店</w:t>
            </w:r>
          </w:p>
          <w:p>
            <w:pPr>
              <w:pStyle w:val="TableParagraph"/>
              <w:spacing w:line="289" w:lineRule="exact"/>
              <w:ind w:right="475"/>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银河诺富特酒店</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37" w:lineRule="exact"/>
              <w:ind w:left="696" w:right="0" w:firstLine="1642"/>
              <w:jc w:val="left"/>
              <w:rPr>
                <w:rFonts w:ascii="Arial" w:hAnsi="Arial" w:cs="Arial" w:eastAsia="Arial" w:hint="default"/>
                <w:sz w:val="21"/>
                <w:szCs w:val="21"/>
              </w:rPr>
            </w:pPr>
            <w:r>
              <w:rPr>
                <w:rFonts w:ascii="宋体" w:hAnsi="宋体" w:cs="宋体" w:eastAsia="宋体" w:hint="default"/>
                <w:sz w:val="21"/>
                <w:szCs w:val="21"/>
              </w:rPr>
              <w:t>本公司关联方</w:t>
            </w:r>
            <w:r>
              <w:rPr>
                <w:rFonts w:ascii="Arial" w:hAnsi="Arial" w:cs="Arial" w:eastAsia="Arial" w:hint="default"/>
                <w:sz w:val="21"/>
                <w:szCs w:val="21"/>
              </w:rPr>
              <w:t>-</w:t>
            </w:r>
          </w:p>
          <w:p>
            <w:pPr>
              <w:pStyle w:val="TableParagraph"/>
              <w:spacing w:line="267" w:lineRule="exact"/>
              <w:ind w:left="696" w:right="0"/>
              <w:jc w:val="left"/>
              <w:rPr>
                <w:rFonts w:ascii="宋体" w:hAnsi="宋体" w:cs="宋体" w:eastAsia="宋体" w:hint="default"/>
                <w:sz w:val="21"/>
                <w:szCs w:val="21"/>
              </w:rPr>
            </w:pPr>
            <w:r>
              <w:rPr>
                <w:rFonts w:ascii="宋体" w:hAnsi="宋体" w:cs="宋体" w:eastAsia="宋体" w:hint="default"/>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56289062-3</w:t>
            </w:r>
          </w:p>
        </w:tc>
      </w:tr>
      <w:tr>
        <w:trPr>
          <w:trHeight w:val="546"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left="151" w:right="0"/>
              <w:jc w:val="left"/>
              <w:rPr>
                <w:rFonts w:ascii="宋体" w:hAnsi="宋体" w:cs="宋体" w:eastAsia="宋体" w:hint="default"/>
                <w:sz w:val="21"/>
                <w:szCs w:val="21"/>
              </w:rPr>
            </w:pPr>
            <w:r>
              <w:rPr>
                <w:rFonts w:ascii="宋体" w:hAnsi="宋体" w:cs="宋体" w:eastAsia="宋体" w:hint="default"/>
                <w:sz w:val="21"/>
                <w:szCs w:val="21"/>
              </w:rPr>
              <w:t>成都鸿业置业有限公司</w:t>
            </w:r>
          </w:p>
          <w:p>
            <w:pPr>
              <w:pStyle w:val="TableParagraph"/>
              <w:spacing w:line="289" w:lineRule="exact"/>
              <w:ind w:left="568" w:right="0"/>
              <w:jc w:val="left"/>
              <w:rPr>
                <w:rFonts w:ascii="Arial" w:hAnsi="Arial" w:cs="Arial" w:eastAsia="Arial" w:hint="default"/>
                <w:sz w:val="21"/>
                <w:szCs w:val="21"/>
              </w:rPr>
            </w:pPr>
            <w:r>
              <w:rPr>
                <w:rFonts w:ascii="Arial" w:hAnsi="Arial" w:cs="Arial" w:eastAsia="Arial" w:hint="default"/>
                <w:sz w:val="21"/>
                <w:szCs w:val="21"/>
              </w:rPr>
              <w:t>(</w:t>
            </w:r>
            <w:r>
              <w:rPr>
                <w:rFonts w:ascii="Arial" w:hAnsi="Arial" w:cs="Arial" w:eastAsia="Arial" w:hint="default"/>
                <w:sz w:val="21"/>
                <w:szCs w:val="21"/>
              </w:rPr>
              <w:t>“</w:t>
            </w:r>
            <w:r>
              <w:rPr>
                <w:rFonts w:ascii="宋体" w:hAnsi="宋体" w:cs="宋体" w:eastAsia="宋体" w:hint="default"/>
                <w:sz w:val="21"/>
                <w:szCs w:val="21"/>
              </w:rPr>
              <w:t>成都鸿业置业</w:t>
            </w:r>
            <w:r>
              <w:rPr>
                <w:rFonts w:ascii="Arial" w:hAnsi="Arial" w:cs="Arial" w:eastAsia="Arial" w:hint="default"/>
                <w:sz w:val="21"/>
                <w:szCs w:val="21"/>
              </w:rPr>
              <w:t>”</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38" w:lineRule="exact"/>
              <w:ind w:left="696" w:right="0" w:firstLine="1642"/>
              <w:jc w:val="left"/>
              <w:rPr>
                <w:rFonts w:ascii="Arial" w:hAnsi="Arial" w:cs="Arial" w:eastAsia="Arial" w:hint="default"/>
                <w:sz w:val="21"/>
                <w:szCs w:val="21"/>
              </w:rPr>
            </w:pPr>
            <w:r>
              <w:rPr>
                <w:rFonts w:ascii="宋体" w:hAnsi="宋体" w:cs="宋体" w:eastAsia="宋体" w:hint="default"/>
                <w:sz w:val="21"/>
                <w:szCs w:val="21"/>
              </w:rPr>
              <w:t>本公司关联方</w:t>
            </w:r>
            <w:r>
              <w:rPr>
                <w:rFonts w:ascii="Arial" w:hAnsi="Arial" w:cs="Arial" w:eastAsia="Arial" w:hint="default"/>
                <w:sz w:val="21"/>
                <w:szCs w:val="21"/>
              </w:rPr>
              <w:t>-</w:t>
            </w:r>
          </w:p>
          <w:p>
            <w:pPr>
              <w:pStyle w:val="TableParagraph"/>
              <w:spacing w:line="267" w:lineRule="exact"/>
              <w:ind w:left="696" w:right="0"/>
              <w:jc w:val="left"/>
              <w:rPr>
                <w:rFonts w:ascii="宋体" w:hAnsi="宋体" w:cs="宋体" w:eastAsia="宋体" w:hint="default"/>
                <w:sz w:val="21"/>
                <w:szCs w:val="21"/>
              </w:rPr>
            </w:pPr>
            <w:r>
              <w:rPr>
                <w:rFonts w:ascii="宋体" w:hAnsi="宋体" w:cs="宋体" w:eastAsia="宋体" w:hint="default"/>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67715769-1</w:t>
            </w:r>
          </w:p>
        </w:tc>
      </w:tr>
      <w:tr>
        <w:trPr>
          <w:trHeight w:val="546"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left="151" w:right="0"/>
              <w:jc w:val="left"/>
              <w:rPr>
                <w:rFonts w:ascii="宋体" w:hAnsi="宋体" w:cs="宋体" w:eastAsia="宋体" w:hint="default"/>
                <w:sz w:val="21"/>
                <w:szCs w:val="21"/>
              </w:rPr>
            </w:pPr>
            <w:r>
              <w:rPr>
                <w:rFonts w:ascii="宋体" w:hAnsi="宋体" w:cs="宋体" w:eastAsia="宋体" w:hint="default"/>
                <w:sz w:val="21"/>
                <w:szCs w:val="21"/>
              </w:rPr>
              <w:t>青岛苏宁置业有限公司</w:t>
            </w:r>
          </w:p>
          <w:p>
            <w:pPr>
              <w:pStyle w:val="TableParagraph"/>
              <w:spacing w:line="289" w:lineRule="exact"/>
              <w:ind w:left="568"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青岛苏宁置业</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37" w:lineRule="exact"/>
              <w:ind w:left="696" w:right="0" w:firstLine="1642"/>
              <w:jc w:val="left"/>
              <w:rPr>
                <w:rFonts w:ascii="Arial" w:hAnsi="Arial" w:cs="Arial" w:eastAsia="Arial" w:hint="default"/>
                <w:sz w:val="21"/>
                <w:szCs w:val="21"/>
              </w:rPr>
            </w:pPr>
            <w:r>
              <w:rPr>
                <w:rFonts w:ascii="宋体" w:hAnsi="宋体" w:cs="宋体" w:eastAsia="宋体" w:hint="default"/>
                <w:sz w:val="21"/>
                <w:szCs w:val="21"/>
              </w:rPr>
              <w:t>本公司关联方</w:t>
            </w:r>
            <w:r>
              <w:rPr>
                <w:rFonts w:ascii="Arial" w:hAnsi="Arial" w:cs="Arial" w:eastAsia="Arial" w:hint="default"/>
                <w:sz w:val="21"/>
                <w:szCs w:val="21"/>
              </w:rPr>
              <w:t>-</w:t>
            </w:r>
          </w:p>
          <w:p>
            <w:pPr>
              <w:pStyle w:val="TableParagraph"/>
              <w:spacing w:line="267" w:lineRule="exact"/>
              <w:ind w:left="696" w:right="0"/>
              <w:jc w:val="left"/>
              <w:rPr>
                <w:rFonts w:ascii="宋体" w:hAnsi="宋体" w:cs="宋体" w:eastAsia="宋体" w:hint="default"/>
                <w:sz w:val="21"/>
                <w:szCs w:val="21"/>
              </w:rPr>
            </w:pPr>
            <w:r>
              <w:rPr>
                <w:rFonts w:ascii="宋体" w:hAnsi="宋体" w:cs="宋体" w:eastAsia="宋体" w:hint="default"/>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69376067-7</w:t>
            </w:r>
          </w:p>
        </w:tc>
      </w:tr>
      <w:tr>
        <w:trPr>
          <w:trHeight w:val="546"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left="151" w:right="0"/>
              <w:jc w:val="left"/>
              <w:rPr>
                <w:rFonts w:ascii="宋体" w:hAnsi="宋体" w:cs="宋体" w:eastAsia="宋体" w:hint="default"/>
                <w:sz w:val="21"/>
                <w:szCs w:val="21"/>
              </w:rPr>
            </w:pPr>
            <w:r>
              <w:rPr>
                <w:rFonts w:ascii="宋体" w:hAnsi="宋体" w:cs="宋体" w:eastAsia="宋体" w:hint="default"/>
                <w:sz w:val="21"/>
                <w:szCs w:val="21"/>
              </w:rPr>
              <w:t>福州苏宁置业有限公司</w:t>
            </w:r>
          </w:p>
          <w:p>
            <w:pPr>
              <w:pStyle w:val="TableParagraph"/>
              <w:spacing w:line="289" w:lineRule="exact"/>
              <w:ind w:left="568" w:right="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福州苏宁置业</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515"/>
              <w:jc w:val="right"/>
              <w:rPr>
                <w:rFonts w:ascii="宋体" w:hAnsi="宋体" w:cs="宋体" w:eastAsia="宋体" w:hint="default"/>
                <w:sz w:val="21"/>
                <w:szCs w:val="21"/>
              </w:rPr>
            </w:pPr>
            <w:r>
              <w:rPr>
                <w:rFonts w:ascii="宋体" w:hAnsi="宋体" w:cs="宋体" w:eastAsia="宋体" w:hint="default"/>
                <w:spacing w:val="-2"/>
                <w:sz w:val="21"/>
                <w:szCs w:val="21"/>
              </w:rPr>
              <w:t>苏宁电器集团有限公司之子公司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57470863-0</w:t>
            </w:r>
          </w:p>
        </w:tc>
      </w:tr>
      <w:tr>
        <w:trPr>
          <w:trHeight w:val="526" w:hRule="exact"/>
        </w:trPr>
        <w:tc>
          <w:tcPr>
            <w:tcW w:w="779"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right="542"/>
              <w:jc w:val="center"/>
              <w:rPr>
                <w:rFonts w:ascii="宋体" w:hAnsi="宋体" w:cs="宋体" w:eastAsia="宋体" w:hint="default"/>
                <w:sz w:val="21"/>
                <w:szCs w:val="21"/>
              </w:rPr>
            </w:pPr>
            <w:r>
              <w:rPr>
                <w:rFonts w:ascii="宋体" w:hAnsi="宋体" w:cs="宋体" w:eastAsia="宋体" w:hint="default"/>
                <w:sz w:val="21"/>
                <w:szCs w:val="21"/>
              </w:rPr>
              <w:t>江苏银河物业管理有限公司</w:t>
            </w:r>
          </w:p>
          <w:p>
            <w:pPr>
              <w:pStyle w:val="TableParagraph"/>
              <w:spacing w:line="289" w:lineRule="exact"/>
              <w:ind w:right="687"/>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江苏银河物业</w:t>
            </w:r>
            <w:r>
              <w:rPr>
                <w:rFonts w:ascii="Arial" w:hAnsi="Arial" w:cs="Arial" w:eastAsia="Arial" w:hint="default"/>
                <w:sz w:val="21"/>
                <w:szCs w:val="21"/>
              </w:rPr>
              <w:t>”)</w:t>
            </w:r>
          </w:p>
        </w:tc>
        <w:tc>
          <w:tcPr>
            <w:tcW w:w="4159" w:type="dxa"/>
            <w:tcBorders>
              <w:top w:val="nil" w:sz="6" w:space="0" w:color="auto"/>
              <w:left w:val="nil" w:sz="6" w:space="0" w:color="auto"/>
              <w:bottom w:val="nil" w:sz="6" w:space="0" w:color="auto"/>
              <w:right w:val="nil" w:sz="6" w:space="0" w:color="auto"/>
            </w:tcBorders>
          </w:tcPr>
          <w:p>
            <w:pPr>
              <w:pStyle w:val="TableParagraph"/>
              <w:spacing w:line="237" w:lineRule="exact"/>
              <w:ind w:left="696" w:right="0" w:firstLine="1642"/>
              <w:jc w:val="left"/>
              <w:rPr>
                <w:rFonts w:ascii="Arial" w:hAnsi="Arial" w:cs="Arial" w:eastAsia="Arial" w:hint="default"/>
                <w:sz w:val="21"/>
                <w:szCs w:val="21"/>
              </w:rPr>
            </w:pPr>
            <w:r>
              <w:rPr>
                <w:rFonts w:ascii="宋体" w:hAnsi="宋体" w:cs="宋体" w:eastAsia="宋体" w:hint="default"/>
                <w:sz w:val="21"/>
                <w:szCs w:val="21"/>
              </w:rPr>
              <w:t>本公司关联方</w:t>
            </w:r>
            <w:r>
              <w:rPr>
                <w:rFonts w:ascii="Arial" w:hAnsi="Arial" w:cs="Arial" w:eastAsia="Arial" w:hint="default"/>
                <w:sz w:val="21"/>
                <w:szCs w:val="21"/>
              </w:rPr>
              <w:t>-</w:t>
            </w:r>
          </w:p>
          <w:p>
            <w:pPr>
              <w:pStyle w:val="TableParagraph"/>
              <w:spacing w:line="267" w:lineRule="exact"/>
              <w:ind w:left="696" w:right="0"/>
              <w:jc w:val="left"/>
              <w:rPr>
                <w:rFonts w:ascii="宋体" w:hAnsi="宋体" w:cs="宋体" w:eastAsia="宋体" w:hint="default"/>
                <w:sz w:val="21"/>
                <w:szCs w:val="21"/>
              </w:rPr>
            </w:pPr>
            <w:r>
              <w:rPr>
                <w:rFonts w:ascii="宋体" w:hAnsi="宋体" w:cs="宋体" w:eastAsia="宋体" w:hint="default"/>
                <w:sz w:val="21"/>
                <w:szCs w:val="21"/>
              </w:rPr>
              <w:t>苏宁置业集团有限公司之子公司</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1"/>
                <w:szCs w:val="21"/>
              </w:rPr>
            </w:pPr>
            <w:r>
              <w:rPr>
                <w:rFonts w:ascii="Arial"/>
                <w:spacing w:val="-1"/>
                <w:sz w:val="21"/>
              </w:rPr>
              <w:t>72058334-7</w:t>
            </w:r>
          </w:p>
        </w:tc>
      </w:tr>
    </w:tbl>
    <w:p>
      <w:pPr>
        <w:spacing w:after="0" w:line="240" w:lineRule="auto"/>
        <w:jc w:val="right"/>
        <w:rPr>
          <w:rFonts w:ascii="Arial" w:hAnsi="Arial" w:cs="Arial" w:eastAsia="Arial" w:hint="default"/>
          <w:sz w:val="21"/>
          <w:szCs w:val="21"/>
        </w:rPr>
        <w:sectPr>
          <w:pgSz w:w="11910" w:h="16850"/>
          <w:pgMar w:header="754" w:footer="956" w:top="2240" w:bottom="1140" w:left="760" w:right="0"/>
        </w:sectPr>
      </w:pPr>
    </w:p>
    <w:p>
      <w:pPr>
        <w:spacing w:line="240" w:lineRule="auto" w:before="7"/>
        <w:rPr>
          <w:rFonts w:ascii="Times New Roman" w:hAnsi="Times New Roman" w:cs="Times New Roman" w:eastAsia="Times New Roman" w:hint="default"/>
          <w:sz w:val="4"/>
          <w:szCs w:val="4"/>
        </w:rPr>
      </w:pPr>
      <w:r>
        <w:rPr/>
        <w:pict>
          <v:group style="position:absolute;margin-left:34.560001pt;margin-top:115.460014pt;width:737.05pt;height:.1pt;mso-position-horizontal-relative:page;mso-position-vertical-relative:page;z-index:-1358368" coordorigin="691,2309" coordsize="14741,2">
            <v:shape style="position:absolute;left:691;top:2309;width:14741;height:2" coordorigin="691,2309" coordsize="14741,0" path="m691,2309l15432,2309e" filled="false" stroked="true" strokeweight=".71999pt" strokecolor="#000000">
              <v:path arrowok="t"/>
            </v:shape>
            <w10:wrap type="none"/>
          </v:group>
        </w:pict>
      </w:r>
    </w:p>
    <w:tbl>
      <w:tblPr>
        <w:tblW w:w="0" w:type="auto"/>
        <w:jc w:val="left"/>
        <w:tblInd w:w="271" w:type="dxa"/>
        <w:tblLayout w:type="fixed"/>
        <w:tblCellMar>
          <w:top w:w="0" w:type="dxa"/>
          <w:left w:w="0" w:type="dxa"/>
          <w:bottom w:w="0" w:type="dxa"/>
          <w:right w:w="0" w:type="dxa"/>
        </w:tblCellMar>
        <w:tblLook w:val="01E0"/>
      </w:tblPr>
      <w:tblGrid>
        <w:gridCol w:w="512"/>
        <w:gridCol w:w="3008"/>
      </w:tblGrid>
      <w:tr>
        <w:trPr>
          <w:trHeight w:val="533" w:hRule="exact"/>
        </w:trPr>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8"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43"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01"/>
        <w:gridCol w:w="2201"/>
        <w:gridCol w:w="1484"/>
        <w:gridCol w:w="1974"/>
        <w:gridCol w:w="2141"/>
        <w:gridCol w:w="2160"/>
        <w:gridCol w:w="2099"/>
        <w:gridCol w:w="2150"/>
      </w:tblGrid>
      <w:tr>
        <w:trPr>
          <w:trHeight w:val="27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(5)</w:t>
            </w:r>
          </w:p>
        </w:tc>
        <w:tc>
          <w:tcPr>
            <w:tcW w:w="2201" w:type="dxa"/>
            <w:tcBorders>
              <w:top w:val="nil" w:sz="6" w:space="0" w:color="auto"/>
              <w:left w:val="nil" w:sz="6" w:space="0" w:color="auto"/>
              <w:bottom w:val="nil" w:sz="6" w:space="0" w:color="auto"/>
              <w:right w:val="nil" w:sz="6" w:space="0" w:color="auto"/>
            </w:tcBorders>
          </w:tcPr>
          <w:p>
            <w:pPr>
              <w:pStyle w:val="TableParagraph"/>
              <w:spacing w:line="245" w:lineRule="exact"/>
              <w:ind w:left="207" w:right="0"/>
              <w:jc w:val="left"/>
              <w:rPr>
                <w:rFonts w:ascii="宋体" w:hAnsi="宋体" w:cs="宋体" w:eastAsia="宋体" w:hint="default"/>
                <w:sz w:val="24"/>
                <w:szCs w:val="24"/>
              </w:rPr>
            </w:pPr>
            <w:r>
              <w:rPr>
                <w:rFonts w:ascii="宋体" w:hAnsi="宋体" w:cs="宋体" w:eastAsia="宋体" w:hint="default"/>
                <w:b/>
                <w:bCs/>
                <w:sz w:val="24"/>
                <w:szCs w:val="24"/>
              </w:rPr>
              <w:t>关联交易</w:t>
            </w:r>
            <w:r>
              <w:rPr>
                <w:rFonts w:ascii="宋体" w:hAnsi="宋体" w:cs="宋体" w:eastAsia="宋体" w:hint="default"/>
                <w:sz w:val="24"/>
                <w:szCs w:val="24"/>
              </w:rPr>
            </w:r>
          </w:p>
        </w:tc>
        <w:tc>
          <w:tcPr>
            <w:tcW w:w="1484"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r>
      <w:tr>
        <w:trPr>
          <w:trHeight w:val="45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
              <w:jc w:val="center"/>
              <w:rPr>
                <w:rFonts w:ascii="Arial" w:hAnsi="Arial" w:cs="Arial" w:eastAsia="Arial" w:hint="default"/>
                <w:sz w:val="24"/>
                <w:szCs w:val="24"/>
              </w:rPr>
            </w:pPr>
            <w:r>
              <w:rPr>
                <w:rFonts w:ascii="Arial"/>
                <w:sz w:val="24"/>
              </w:rPr>
              <w:t>(a)</w:t>
            </w:r>
          </w:p>
        </w:tc>
        <w:tc>
          <w:tcPr>
            <w:tcW w:w="2201" w:type="dxa"/>
            <w:tcBorders>
              <w:top w:val="nil" w:sz="6" w:space="0" w:color="auto"/>
              <w:left w:val="nil" w:sz="6" w:space="0" w:color="auto"/>
              <w:bottom w:val="nil" w:sz="6" w:space="0" w:color="auto"/>
              <w:right w:val="nil" w:sz="6" w:space="0" w:color="auto"/>
            </w:tcBorders>
          </w:tcPr>
          <w:p>
            <w:pPr>
              <w:pStyle w:val="TableParagraph"/>
              <w:spacing w:line="279" w:lineRule="exact"/>
              <w:ind w:left="207"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1484"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r>
      <w:tr>
        <w:trPr>
          <w:trHeight w:val="604" w:hRule="exact"/>
        </w:trPr>
        <w:tc>
          <w:tcPr>
            <w:tcW w:w="701" w:type="dxa"/>
            <w:tcBorders>
              <w:top w:val="nil" w:sz="6" w:space="0" w:color="auto"/>
              <w:left w:val="nil" w:sz="6" w:space="0" w:color="auto"/>
              <w:bottom w:val="nil" w:sz="6" w:space="0" w:color="auto"/>
              <w:right w:val="nil" w:sz="6" w:space="0" w:color="auto"/>
            </w:tcBorders>
          </w:tcPr>
          <w:p>
            <w:pP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07"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1974"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r>
      <w:tr>
        <w:trPr>
          <w:trHeight w:val="556"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93"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9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3"/>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6"/>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1"/>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5"/>
              <w:jc w:val="right"/>
              <w:rPr>
                <w:rFonts w:ascii="宋体" w:hAnsi="宋体" w:cs="宋体" w:eastAsia="宋体" w:hint="default"/>
                <w:sz w:val="18"/>
                <w:szCs w:val="18"/>
              </w:rPr>
            </w:pPr>
            <w:r>
              <w:rPr>
                <w:rFonts w:ascii="宋体" w:hAnsi="宋体" w:cs="宋体" w:eastAsia="宋体" w:hint="default"/>
                <w:sz w:val="18"/>
                <w:szCs w:val="18"/>
              </w:rPr>
              <w:t>年度确认的租赁费</w:t>
            </w:r>
          </w:p>
        </w:tc>
      </w:tr>
      <w:tr>
        <w:trPr>
          <w:trHeight w:val="564"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90"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0"/>
              <w:jc w:val="right"/>
              <w:rPr>
                <w:rFonts w:ascii="宋体" w:hAnsi="宋体" w:cs="宋体" w:eastAsia="宋体" w:hint="default"/>
                <w:sz w:val="18"/>
                <w:szCs w:val="18"/>
              </w:rPr>
            </w:pPr>
            <w:r>
              <w:rPr>
                <w:rFonts w:ascii="Arial" w:hAnsi="Arial" w:cs="Arial" w:eastAsia="Arial" w:hint="default"/>
                <w:sz w:val="18"/>
                <w:szCs w:val="18"/>
              </w:rPr>
              <w:t>2002 </w:t>
            </w:r>
            <w:r>
              <w:rPr>
                <w:rFonts w:ascii="宋体" w:hAnsi="宋体" w:cs="宋体" w:eastAsia="宋体" w:hint="default"/>
                <w:sz w:val="18"/>
                <w:szCs w:val="18"/>
              </w:rPr>
              <w:t>年 </w:t>
            </w:r>
            <w:r>
              <w:rPr>
                <w:rFonts w:ascii="Arial" w:hAnsi="Arial" w:cs="Arial" w:eastAsia="Arial" w:hint="default"/>
                <w:sz w:val="18"/>
                <w:szCs w:val="18"/>
              </w:rPr>
              <w:t>1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31</w:t>
            </w:r>
            <w:r>
              <w:rPr>
                <w:rFonts w:ascii="Arial" w:hAnsi="Arial" w:cs="Arial" w:eastAsia="Arial" w:hint="default"/>
                <w:spacing w:val="-13"/>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Arial" w:hAnsi="Arial" w:cs="Arial" w:eastAsia="Arial" w:hint="default"/>
                <w:sz w:val="18"/>
                <w:szCs w:val="18"/>
              </w:rPr>
            </w:pPr>
            <w:r>
              <w:rPr>
                <w:rFonts w:ascii="Arial"/>
                <w:spacing w:val="-1"/>
                <w:sz w:val="18"/>
              </w:rPr>
              <w:t>14,184</w:t>
            </w:r>
          </w:p>
        </w:tc>
      </w:tr>
      <w:tr>
        <w:trPr>
          <w:trHeight w:val="55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9"/>
              <w:jc w:val="right"/>
              <w:rPr>
                <w:rFonts w:ascii="宋体" w:hAnsi="宋体" w:cs="宋体" w:eastAsia="宋体" w:hint="default"/>
                <w:sz w:val="18"/>
                <w:szCs w:val="18"/>
              </w:rPr>
            </w:pPr>
            <w:r>
              <w:rPr>
                <w:rFonts w:ascii="Arial" w:hAnsi="Arial" w:cs="Arial" w:eastAsia="Arial" w:hint="default"/>
                <w:sz w:val="18"/>
                <w:szCs w:val="18"/>
              </w:rPr>
              <w:t>2004 </w:t>
            </w:r>
            <w:r>
              <w:rPr>
                <w:rFonts w:ascii="宋体" w:hAnsi="宋体" w:cs="宋体" w:eastAsia="宋体" w:hint="default"/>
                <w:sz w:val="18"/>
                <w:szCs w:val="18"/>
              </w:rPr>
              <w:t>年 </w:t>
            </w:r>
            <w:r>
              <w:rPr>
                <w:rFonts w:ascii="Arial" w:hAnsi="Arial" w:cs="Arial" w:eastAsia="Arial" w:hint="default"/>
                <w:sz w:val="18"/>
                <w:szCs w:val="18"/>
              </w:rPr>
              <w:t>9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19"/>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896</w:t>
            </w:r>
            <w:r>
              <w:rPr>
                <w:rFonts w:ascii="Arial"/>
                <w:sz w:val="18"/>
              </w:rPr>
            </w:r>
          </w:p>
        </w:tc>
      </w:tr>
      <w:tr>
        <w:trPr>
          <w:trHeight w:val="55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6"/>
              <w:jc w:val="right"/>
              <w:rPr>
                <w:rFonts w:ascii="宋体" w:hAnsi="宋体" w:cs="宋体" w:eastAsia="宋体" w:hint="default"/>
                <w:sz w:val="18"/>
                <w:szCs w:val="18"/>
              </w:rPr>
            </w:pPr>
            <w:r>
              <w:rPr>
                <w:rFonts w:ascii="Arial" w:hAnsi="Arial" w:cs="Arial" w:eastAsia="Arial" w:hint="default"/>
                <w:sz w:val="18"/>
                <w:szCs w:val="18"/>
              </w:rPr>
              <w:t>2007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23</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22</w:t>
            </w:r>
            <w:r>
              <w:rPr>
                <w:rFonts w:ascii="Arial" w:hAnsi="Arial" w:cs="Arial" w:eastAsia="Arial" w:hint="default"/>
                <w:spacing w:val="27"/>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Arial" w:hAnsi="Arial" w:cs="Arial" w:eastAsia="Arial" w:hint="default"/>
                <w:sz w:val="18"/>
                <w:szCs w:val="18"/>
              </w:rPr>
            </w:pPr>
            <w:r>
              <w:rPr>
                <w:rFonts w:ascii="Arial"/>
                <w:spacing w:val="-1"/>
                <w:sz w:val="18"/>
              </w:rPr>
              <w:t>21,051</w:t>
            </w:r>
            <w:r>
              <w:rPr>
                <w:rFonts w:ascii="Arial"/>
                <w:sz w:val="18"/>
              </w:rPr>
            </w:r>
          </w:p>
        </w:tc>
      </w:tr>
      <w:tr>
        <w:trPr>
          <w:trHeight w:val="55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6"/>
              <w:jc w:val="right"/>
              <w:rPr>
                <w:rFonts w:ascii="宋体" w:hAnsi="宋体" w:cs="宋体" w:eastAsia="宋体" w:hint="default"/>
                <w:sz w:val="18"/>
                <w:szCs w:val="18"/>
              </w:rPr>
            </w:pPr>
            <w:r>
              <w:rPr>
                <w:rFonts w:ascii="Arial" w:hAnsi="Arial" w:cs="Arial" w:eastAsia="Arial" w:hint="default"/>
                <w:sz w:val="18"/>
                <w:szCs w:val="18"/>
              </w:rPr>
              <w:t>2008 </w:t>
            </w:r>
            <w:r>
              <w:rPr>
                <w:rFonts w:ascii="宋体" w:hAnsi="宋体" w:cs="宋体" w:eastAsia="宋体" w:hint="default"/>
                <w:sz w:val="18"/>
                <w:szCs w:val="18"/>
              </w:rPr>
              <w:t>年 </w:t>
            </w:r>
            <w:r>
              <w:rPr>
                <w:rFonts w:ascii="Arial" w:hAnsi="Arial" w:cs="Arial" w:eastAsia="Arial" w:hint="default"/>
                <w:sz w:val="18"/>
                <w:szCs w:val="18"/>
              </w:rPr>
              <w:t>7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18"/>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z w:val="18"/>
                <w:szCs w:val="18"/>
              </w:rPr>
              <w:t>月 </w:t>
            </w:r>
            <w:r>
              <w:rPr>
                <w:rFonts w:ascii="Arial" w:hAnsi="Arial" w:cs="Arial" w:eastAsia="Arial" w:hint="default"/>
                <w:sz w:val="18"/>
                <w:szCs w:val="18"/>
              </w:rPr>
              <w:t>1</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Arial" w:hAnsi="Arial" w:cs="Arial" w:eastAsia="Arial" w:hint="default"/>
                <w:sz w:val="18"/>
                <w:szCs w:val="18"/>
              </w:rPr>
            </w:pPr>
            <w:r>
              <w:rPr>
                <w:rFonts w:ascii="Arial"/>
                <w:w w:val="95"/>
                <w:sz w:val="18"/>
              </w:rPr>
              <w:t>286</w:t>
            </w:r>
            <w:r>
              <w:rPr>
                <w:rFonts w:ascii="Arial"/>
                <w:sz w:val="18"/>
              </w:rPr>
            </w:r>
          </w:p>
        </w:tc>
      </w:tr>
      <w:tr>
        <w:trPr>
          <w:trHeight w:val="55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6"/>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304</w:t>
            </w:r>
            <w:r>
              <w:rPr>
                <w:rFonts w:ascii="Arial"/>
                <w:sz w:val="18"/>
              </w:rPr>
            </w:r>
          </w:p>
        </w:tc>
      </w:tr>
      <w:tr>
        <w:trPr>
          <w:trHeight w:val="55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广告位使用权</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6"/>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67</w:t>
            </w:r>
            <w:r>
              <w:rPr>
                <w:rFonts w:ascii="Arial"/>
                <w:sz w:val="18"/>
              </w:rPr>
            </w:r>
          </w:p>
        </w:tc>
      </w:tr>
      <w:tr>
        <w:trPr>
          <w:trHeight w:val="532"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7" w:right="0"/>
              <w:jc w:val="left"/>
              <w:rPr>
                <w:rFonts w:ascii="宋体" w:hAnsi="宋体" w:cs="宋体" w:eastAsia="宋体" w:hint="default"/>
                <w:sz w:val="18"/>
                <w:szCs w:val="18"/>
              </w:rPr>
            </w:pPr>
            <w:r>
              <w:rPr>
                <w:rFonts w:ascii="宋体" w:hAnsi="宋体" w:cs="宋体" w:eastAsia="宋体" w:hint="default"/>
                <w:sz w:val="18"/>
                <w:szCs w:val="18"/>
              </w:rPr>
              <w:t>苏宁电器集团有限公司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90" w:right="0"/>
              <w:jc w:val="left"/>
              <w:rPr>
                <w:rFonts w:ascii="宋体" w:hAnsi="宋体" w:cs="宋体" w:eastAsia="宋体" w:hint="default"/>
                <w:sz w:val="18"/>
                <w:szCs w:val="18"/>
              </w:rPr>
            </w:pPr>
            <w:r>
              <w:rPr>
                <w:rFonts w:ascii="宋体" w:hAnsi="宋体" w:cs="宋体" w:eastAsia="宋体" w:hint="default"/>
                <w:sz w:val="18"/>
                <w:szCs w:val="18"/>
              </w:rPr>
              <w:t>山西路银河大厦</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6"/>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9"/>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5"/>
              <w:jc w:val="righ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9"/>
              <w:jc w:val="right"/>
              <w:rPr>
                <w:rFonts w:ascii="Arial" w:hAnsi="Arial" w:cs="Arial" w:eastAsia="Arial" w:hint="default"/>
                <w:sz w:val="18"/>
                <w:szCs w:val="18"/>
              </w:rPr>
            </w:pPr>
            <w:r>
              <w:rPr>
                <w:rFonts w:ascii="Arial"/>
                <w:w w:val="95"/>
                <w:sz w:val="18"/>
              </w:rPr>
              <w:t>2,472</w:t>
            </w:r>
            <w:r>
              <w:rPr>
                <w:rFonts w:ascii="Arial"/>
                <w:sz w:val="18"/>
              </w:rPr>
            </w:r>
          </w:p>
        </w:tc>
      </w:tr>
      <w:tr>
        <w:trPr>
          <w:trHeight w:val="744"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07" w:right="0"/>
              <w:jc w:val="left"/>
              <w:rPr>
                <w:rFonts w:ascii="宋体" w:hAnsi="宋体" w:cs="宋体" w:eastAsia="宋体" w:hint="default"/>
                <w:sz w:val="18"/>
                <w:szCs w:val="18"/>
              </w:rPr>
            </w:pPr>
            <w:r>
              <w:rPr>
                <w:rFonts w:ascii="宋体" w:hAnsi="宋体" w:cs="宋体" w:eastAsia="宋体" w:hint="default"/>
                <w:sz w:val="18"/>
                <w:szCs w:val="18"/>
              </w:rPr>
              <w:t>成都鸿业置业有限公司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34" w:lineRule="exact" w:before="98"/>
              <w:ind w:left="390"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7" w:lineRule="exact"/>
              <w:ind w:left="51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天府立交店</w:t>
            </w:r>
            <w:r>
              <w:rPr>
                <w:rFonts w:ascii="Arial" w:hAnsi="Arial" w:cs="Arial" w:eastAsia="Arial" w:hint="default"/>
                <w:sz w:val="18"/>
                <w:szCs w:val="18"/>
              </w:rPr>
              <w:t>)</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56"/>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335"/>
              <w:jc w:val="right"/>
              <w:rPr>
                <w:rFonts w:ascii="宋体" w:hAnsi="宋体" w:cs="宋体" w:eastAsia="宋体" w:hint="default"/>
                <w:sz w:val="18"/>
                <w:szCs w:val="18"/>
              </w:rPr>
            </w:pPr>
            <w:r>
              <w:rPr>
                <w:rFonts w:ascii="Arial" w:hAnsi="Arial" w:cs="Arial" w:eastAsia="Arial" w:hint="default"/>
                <w:sz w:val="18"/>
                <w:szCs w:val="18"/>
              </w:rPr>
              <w:t>2031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sz w:val="18"/>
              </w:rPr>
              <w:t>8,672</w:t>
            </w:r>
          </w:p>
        </w:tc>
      </w:tr>
      <w:tr>
        <w:trPr>
          <w:trHeight w:val="590" w:hRule="exact"/>
        </w:trPr>
        <w:tc>
          <w:tcPr>
            <w:tcW w:w="701"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07" w:right="0"/>
              <w:jc w:val="left"/>
              <w:rPr>
                <w:rFonts w:ascii="宋体" w:hAnsi="宋体" w:cs="宋体" w:eastAsia="宋体" w:hint="default"/>
                <w:sz w:val="18"/>
                <w:szCs w:val="18"/>
              </w:rPr>
            </w:pPr>
            <w:r>
              <w:rPr>
                <w:rFonts w:ascii="宋体" w:hAnsi="宋体" w:cs="宋体" w:eastAsia="宋体" w:hint="default"/>
                <w:sz w:val="18"/>
                <w:szCs w:val="18"/>
              </w:rPr>
              <w:t>青岛苏宁置业有限公司</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34" w:lineRule="exact" w:before="98"/>
              <w:ind w:left="390" w:right="0"/>
              <w:jc w:val="left"/>
              <w:rPr>
                <w:rFonts w:ascii="宋体" w:hAnsi="宋体" w:cs="宋体" w:eastAsia="宋体" w:hint="default"/>
                <w:sz w:val="18"/>
                <w:szCs w:val="18"/>
              </w:rPr>
            </w:pPr>
            <w:r>
              <w:rPr>
                <w:rFonts w:ascii="宋体" w:hAnsi="宋体" w:cs="宋体" w:eastAsia="宋体" w:hint="default"/>
                <w:sz w:val="18"/>
                <w:szCs w:val="18"/>
              </w:rPr>
              <w:t>房屋租赁</w:t>
            </w:r>
          </w:p>
          <w:p>
            <w:pPr>
              <w:pStyle w:val="TableParagraph"/>
              <w:spacing w:line="247" w:lineRule="exact"/>
              <w:ind w:left="512"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李村广场店</w:t>
            </w:r>
            <w:r>
              <w:rPr>
                <w:rFonts w:ascii="Arial" w:hAnsi="Arial" w:cs="Arial" w:eastAsia="Arial" w:hint="default"/>
                <w:sz w:val="18"/>
                <w:szCs w:val="18"/>
              </w:rPr>
              <w:t>)</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56"/>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19</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335"/>
              <w:jc w:val="righ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500"/>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9"/>
              <w:jc w:val="right"/>
              <w:rPr>
                <w:rFonts w:ascii="Arial" w:hAnsi="Arial" w:cs="Arial" w:eastAsia="Arial" w:hint="default"/>
                <w:sz w:val="18"/>
                <w:szCs w:val="18"/>
              </w:rPr>
            </w:pPr>
            <w:r>
              <w:rPr>
                <w:rFonts w:ascii="Arial"/>
                <w:w w:val="95"/>
                <w:sz w:val="18"/>
              </w:rPr>
              <w:t>1,831</w:t>
            </w:r>
            <w:r>
              <w:rPr>
                <w:rFonts w:ascii="Arial"/>
                <w:sz w:val="18"/>
              </w:rPr>
            </w:r>
          </w:p>
        </w:tc>
      </w:tr>
    </w:tbl>
    <w:p>
      <w:pPr>
        <w:spacing w:after="0" w:line="240" w:lineRule="auto"/>
        <w:jc w:val="right"/>
        <w:rPr>
          <w:rFonts w:ascii="Arial" w:hAnsi="Arial" w:cs="Arial" w:eastAsia="Arial" w:hint="default"/>
          <w:sz w:val="18"/>
          <w:szCs w:val="18"/>
        </w:rPr>
        <w:sectPr>
          <w:headerReference w:type="default" r:id="rId94"/>
          <w:footerReference w:type="default" r:id="rId95"/>
          <w:pgSz w:w="16850" w:h="11910" w:orient="landscape"/>
          <w:pgMar w:header="754" w:footer="954" w:top="2240" w:bottom="1140" w:left="420" w:right="0"/>
          <w:pgNumType w:start="200"/>
        </w:sectPr>
      </w:pPr>
    </w:p>
    <w:p>
      <w:pPr>
        <w:spacing w:line="240" w:lineRule="auto" w:before="7"/>
        <w:rPr>
          <w:rFonts w:ascii="Times New Roman" w:hAnsi="Times New Roman" w:cs="Times New Roman" w:eastAsia="Times New Roman" w:hint="default"/>
          <w:sz w:val="4"/>
          <w:szCs w:val="4"/>
        </w:rPr>
      </w:pPr>
      <w:r>
        <w:rPr/>
        <w:pict>
          <v:group style="position:absolute;margin-left:34.560001pt;margin-top:115.460014pt;width:737.05pt;height:.1pt;mso-position-horizontal-relative:page;mso-position-vertical-relative:page;z-index:-1358344" coordorigin="691,2309" coordsize="14741,2">
            <v:shape style="position:absolute;left:691;top:2309;width:14741;height:2" coordorigin="691,2309" coordsize="14741,0" path="m691,2309l15432,2309e" filled="false" stroked="true" strokeweight=".71999pt" strokecolor="#000000">
              <v:path arrowok="t"/>
            </v:shape>
            <w10:wrap type="none"/>
          </v:group>
        </w:pict>
      </w:r>
    </w:p>
    <w:tbl>
      <w:tblPr>
        <w:tblW w:w="0" w:type="auto"/>
        <w:jc w:val="left"/>
        <w:tblInd w:w="271" w:type="dxa"/>
        <w:tblLayout w:type="fixed"/>
        <w:tblCellMar>
          <w:top w:w="0" w:type="dxa"/>
          <w:left w:w="0" w:type="dxa"/>
          <w:bottom w:w="0" w:type="dxa"/>
          <w:right w:w="0" w:type="dxa"/>
        </w:tblCellMar>
        <w:tblLook w:val="01E0"/>
      </w:tblPr>
      <w:tblGrid>
        <w:gridCol w:w="512"/>
        <w:gridCol w:w="3008"/>
      </w:tblGrid>
      <w:tr>
        <w:trPr>
          <w:trHeight w:val="533" w:hRule="exact"/>
        </w:trPr>
        <w:tc>
          <w:tcPr>
            <w:tcW w:w="51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8"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43"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01"/>
        <w:gridCol w:w="1772"/>
      </w:tblGrid>
      <w:tr>
        <w:trPr>
          <w:trHeight w:val="42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(5)</w:t>
            </w:r>
          </w:p>
        </w:tc>
        <w:tc>
          <w:tcPr>
            <w:tcW w:w="1772" w:type="dxa"/>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Arial" w:hAnsi="Arial" w:cs="Arial" w:eastAsia="Arial" w:hint="default"/>
                <w:sz w:val="24"/>
                <w:szCs w:val="24"/>
              </w:rPr>
            </w:pP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5"/>
              <w:jc w:val="center"/>
              <w:rPr>
                <w:rFonts w:ascii="Arial" w:hAnsi="Arial" w:cs="Arial" w:eastAsia="Arial" w:hint="default"/>
                <w:sz w:val="24"/>
                <w:szCs w:val="24"/>
              </w:rPr>
            </w:pPr>
            <w:r>
              <w:rPr>
                <w:rFonts w:ascii="Arial"/>
                <w:sz w:val="24"/>
              </w:rPr>
              <w:t>(a)</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Arial" w:hAnsi="Arial" w:cs="Arial" w:eastAsia="Arial" w:hint="default"/>
                <w:sz w:val="24"/>
                <w:szCs w:val="24"/>
              </w:rPr>
            </w:pP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1"/>
        <w:rPr>
          <w:rFonts w:ascii="Times New Roman" w:hAnsi="Times New Roman" w:cs="Times New Roman" w:eastAsia="Times New Roman" w:hint="default"/>
          <w:sz w:val="26"/>
          <w:szCs w:val="26"/>
        </w:rPr>
      </w:pPr>
    </w:p>
    <w:tbl>
      <w:tblPr>
        <w:tblW w:w="0" w:type="auto"/>
        <w:jc w:val="left"/>
        <w:tblInd w:w="808" w:type="dxa"/>
        <w:tblLayout w:type="fixed"/>
        <w:tblCellMar>
          <w:top w:w="0" w:type="dxa"/>
          <w:left w:w="0" w:type="dxa"/>
          <w:bottom w:w="0" w:type="dxa"/>
          <w:right w:w="0" w:type="dxa"/>
        </w:tblCellMar>
        <w:tblLook w:val="01E0"/>
      </w:tblPr>
      <w:tblGrid>
        <w:gridCol w:w="1484"/>
        <w:gridCol w:w="2656"/>
        <w:gridCol w:w="1648"/>
        <w:gridCol w:w="2272"/>
        <w:gridCol w:w="2063"/>
        <w:gridCol w:w="1933"/>
        <w:gridCol w:w="2146"/>
      </w:tblGrid>
      <w:tr>
        <w:trPr>
          <w:trHeight w:val="431" w:hRule="exact"/>
        </w:trPr>
        <w:tc>
          <w:tcPr>
            <w:tcW w:w="14202" w:type="dxa"/>
            <w:gridSpan w:val="7"/>
            <w:tcBorders>
              <w:top w:val="nil" w:sz="6" w:space="0" w:color="auto"/>
              <w:left w:val="nil" w:sz="6" w:space="0" w:color="auto"/>
              <w:bottom w:val="nil" w:sz="6" w:space="0" w:color="auto"/>
              <w:right w:val="nil" w:sz="6" w:space="0" w:color="auto"/>
            </w:tcBorders>
          </w:tcPr>
          <w:p>
            <w:pPr>
              <w:pStyle w:val="TableParagraph"/>
              <w:spacing w:line="240" w:lineRule="exact"/>
              <w:ind w:left="276"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r>
      <w:tr>
        <w:trPr>
          <w:trHeight w:val="557"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0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8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46"/>
              <w:jc w:val="right"/>
              <w:rPr>
                <w:rFonts w:ascii="宋体" w:hAnsi="宋体" w:cs="宋体" w:eastAsia="宋体" w:hint="default"/>
                <w:sz w:val="18"/>
                <w:szCs w:val="18"/>
              </w:rPr>
            </w:pPr>
            <w:r>
              <w:rPr>
                <w:rFonts w:ascii="宋体" w:hAnsi="宋体" w:cs="宋体" w:eastAsia="宋体" w:hint="default"/>
                <w:sz w:val="18"/>
                <w:szCs w:val="18"/>
              </w:rPr>
              <w:t>租赁起始日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48"/>
              <w:jc w:val="right"/>
              <w:rPr>
                <w:rFonts w:ascii="宋体" w:hAnsi="宋体" w:cs="宋体" w:eastAsia="宋体" w:hint="default"/>
                <w:sz w:val="18"/>
                <w:szCs w:val="18"/>
              </w:rPr>
            </w:pPr>
            <w:r>
              <w:rPr>
                <w:rFonts w:ascii="宋体" w:hAnsi="宋体" w:cs="宋体" w:eastAsia="宋体" w:hint="default"/>
                <w:sz w:val="18"/>
                <w:szCs w:val="18"/>
              </w:rPr>
              <w:t>租赁终止日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22"/>
              <w:jc w:val="right"/>
              <w:rPr>
                <w:rFonts w:ascii="宋体" w:hAnsi="宋体" w:cs="宋体" w:eastAsia="宋体" w:hint="default"/>
                <w:sz w:val="18"/>
                <w:szCs w:val="18"/>
              </w:rPr>
            </w:pPr>
            <w:r>
              <w:rPr>
                <w:rFonts w:ascii="宋体" w:hAnsi="宋体" w:cs="宋体" w:eastAsia="宋体" w:hint="default"/>
                <w:sz w:val="18"/>
                <w:szCs w:val="18"/>
              </w:rPr>
              <w:t>租赁费定价依据</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0"/>
              <w:jc w:val="right"/>
              <w:rPr>
                <w:rFonts w:ascii="宋体" w:hAnsi="宋体" w:cs="宋体" w:eastAsia="宋体" w:hint="default"/>
                <w:sz w:val="18"/>
                <w:szCs w:val="18"/>
              </w:rPr>
            </w:pPr>
            <w:r>
              <w:rPr>
                <w:rFonts w:ascii="宋体" w:hAnsi="宋体" w:cs="宋体" w:eastAsia="宋体" w:hint="default"/>
                <w:sz w:val="18"/>
                <w:szCs w:val="18"/>
              </w:rPr>
              <w:t>年度确认的租赁收益</w:t>
            </w:r>
          </w:p>
        </w:tc>
      </w:tr>
      <w:tr>
        <w:trPr>
          <w:trHeight w:val="542"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苏宁置业集团有限公司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龙吟广场</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45"/>
              <w:jc w:val="righ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Arial" w:hAnsi="Arial" w:cs="Arial" w:eastAsia="Arial" w:hint="default"/>
                <w:sz w:val="18"/>
                <w:szCs w:val="18"/>
              </w:rPr>
            </w:pPr>
            <w:r>
              <w:rPr>
                <w:rFonts w:ascii="Arial"/>
                <w:w w:val="95"/>
                <w:sz w:val="18"/>
              </w:rPr>
              <w:t>2,306</w:t>
            </w:r>
            <w:r>
              <w:rPr>
                <w:rFonts w:ascii="Arial"/>
                <w:sz w:val="18"/>
              </w:rPr>
            </w:r>
          </w:p>
        </w:tc>
      </w:tr>
      <w:tr>
        <w:trPr>
          <w:trHeight w:val="744"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384" w:right="0"/>
              <w:jc w:val="left"/>
              <w:rPr>
                <w:rFonts w:ascii="宋体" w:hAnsi="宋体" w:cs="宋体" w:eastAsia="宋体" w:hint="default"/>
                <w:sz w:val="18"/>
                <w:szCs w:val="18"/>
              </w:rPr>
            </w:pPr>
            <w:r>
              <w:rPr>
                <w:rFonts w:ascii="宋体" w:hAnsi="宋体" w:cs="宋体" w:eastAsia="宋体" w:hint="default"/>
                <w:sz w:val="18"/>
                <w:szCs w:val="18"/>
              </w:rPr>
              <w:t>苏宁置业集团有限公司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6"/>
              <w:jc w:val="center"/>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0" w:lineRule="auto"/>
              <w:ind w:right="346"/>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9"/>
              <w:jc w:val="right"/>
              <w:rPr>
                <w:rFonts w:ascii="Arial" w:hAnsi="Arial" w:cs="Arial" w:eastAsia="Arial" w:hint="default"/>
                <w:sz w:val="18"/>
                <w:szCs w:val="18"/>
              </w:rPr>
            </w:pPr>
            <w:r>
              <w:rPr>
                <w:rFonts w:ascii="Arial"/>
                <w:w w:val="95"/>
                <w:sz w:val="18"/>
              </w:rPr>
              <w:t>4,723</w:t>
            </w:r>
            <w:r>
              <w:rPr>
                <w:rFonts w:ascii="Arial"/>
                <w:sz w:val="18"/>
              </w:rPr>
            </w:r>
          </w:p>
        </w:tc>
      </w:tr>
      <w:tr>
        <w:trPr>
          <w:trHeight w:val="744"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z w:val="18"/>
                <w:szCs w:val="18"/>
              </w:rPr>
              <w:t>江苏苏宁商业管理有限公司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35" w:lineRule="exact" w:before="97"/>
              <w:ind w:right="346"/>
              <w:jc w:val="center"/>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0" w:lineRule="auto"/>
              <w:ind w:right="37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350</w:t>
            </w:r>
            <w:r>
              <w:rPr>
                <w:rFonts w:ascii="Arial"/>
                <w:sz w:val="18"/>
              </w:rPr>
            </w:r>
          </w:p>
        </w:tc>
      </w:tr>
      <w:tr>
        <w:trPr>
          <w:trHeight w:val="766"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4" w:right="107" w:hanging="180"/>
              <w:jc w:val="left"/>
              <w:rPr>
                <w:rFonts w:ascii="宋体" w:hAnsi="宋体" w:cs="宋体" w:eastAsia="宋体" w:hint="default"/>
                <w:sz w:val="18"/>
                <w:szCs w:val="18"/>
              </w:rPr>
            </w:pPr>
            <w:r>
              <w:rPr>
                <w:rFonts w:ascii="宋体" w:hAnsi="宋体" w:cs="宋体" w:eastAsia="宋体" w:hint="default"/>
                <w:sz w:val="18"/>
                <w:szCs w:val="18"/>
              </w:rPr>
              <w:t>江苏苏宁银河酒店管理有限 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35" w:lineRule="exact" w:before="97"/>
              <w:ind w:right="346"/>
              <w:jc w:val="center"/>
              <w:rPr>
                <w:rFonts w:ascii="宋体" w:hAnsi="宋体" w:cs="宋体" w:eastAsia="宋体" w:hint="default"/>
                <w:sz w:val="18"/>
                <w:szCs w:val="18"/>
              </w:rPr>
            </w:pPr>
            <w:r>
              <w:rPr>
                <w:rFonts w:ascii="宋体" w:hAnsi="宋体" w:cs="宋体" w:eastAsia="宋体" w:hint="default"/>
                <w:sz w:val="18"/>
                <w:szCs w:val="18"/>
              </w:rPr>
              <w:t>办公场所租赁</w:t>
            </w:r>
          </w:p>
          <w:p>
            <w:pPr>
              <w:pStyle w:val="TableParagraph"/>
              <w:spacing w:line="240" w:lineRule="auto"/>
              <w:ind w:right="356"/>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34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165</w:t>
            </w:r>
            <w:r>
              <w:rPr>
                <w:rFonts w:ascii="Arial"/>
                <w:sz w:val="18"/>
              </w:rPr>
            </w:r>
          </w:p>
        </w:tc>
      </w:tr>
      <w:tr>
        <w:trPr>
          <w:trHeight w:val="552"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4" w:right="0"/>
              <w:jc w:val="left"/>
              <w:rPr>
                <w:rFonts w:ascii="宋体" w:hAnsi="宋体" w:cs="宋体" w:eastAsia="宋体" w:hint="default"/>
                <w:sz w:val="18"/>
                <w:szCs w:val="18"/>
              </w:rPr>
            </w:pPr>
            <w:r>
              <w:rPr>
                <w:rFonts w:ascii="宋体" w:hAnsi="宋体" w:cs="宋体" w:eastAsia="宋体" w:hint="default"/>
                <w:sz w:val="18"/>
                <w:szCs w:val="18"/>
              </w:rPr>
              <w:t>玄武苏宁银河诺富特大酒店</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9"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20</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宋体" w:hAnsi="宋体" w:cs="宋体" w:eastAsia="宋体" w:hint="default"/>
                <w:sz w:val="18"/>
                <w:szCs w:val="18"/>
              </w:rPr>
            </w:pPr>
            <w:r>
              <w:rPr>
                <w:rFonts w:ascii="Arial" w:hAnsi="Arial" w:cs="Arial" w:eastAsia="Arial" w:hint="default"/>
                <w:sz w:val="18"/>
                <w:szCs w:val="18"/>
              </w:rPr>
              <w:t>2026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9"/>
              <w:jc w:val="right"/>
              <w:rPr>
                <w:rFonts w:ascii="Arial" w:hAnsi="Arial" w:cs="Arial" w:eastAsia="Arial" w:hint="default"/>
                <w:sz w:val="18"/>
                <w:szCs w:val="18"/>
              </w:rPr>
            </w:pPr>
            <w:r>
              <w:rPr>
                <w:rFonts w:ascii="Arial"/>
                <w:w w:val="95"/>
                <w:sz w:val="18"/>
              </w:rPr>
              <w:t>9,855</w:t>
            </w:r>
            <w:r>
              <w:rPr>
                <w:rFonts w:ascii="Arial"/>
                <w:sz w:val="18"/>
              </w:rPr>
            </w:r>
          </w:p>
        </w:tc>
      </w:tr>
      <w:tr>
        <w:trPr>
          <w:trHeight w:val="552"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4" w:right="0"/>
              <w:jc w:val="left"/>
              <w:rPr>
                <w:rFonts w:ascii="宋体" w:hAnsi="宋体" w:cs="宋体" w:eastAsia="宋体" w:hint="default"/>
                <w:sz w:val="18"/>
                <w:szCs w:val="18"/>
              </w:rPr>
            </w:pPr>
            <w:r>
              <w:rPr>
                <w:rFonts w:ascii="宋体" w:hAnsi="宋体" w:cs="宋体" w:eastAsia="宋体" w:hint="default"/>
                <w:sz w:val="18"/>
                <w:szCs w:val="18"/>
              </w:rPr>
              <w:t>成都鸿业置业有限公司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9"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9"/>
              <w:jc w:val="right"/>
              <w:rPr>
                <w:rFonts w:ascii="Arial" w:hAnsi="Arial" w:cs="Arial" w:eastAsia="Arial" w:hint="default"/>
                <w:sz w:val="18"/>
                <w:szCs w:val="18"/>
              </w:rPr>
            </w:pPr>
            <w:r>
              <w:rPr>
                <w:rFonts w:ascii="Arial"/>
                <w:w w:val="95"/>
                <w:sz w:val="18"/>
              </w:rPr>
              <w:t>2,802</w:t>
            </w:r>
            <w:r>
              <w:rPr>
                <w:rFonts w:ascii="Arial"/>
                <w:sz w:val="18"/>
              </w:rPr>
            </w:r>
          </w:p>
        </w:tc>
      </w:tr>
      <w:tr>
        <w:trPr>
          <w:trHeight w:val="378" w:hRule="exact"/>
        </w:trPr>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84" w:right="0"/>
              <w:jc w:val="left"/>
              <w:rPr>
                <w:rFonts w:ascii="宋体" w:hAnsi="宋体" w:cs="宋体" w:eastAsia="宋体" w:hint="default"/>
                <w:sz w:val="18"/>
                <w:szCs w:val="18"/>
              </w:rPr>
            </w:pPr>
            <w:r>
              <w:rPr>
                <w:rFonts w:ascii="宋体" w:hAnsi="宋体" w:cs="宋体" w:eastAsia="宋体" w:hint="default"/>
                <w:sz w:val="18"/>
                <w:szCs w:val="18"/>
              </w:rPr>
              <w:t>福州苏宁置业有限公司</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9" w:right="0"/>
              <w:jc w:val="left"/>
              <w:rPr>
                <w:rFonts w:ascii="宋体" w:hAnsi="宋体" w:cs="宋体" w:eastAsia="宋体" w:hint="default"/>
                <w:sz w:val="18"/>
                <w:szCs w:val="18"/>
              </w:rPr>
            </w:pPr>
            <w:r>
              <w:rPr>
                <w:rFonts w:ascii="宋体" w:hAnsi="宋体" w:cs="宋体" w:eastAsia="宋体" w:hint="default"/>
                <w:sz w:val="18"/>
                <w:szCs w:val="18"/>
              </w:rPr>
              <w:t>办公区租赁</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45"/>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15</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23"/>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5"/>
                <w:sz w:val="18"/>
              </w:rPr>
              <w:t>85</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54" w:footer="954" w:top="2240" w:bottom="1140" w:left="4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4358"/>
        <w:gridCol w:w="2896"/>
        <w:gridCol w:w="2228"/>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4358"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9"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896" w:type="dxa"/>
            <w:tcBorders>
              <w:top w:val="single" w:sz="6" w:space="0" w:color="000000"/>
              <w:left w:val="nil" w:sz="6" w:space="0" w:color="auto"/>
              <w:bottom w:val="nil" w:sz="6" w:space="0" w:color="auto"/>
              <w:right w:val="nil" w:sz="6" w:space="0" w:color="auto"/>
            </w:tcBorders>
          </w:tcPr>
          <w:p>
            <w:pPr/>
          </w:p>
        </w:tc>
        <w:tc>
          <w:tcPr>
            <w:tcW w:w="2228"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Arial" w:hAnsi="Arial" w:cs="Arial" w:eastAsia="Arial" w:hint="default"/>
                <w:sz w:val="24"/>
                <w:szCs w:val="24"/>
              </w:rPr>
            </w:pP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89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宋体" w:hAnsi="宋体" w:cs="宋体" w:eastAsia="宋体" w:hint="default"/>
                <w:sz w:val="24"/>
                <w:szCs w:val="24"/>
              </w:rPr>
            </w:pPr>
            <w:r>
              <w:rPr>
                <w:rFonts w:ascii="宋体" w:hAnsi="宋体" w:cs="宋体" w:eastAsia="宋体" w:hint="default"/>
                <w:sz w:val="24"/>
                <w:szCs w:val="24"/>
              </w:rPr>
              <w:t>担保</w:t>
            </w:r>
          </w:p>
        </w:tc>
        <w:tc>
          <w:tcPr>
            <w:tcW w:w="289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r>
      <w:tr>
        <w:trPr>
          <w:trHeight w:val="898" w:hRule="exact"/>
        </w:trPr>
        <w:tc>
          <w:tcPr>
            <w:tcW w:w="1025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910" w:right="20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pacing w:val="-5"/>
                <w:sz w:val="24"/>
                <w:szCs w:val="24"/>
              </w:rPr>
              <w:t>2011</w:t>
            </w:r>
            <w:r>
              <w:rPr>
                <w:rFonts w:ascii="Arial" w:hAnsi="Arial" w:cs="Arial" w:eastAsia="Arial" w:hint="default"/>
                <w:spacing w:val="10"/>
                <w:sz w:val="24"/>
                <w:szCs w:val="24"/>
              </w:rPr>
              <w:t> </w:t>
            </w:r>
            <w:r>
              <w:rPr>
                <w:rFonts w:ascii="宋体" w:hAnsi="宋体" w:cs="宋体" w:eastAsia="宋体" w:hint="default"/>
                <w:sz w:val="24"/>
                <w:szCs w:val="24"/>
              </w:rPr>
              <w:t>年度，无关联方为本集团提供担保</w:t>
            </w:r>
            <w:r>
              <w:rPr>
                <w:rFonts w:ascii="宋体" w:hAnsi="宋体" w:cs="宋体" w:eastAsia="宋体" w:hint="default"/>
                <w:spacing w:val="-1"/>
                <w:sz w:val="24"/>
                <w:szCs w:val="24"/>
              </w:rPr>
              <w:t> </w:t>
            </w:r>
            <w:r>
              <w:rPr>
                <w:rFonts w:ascii="Arial" w:hAnsi="Arial" w:cs="Arial" w:eastAsia="Arial" w:hint="default"/>
                <w:sz w:val="24"/>
                <w:szCs w:val="24"/>
              </w:rPr>
              <w:t>(2010</w:t>
            </w:r>
            <w:r>
              <w:rPr>
                <w:rFonts w:ascii="Arial" w:hAnsi="Arial" w:cs="Arial" w:eastAsia="Arial" w:hint="default"/>
                <w:spacing w:val="10"/>
                <w:sz w:val="24"/>
                <w:szCs w:val="24"/>
              </w:rPr>
              <w:t> </w:t>
            </w:r>
            <w:r>
              <w:rPr>
                <w:rFonts w:ascii="宋体" w:hAnsi="宋体" w:cs="宋体" w:eastAsia="宋体" w:hint="default"/>
                <w:sz w:val="24"/>
                <w:szCs w:val="24"/>
              </w:rPr>
              <w:t>年度：约人民币</w:t>
            </w:r>
            <w:r>
              <w:rPr>
                <w:rFonts w:ascii="宋体" w:hAnsi="宋体" w:cs="宋体" w:eastAsia="宋体" w:hint="default"/>
                <w:spacing w:val="-46"/>
                <w:sz w:val="24"/>
                <w:szCs w:val="24"/>
              </w:rPr>
              <w:t> </w:t>
            </w:r>
            <w:r>
              <w:rPr>
                <w:rFonts w:ascii="Arial" w:hAnsi="Arial" w:cs="Arial" w:eastAsia="Arial" w:hint="default"/>
                <w:sz w:val="24"/>
                <w:szCs w:val="24"/>
              </w:rPr>
              <w:t>5.99</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，也无本 集团为关联方提供担保。</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9" w:right="0"/>
              <w:jc w:val="left"/>
              <w:rPr>
                <w:rFonts w:ascii="宋体" w:hAnsi="宋体" w:cs="宋体" w:eastAsia="宋体" w:hint="default"/>
                <w:sz w:val="24"/>
                <w:szCs w:val="24"/>
              </w:rPr>
            </w:pPr>
            <w:r>
              <w:rPr>
                <w:rFonts w:ascii="宋体" w:hAnsi="宋体" w:cs="宋体" w:eastAsia="宋体" w:hint="default"/>
                <w:sz w:val="24"/>
                <w:szCs w:val="24"/>
              </w:rPr>
              <w:t>接受劳务和购买礼品</w:t>
            </w:r>
          </w:p>
        </w:tc>
        <w:tc>
          <w:tcPr>
            <w:tcW w:w="289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84"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5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9"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338" w:right="0"/>
              <w:jc w:val="left"/>
              <w:rPr>
                <w:rFonts w:ascii="Arial" w:hAnsi="Arial" w:cs="Arial" w:eastAsia="Arial" w:hint="default"/>
                <w:sz w:val="24"/>
                <w:szCs w:val="24"/>
              </w:rPr>
            </w:pPr>
            <w:r>
              <w:rPr>
                <w:rFonts w:ascii="Arial"/>
                <w:sz w:val="24"/>
              </w:rPr>
              <w:t>7,794</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425" w:right="0"/>
              <w:jc w:val="left"/>
              <w:rPr>
                <w:rFonts w:ascii="Arial" w:hAnsi="Arial" w:cs="Arial" w:eastAsia="Arial" w:hint="default"/>
                <w:sz w:val="24"/>
                <w:szCs w:val="24"/>
              </w:rPr>
            </w:pPr>
            <w:r>
              <w:rPr>
                <w:rFonts w:ascii="Arial"/>
                <w:sz w:val="24"/>
              </w:rPr>
              <w:t>3,907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38" w:right="0"/>
              <w:jc w:val="left"/>
              <w:rPr>
                <w:rFonts w:ascii="Arial" w:hAnsi="Arial" w:cs="Arial" w:eastAsia="Arial" w:hint="default"/>
                <w:sz w:val="24"/>
                <w:szCs w:val="24"/>
              </w:rPr>
            </w:pPr>
            <w:r>
              <w:rPr>
                <w:rFonts w:ascii="Arial"/>
                <w:sz w:val="24"/>
              </w:rPr>
              <w:t>6,027</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25" w:right="0"/>
              <w:jc w:val="left"/>
              <w:rPr>
                <w:rFonts w:ascii="Arial" w:hAnsi="Arial" w:cs="Arial" w:eastAsia="Arial" w:hint="default"/>
                <w:sz w:val="24"/>
                <w:szCs w:val="24"/>
              </w:rPr>
            </w:pPr>
            <w:r>
              <w:rPr>
                <w:rFonts w:ascii="Arial"/>
                <w:sz w:val="24"/>
              </w:rPr>
              <w:t>7,388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38" w:right="0"/>
              <w:jc w:val="left"/>
              <w:rPr>
                <w:rFonts w:ascii="Arial" w:hAnsi="Arial" w:cs="Arial" w:eastAsia="Arial" w:hint="default"/>
                <w:sz w:val="24"/>
                <w:szCs w:val="24"/>
              </w:rPr>
            </w:pPr>
            <w:r>
              <w:rPr>
                <w:rFonts w:ascii="Arial"/>
                <w:sz w:val="24"/>
              </w:rPr>
              <w:t>5,128</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w w:val="95"/>
                <w:sz w:val="24"/>
              </w:rPr>
              <w:t>363</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38" w:right="0"/>
              <w:jc w:val="left"/>
              <w:rPr>
                <w:rFonts w:ascii="Arial" w:hAnsi="Arial" w:cs="Arial" w:eastAsia="Arial" w:hint="default"/>
                <w:sz w:val="24"/>
                <w:szCs w:val="24"/>
              </w:rPr>
            </w:pPr>
            <w:r>
              <w:rPr>
                <w:rFonts w:ascii="Arial"/>
                <w:sz w:val="24"/>
              </w:rPr>
              <w:t>3,841</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37" w:right="0"/>
              <w:jc w:val="left"/>
              <w:rPr>
                <w:rFonts w:ascii="Arial" w:hAnsi="Arial" w:cs="Arial" w:eastAsia="Arial" w:hint="default"/>
                <w:sz w:val="24"/>
                <w:szCs w:val="24"/>
              </w:rPr>
            </w:pPr>
            <w:r>
              <w:rPr>
                <w:rFonts w:ascii="Arial"/>
                <w:sz w:val="24"/>
              </w:rPr>
              <w:t>824</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25" w:right="0"/>
              <w:jc w:val="left"/>
              <w:rPr>
                <w:rFonts w:ascii="Arial" w:hAnsi="Arial" w:cs="Arial" w:eastAsia="Arial" w:hint="default"/>
                <w:sz w:val="24"/>
                <w:szCs w:val="24"/>
              </w:rPr>
            </w:pPr>
            <w:r>
              <w:rPr>
                <w:rFonts w:ascii="Arial"/>
                <w:sz w:val="24"/>
              </w:rPr>
              <w:t>1,099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江苏银河物业管理有限公司</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40" w:right="0"/>
              <w:jc w:val="left"/>
              <w:rPr>
                <w:rFonts w:ascii="Arial" w:hAnsi="Arial" w:cs="Arial" w:eastAsia="Arial" w:hint="default"/>
                <w:sz w:val="24"/>
                <w:szCs w:val="24"/>
              </w:rPr>
            </w:pPr>
            <w:r>
              <w:rPr>
                <w:rFonts w:ascii="Arial"/>
                <w:sz w:val="24"/>
              </w:rPr>
              <w:t>570</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4358" w:type="dxa"/>
            <w:tcBorders>
              <w:top w:val="nil" w:sz="6" w:space="0" w:color="auto"/>
              <w:left w:val="nil" w:sz="6" w:space="0" w:color="auto"/>
              <w:bottom w:val="nil" w:sz="6" w:space="0" w:color="auto"/>
              <w:right w:val="nil" w:sz="6" w:space="0" w:color="auto"/>
            </w:tcBorders>
          </w:tcPr>
          <w:p>
            <w:pPr>
              <w:pStyle w:val="TableParagraph"/>
              <w:tabs>
                <w:tab w:pos="3936" w:val="left" w:leader="none"/>
                <w:tab w:pos="5897" w:val="left" w:leader="none"/>
              </w:tabs>
              <w:spacing w:line="260" w:lineRule="exact"/>
              <w:ind w:left="139" w:right="-1541"/>
              <w:jc w:val="left"/>
              <w:rPr>
                <w:rFonts w:ascii="Arial" w:hAnsi="Arial" w:cs="Arial" w:eastAsia="Arial" w:hint="default"/>
                <w:sz w:val="24"/>
                <w:szCs w:val="24"/>
              </w:rPr>
            </w:pPr>
            <w:r>
              <w:rPr>
                <w:rFonts w:ascii="宋体" w:hAnsi="宋体" w:cs="宋体" w:eastAsia="宋体" w:hint="default"/>
                <w:position w:val="2"/>
                <w:sz w:val="24"/>
                <w:szCs w:val="24"/>
              </w:rPr>
              <w:t>银河诺富特酒店</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96" w:type="dxa"/>
            <w:tcBorders>
              <w:top w:val="nil" w:sz="6" w:space="0" w:color="auto"/>
              <w:left w:val="nil" w:sz="6" w:space="0" w:color="auto"/>
              <w:bottom w:val="nil" w:sz="6" w:space="0" w:color="auto"/>
              <w:right w:val="nil" w:sz="6" w:space="0" w:color="auto"/>
            </w:tcBorders>
          </w:tcPr>
          <w:p>
            <w:pPr>
              <w:pStyle w:val="TableParagraph"/>
              <w:tabs>
                <w:tab w:pos="2588" w:val="left" w:leader="none"/>
                <w:tab w:pos="4842" w:val="left" w:leader="none"/>
              </w:tabs>
              <w:spacing w:line="240" w:lineRule="auto" w:before="21"/>
              <w:ind w:left="1540" w:right="-1947"/>
              <w:jc w:val="left"/>
              <w:rPr>
                <w:rFonts w:ascii="Arial" w:hAnsi="Arial" w:cs="Arial" w:eastAsia="Arial" w:hint="default"/>
                <w:sz w:val="24"/>
                <w:szCs w:val="24"/>
              </w:rPr>
            </w:pPr>
            <w:r>
              <w:rPr>
                <w:rFonts w:ascii="Arial"/>
                <w:w w:val="99"/>
                <w:sz w:val="24"/>
              </w:rPr>
            </w:r>
            <w:r>
              <w:rPr>
                <w:rFonts w:ascii="Arial"/>
                <w:sz w:val="24"/>
                <w:u w:val="single" w:color="000000"/>
              </w:rPr>
              <w:t>434</w:t>
            </w:r>
            <w:r>
              <w:rPr>
                <w:rFonts w:ascii="Arial"/>
                <w:spacing w:val="32"/>
                <w:sz w:val="24"/>
                <w:u w:val="single" w:color="000000"/>
              </w:rPr>
              <w:t> </w:t>
            </w:r>
            <w:r>
              <w:rPr>
                <w:rFonts w:ascii="Arial"/>
                <w:spacing w:val="32"/>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28" w:type="dxa"/>
            <w:tcBorders>
              <w:top w:val="nil" w:sz="6" w:space="0" w:color="auto"/>
              <w:left w:val="nil" w:sz="6" w:space="0" w:color="auto"/>
              <w:bottom w:val="nil" w:sz="6" w:space="0" w:color="auto"/>
              <w:right w:val="nil" w:sz="6" w:space="0" w:color="auto"/>
            </w:tcBorders>
          </w:tcPr>
          <w:p>
            <w:pPr>
              <w:pStyle w:val="TableParagraph"/>
              <w:tabs>
                <w:tab w:pos="184" w:val="left" w:leader="none"/>
              </w:tabs>
              <w:spacing w:line="240" w:lineRule="auto" w:before="21"/>
              <w:ind w:right="95"/>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37" w:hRule="exact"/>
        </w:trPr>
        <w:tc>
          <w:tcPr>
            <w:tcW w:w="772" w:type="dxa"/>
            <w:tcBorders>
              <w:top w:val="nil" w:sz="6" w:space="0" w:color="auto"/>
              <w:left w:val="nil" w:sz="6" w:space="0" w:color="auto"/>
              <w:bottom w:val="nil" w:sz="6" w:space="0" w:color="auto"/>
              <w:right w:val="nil" w:sz="6" w:space="0" w:color="auto"/>
            </w:tcBorders>
          </w:tcPr>
          <w:p>
            <w:pPr/>
          </w:p>
        </w:tc>
        <w:tc>
          <w:tcPr>
            <w:tcW w:w="7254" w:type="dxa"/>
            <w:gridSpan w:val="2"/>
            <w:tcBorders>
              <w:top w:val="nil" w:sz="6" w:space="0" w:color="auto"/>
              <w:left w:val="nil" w:sz="6" w:space="0" w:color="auto"/>
              <w:bottom w:val="nil" w:sz="6" w:space="0" w:color="auto"/>
              <w:right w:val="nil" w:sz="6" w:space="0" w:color="auto"/>
            </w:tcBorders>
          </w:tcPr>
          <w:p>
            <w:pPr>
              <w:pStyle w:val="TableParagraph"/>
              <w:tabs>
                <w:tab w:pos="5556" w:val="left" w:leader="none"/>
                <w:tab w:pos="6946" w:val="left" w:leader="none"/>
                <w:tab w:pos="8545" w:val="left" w:leader="none"/>
              </w:tabs>
              <w:spacing w:line="268" w:lineRule="exact"/>
              <w:ind w:left="3936" w:right="-129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24,618 </w:t>
            </w:r>
            <w:r>
              <w:rPr>
                <w:rFonts w:ascii="Arial"/>
                <w:spacing w:val="-27"/>
                <w:sz w:val="24"/>
                <w:u w:val="thick" w:color="000000"/>
              </w:rPr>
              <w:t> </w:t>
            </w:r>
            <w:r>
              <w:rPr>
                <w:rFonts w:ascii="Arial"/>
                <w:spacing w:val="-27"/>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2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68" w:lineRule="exact"/>
              <w:ind w:right="95"/>
              <w:jc w:val="right"/>
              <w:rPr>
                <w:rFonts w:ascii="Arial" w:hAnsi="Arial" w:cs="Arial" w:eastAsia="Arial" w:hint="default"/>
                <w:sz w:val="24"/>
                <w:szCs w:val="24"/>
              </w:rPr>
            </w:pPr>
            <w:r>
              <w:rPr>
                <w:rFonts w:ascii="Arial"/>
                <w:w w:val="99"/>
                <w:sz w:val="24"/>
              </w:rPr>
            </w:r>
            <w:r>
              <w:rPr>
                <w:rFonts w:ascii="Arial"/>
                <w:spacing w:val="-1"/>
                <w:sz w:val="24"/>
                <w:u w:val="thick" w:color="000000"/>
              </w:rPr>
              <w:t>12,757</w:t>
              <w:tab/>
            </w:r>
            <w:r>
              <w:rPr>
                <w:rFonts w:ascii="Arial"/>
                <w:spacing w:val="-1"/>
                <w:sz w:val="24"/>
              </w:rPr>
            </w:r>
          </w:p>
        </w:tc>
      </w:tr>
      <w:tr>
        <w:trPr>
          <w:trHeight w:val="586" w:hRule="exact"/>
        </w:trPr>
        <w:tc>
          <w:tcPr>
            <w:tcW w:w="1025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910" w:right="0"/>
              <w:jc w:val="left"/>
              <w:rPr>
                <w:rFonts w:ascii="宋体" w:hAnsi="宋体" w:cs="宋体" w:eastAsia="宋体" w:hint="default"/>
                <w:sz w:val="24"/>
                <w:szCs w:val="24"/>
              </w:rPr>
            </w:pPr>
            <w:r>
              <w:rPr>
                <w:rFonts w:ascii="宋体" w:hAnsi="宋体" w:cs="宋体" w:eastAsia="宋体" w:hint="default"/>
                <w:sz w:val="24"/>
                <w:szCs w:val="24"/>
              </w:rPr>
              <w:t>以上公司主要为本集团提供餐饮会务及购买礼品服务。</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(d)</w:t>
            </w:r>
          </w:p>
        </w:tc>
        <w:tc>
          <w:tcPr>
            <w:tcW w:w="435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9" w:right="0"/>
              <w:jc w:val="left"/>
              <w:rPr>
                <w:rFonts w:ascii="宋体" w:hAnsi="宋体" w:cs="宋体" w:eastAsia="宋体" w:hint="default"/>
                <w:sz w:val="24"/>
                <w:szCs w:val="24"/>
              </w:rPr>
            </w:pPr>
            <w:r>
              <w:rPr>
                <w:rFonts w:ascii="宋体" w:hAnsi="宋体" w:cs="宋体" w:eastAsia="宋体" w:hint="default"/>
                <w:sz w:val="24"/>
                <w:szCs w:val="24"/>
              </w:rPr>
              <w:t>合作协议</w:t>
            </w:r>
          </w:p>
        </w:tc>
        <w:tc>
          <w:tcPr>
            <w:tcW w:w="2896"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r>
      <w:tr>
        <w:trPr>
          <w:trHeight w:val="2262" w:hRule="exact"/>
        </w:trPr>
        <w:tc>
          <w:tcPr>
            <w:tcW w:w="772" w:type="dxa"/>
            <w:tcBorders>
              <w:top w:val="nil" w:sz="6" w:space="0" w:color="auto"/>
              <w:left w:val="nil" w:sz="6" w:space="0" w:color="auto"/>
              <w:bottom w:val="nil" w:sz="6" w:space="0" w:color="auto"/>
              <w:right w:val="nil" w:sz="6" w:space="0" w:color="auto"/>
            </w:tcBorders>
          </w:tcPr>
          <w:p>
            <w:pPr/>
          </w:p>
        </w:tc>
        <w:tc>
          <w:tcPr>
            <w:tcW w:w="948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0"/>
              <w:ind w:left="139" w:right="202"/>
              <w:jc w:val="both"/>
              <w:rPr>
                <w:rFonts w:ascii="宋体" w:hAnsi="宋体" w:cs="宋体" w:eastAsia="宋体" w:hint="default"/>
                <w:sz w:val="24"/>
                <w:szCs w:val="24"/>
              </w:rPr>
            </w:pPr>
            <w:r>
              <w:rPr>
                <w:rFonts w:ascii="宋体" w:hAnsi="宋体" w:cs="宋体" w:eastAsia="宋体" w:hint="default"/>
                <w:spacing w:val="-6"/>
                <w:sz w:val="24"/>
                <w:szCs w:val="24"/>
              </w:rPr>
              <w:t>根据本公司与银河国际购物广场签订的《合作协议》，本公司组织南京地区连锁店联合银</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2"/>
                <w:sz w:val="24"/>
                <w:szCs w:val="24"/>
              </w:rPr>
              <w:t>河国际购物广场共同举办</w:t>
            </w:r>
            <w:r>
              <w:rPr>
                <w:rFonts w:ascii="Arial" w:hAnsi="Arial" w:cs="Arial" w:eastAsia="Arial" w:hint="default"/>
                <w:spacing w:val="2"/>
                <w:sz w:val="24"/>
                <w:szCs w:val="24"/>
              </w:rPr>
              <w:t>“</w:t>
            </w:r>
            <w:r>
              <w:rPr>
                <w:rFonts w:ascii="宋体" w:hAnsi="宋体" w:cs="宋体" w:eastAsia="宋体" w:hint="default"/>
                <w:spacing w:val="2"/>
                <w:sz w:val="24"/>
                <w:szCs w:val="24"/>
              </w:rPr>
              <w:t>满就送购物券</w:t>
            </w:r>
            <w:r>
              <w:rPr>
                <w:rFonts w:ascii="Arial" w:hAnsi="Arial" w:cs="Arial" w:eastAsia="Arial" w:hint="default"/>
                <w:spacing w:val="2"/>
                <w:sz w:val="24"/>
                <w:szCs w:val="24"/>
              </w:rPr>
              <w:t>”</w:t>
            </w:r>
            <w:r>
              <w:rPr>
                <w:rFonts w:ascii="宋体" w:hAnsi="宋体" w:cs="宋体" w:eastAsia="宋体" w:hint="default"/>
                <w:spacing w:val="2"/>
                <w:sz w:val="24"/>
                <w:szCs w:val="24"/>
              </w:rPr>
              <w:t>的促销活动，顾客在双方购物所获赠的购物券</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均可充当同等金额的现金，可在本公司南京地区各连锁店及银河国际购物广场消费时通</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用，双方于每月</w:t>
            </w:r>
            <w:r>
              <w:rPr>
                <w:rFonts w:ascii="宋体" w:hAnsi="宋体" w:cs="宋体" w:eastAsia="宋体" w:hint="default"/>
                <w:spacing w:val="-63"/>
                <w:sz w:val="24"/>
                <w:szCs w:val="24"/>
              </w:rPr>
              <w:t> </w:t>
            </w:r>
            <w:r>
              <w:rPr>
                <w:rFonts w:ascii="Arial" w:hAnsi="Arial" w:cs="Arial" w:eastAsia="Arial" w:hint="default"/>
                <w:sz w:val="24"/>
                <w:szCs w:val="24"/>
              </w:rPr>
              <w:t>25</w:t>
            </w:r>
            <w:r>
              <w:rPr>
                <w:rFonts w:ascii="Arial" w:hAnsi="Arial" w:cs="Arial" w:eastAsia="Arial" w:hint="default"/>
                <w:spacing w:val="-8"/>
                <w:sz w:val="24"/>
                <w:szCs w:val="24"/>
              </w:rPr>
              <w:t> </w:t>
            </w:r>
            <w:r>
              <w:rPr>
                <w:rFonts w:ascii="宋体" w:hAnsi="宋体" w:cs="宋体" w:eastAsia="宋体" w:hint="default"/>
                <w:sz w:val="24"/>
                <w:szCs w:val="24"/>
              </w:rPr>
              <w:t>日定期进行购物券的核对结算并开具相应票据。</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2" w:lineRule="exact"/>
              <w:ind w:left="139" w:right="0"/>
              <w:jc w:val="both"/>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pacing w:val="-5"/>
                <w:sz w:val="24"/>
                <w:szCs w:val="24"/>
              </w:rPr>
              <w:t>2011 </w:t>
            </w:r>
            <w:r>
              <w:rPr>
                <w:rFonts w:ascii="宋体" w:hAnsi="宋体" w:cs="宋体" w:eastAsia="宋体" w:hint="default"/>
                <w:sz w:val="24"/>
                <w:szCs w:val="24"/>
              </w:rPr>
              <w:t>年度，顾客所持本公司购物券在银河国际购物广场使用的金额约为人民币 </w:t>
            </w:r>
            <w:r>
              <w:rPr>
                <w:rFonts w:ascii="Arial" w:hAnsi="Arial" w:cs="Arial" w:eastAsia="Arial" w:hint="default"/>
                <w:sz w:val="24"/>
                <w:szCs w:val="24"/>
              </w:rPr>
              <w:t>8</w:t>
            </w:r>
            <w:r>
              <w:rPr>
                <w:rFonts w:ascii="Arial" w:hAnsi="Arial" w:cs="Arial" w:eastAsia="Arial" w:hint="default"/>
                <w:spacing w:val="-40"/>
                <w:sz w:val="24"/>
                <w:szCs w:val="24"/>
              </w:rPr>
              <w:t> </w:t>
            </w:r>
            <w:r>
              <w:rPr>
                <w:rFonts w:ascii="宋体" w:hAnsi="宋体" w:cs="宋体" w:eastAsia="宋体" w:hint="default"/>
                <w:sz w:val="24"/>
                <w:szCs w:val="24"/>
              </w:rPr>
              <w:t>万</w:t>
            </w:r>
          </w:p>
          <w:p>
            <w:pPr>
              <w:pStyle w:val="TableParagraph"/>
              <w:spacing w:line="322" w:lineRule="exact"/>
              <w:ind w:left="139" w:right="0"/>
              <w:jc w:val="both"/>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pacing w:val="-4"/>
                <w:sz w:val="24"/>
                <w:szCs w:val="24"/>
              </w:rPr>
              <w:t> </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2"/>
                <w:sz w:val="24"/>
                <w:szCs w:val="24"/>
              </w:rPr>
              <w:t> </w:t>
            </w:r>
            <w:r>
              <w:rPr>
                <w:rFonts w:ascii="Arial" w:hAnsi="Arial" w:cs="Arial" w:eastAsia="Arial" w:hint="default"/>
                <w:sz w:val="24"/>
                <w:szCs w:val="24"/>
              </w:rPr>
              <w:t>8</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2" w:lineRule="exact"/>
        <w:jc w:val="both"/>
        <w:rPr>
          <w:rFonts w:ascii="宋体" w:hAnsi="宋体" w:cs="宋体" w:eastAsia="宋体" w:hint="default"/>
          <w:sz w:val="24"/>
          <w:szCs w:val="24"/>
        </w:rPr>
        <w:sectPr>
          <w:headerReference w:type="default" r:id="rId96"/>
          <w:footerReference w:type="default" r:id="rId97"/>
          <w:pgSz w:w="11910" w:h="16850"/>
          <w:pgMar w:header="754" w:footer="956" w:top="2240" w:bottom="1140" w:left="820" w:right="0"/>
          <w:pgNumType w:start="202"/>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4016"/>
        <w:gridCol w:w="3386"/>
        <w:gridCol w:w="2117"/>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4016"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9"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386" w:type="dxa"/>
            <w:tcBorders>
              <w:top w:val="single" w:sz="6" w:space="0" w:color="000000"/>
              <w:left w:val="nil" w:sz="6" w:space="0" w:color="auto"/>
              <w:bottom w:val="nil" w:sz="6" w:space="0" w:color="auto"/>
              <w:right w:val="nil" w:sz="6" w:space="0" w:color="auto"/>
            </w:tcBorders>
          </w:tcPr>
          <w:p>
            <w:pPr/>
          </w:p>
        </w:tc>
        <w:tc>
          <w:tcPr>
            <w:tcW w:w="2117"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Arial" w:hAnsi="Arial" w:cs="Arial" w:eastAsia="Arial" w:hint="default"/>
                <w:sz w:val="24"/>
                <w:szCs w:val="24"/>
              </w:rPr>
            </w:pPr>
            <w:r>
              <w:rPr>
                <w:rFonts w:ascii="宋体" w:hAnsi="宋体" w:cs="宋体" w:eastAsia="宋体" w:hint="default"/>
                <w:b/>
                <w:bCs/>
                <w:sz w:val="24"/>
                <w:szCs w:val="24"/>
              </w:rPr>
              <w:t>关联交易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338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(e)</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宋体" w:hAnsi="宋体" w:cs="宋体" w:eastAsia="宋体" w:hint="default"/>
                <w:sz w:val="24"/>
                <w:szCs w:val="24"/>
              </w:rPr>
            </w:pPr>
            <w:r>
              <w:rPr>
                <w:rFonts w:ascii="宋体" w:hAnsi="宋体" w:cs="宋体" w:eastAsia="宋体" w:hint="default"/>
                <w:sz w:val="24"/>
                <w:szCs w:val="24"/>
              </w:rPr>
              <w:t>商标使用许可协议</w:t>
            </w:r>
          </w:p>
        </w:tc>
        <w:tc>
          <w:tcPr>
            <w:tcW w:w="338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4261" w:hRule="exact"/>
        </w:trPr>
        <w:tc>
          <w:tcPr>
            <w:tcW w:w="10290" w:type="dxa"/>
            <w:gridSpan w:val="4"/>
            <w:tcBorders>
              <w:top w:val="nil" w:sz="6" w:space="0" w:color="auto"/>
              <w:left w:val="nil" w:sz="6" w:space="0" w:color="auto"/>
              <w:bottom w:val="nil" w:sz="6" w:space="0" w:color="auto"/>
              <w:right w:val="nil" w:sz="6" w:space="0" w:color="auto"/>
            </w:tcBorders>
          </w:tcPr>
          <w:p>
            <w:pPr>
              <w:pStyle w:val="TableParagraph"/>
              <w:spacing w:line="225" w:lineRule="auto" w:before="116"/>
              <w:ind w:left="910" w:right="235"/>
              <w:jc w:val="both"/>
              <w:rPr>
                <w:rFonts w:ascii="宋体" w:hAnsi="宋体" w:cs="宋体" w:eastAsia="宋体" w:hint="default"/>
                <w:sz w:val="24"/>
                <w:szCs w:val="24"/>
              </w:rPr>
            </w:pPr>
            <w:r>
              <w:rPr>
                <w:rFonts w:ascii="Arial" w:hAnsi="Arial" w:cs="Arial" w:eastAsia="Arial" w:hint="default"/>
                <w:sz w:val="24"/>
                <w:szCs w:val="24"/>
              </w:rPr>
              <w:t>(1)</w:t>
            </w:r>
            <w:r>
              <w:rPr>
                <w:rFonts w:ascii="Arial" w:hAnsi="Arial" w:cs="Arial" w:eastAsia="Arial" w:hint="default"/>
                <w:spacing w:val="51"/>
                <w:sz w:val="24"/>
                <w:szCs w:val="24"/>
              </w:rPr>
              <w:t> </w:t>
            </w: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2002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20 </w:t>
            </w:r>
            <w:r>
              <w:rPr>
                <w:rFonts w:ascii="宋体" w:hAnsi="宋体" w:cs="宋体" w:eastAsia="宋体" w:hint="default"/>
                <w:sz w:val="24"/>
                <w:szCs w:val="24"/>
              </w:rPr>
              <w:t>日，经本集团</w:t>
            </w:r>
            <w:r>
              <w:rPr>
                <w:rFonts w:ascii="宋体" w:hAnsi="宋体" w:cs="宋体" w:eastAsia="宋体" w:hint="default"/>
                <w:spacing w:val="-54"/>
                <w:sz w:val="24"/>
                <w:szCs w:val="24"/>
              </w:rPr>
              <w:t> </w:t>
            </w:r>
            <w:r>
              <w:rPr>
                <w:rFonts w:ascii="Arial" w:hAnsi="Arial" w:cs="Arial" w:eastAsia="Arial" w:hint="default"/>
                <w:sz w:val="24"/>
                <w:szCs w:val="24"/>
              </w:rPr>
              <w:t>2001</w:t>
            </w:r>
            <w:r>
              <w:rPr>
                <w:rFonts w:ascii="Arial" w:hAnsi="Arial" w:cs="Arial" w:eastAsia="Arial" w:hint="default"/>
                <w:spacing w:val="-2"/>
                <w:sz w:val="24"/>
                <w:szCs w:val="24"/>
              </w:rPr>
              <w:t> </w:t>
            </w:r>
            <w:r>
              <w:rPr>
                <w:rFonts w:ascii="宋体" w:hAnsi="宋体" w:cs="宋体" w:eastAsia="宋体" w:hint="default"/>
                <w:sz w:val="24"/>
                <w:szCs w:val="24"/>
              </w:rPr>
              <w:t>年年度股东大会批准，同意环球集团及其全 资、控股公司和具有实际控制权的公司在规定的投资行业中，无偿使用</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w:t>
            </w:r>
            <w:r>
              <w:rPr>
                <w:rFonts w:ascii="宋体" w:hAnsi="宋体" w:cs="宋体" w:eastAsia="宋体" w:hint="default"/>
                <w:spacing w:val="50"/>
                <w:sz w:val="24"/>
                <w:szCs w:val="24"/>
              </w:rPr>
              <w:t> </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Arial" w:hAnsi="Arial" w:cs="Arial" w:eastAsia="Arial" w:hint="default"/>
                <w:spacing w:val="-63"/>
                <w:sz w:val="24"/>
                <w:szCs w:val="24"/>
              </w:rPr>
              <w:t> </w:t>
            </w:r>
            <w:r>
              <w:rPr>
                <w:rFonts w:ascii="宋体" w:hAnsi="宋体" w:cs="宋体" w:eastAsia="宋体" w:hint="default"/>
                <w:sz w:val="24"/>
                <w:szCs w:val="24"/>
              </w:rPr>
              <w:t>及</w:t>
            </w:r>
            <w:r>
              <w:rPr>
                <w:rFonts w:ascii="宋体" w:hAnsi="宋体" w:cs="宋体" w:eastAsia="宋体" w:hint="default"/>
                <w:spacing w:val="-2"/>
                <w:sz w:val="24"/>
                <w:szCs w:val="24"/>
              </w:rPr>
              <w:t> </w:t>
            </w:r>
            <w:r>
              <w:rPr>
                <w:rFonts w:ascii="Arial" w:hAnsi="Arial" w:cs="Arial" w:eastAsia="Arial" w:hint="default"/>
                <w:sz w:val="24"/>
                <w:szCs w:val="24"/>
              </w:rPr>
              <w:t>“NS”</w:t>
            </w:r>
            <w:r>
              <w:rPr>
                <w:rFonts w:ascii="宋体" w:hAnsi="宋体" w:cs="宋体" w:eastAsia="宋体" w:hint="default"/>
                <w:sz w:val="24"/>
                <w:szCs w:val="24"/>
              </w:rPr>
              <w:t>组合的系列注册商标。</w:t>
            </w: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2" w:lineRule="exact"/>
              <w:ind w:left="910" w:right="236"/>
              <w:jc w:val="both"/>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51"/>
                <w:sz w:val="24"/>
                <w:szCs w:val="24"/>
              </w:rPr>
              <w:t> </w:t>
            </w: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2008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3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20 </w:t>
            </w:r>
            <w:r>
              <w:rPr>
                <w:rFonts w:ascii="宋体" w:hAnsi="宋体" w:cs="宋体" w:eastAsia="宋体" w:hint="default"/>
                <w:sz w:val="24"/>
                <w:szCs w:val="24"/>
              </w:rPr>
              <w:t>日，经本公司</w:t>
            </w:r>
            <w:r>
              <w:rPr>
                <w:rFonts w:ascii="宋体" w:hAnsi="宋体" w:cs="宋体" w:eastAsia="宋体" w:hint="default"/>
                <w:spacing w:val="-54"/>
                <w:sz w:val="24"/>
                <w:szCs w:val="24"/>
              </w:rPr>
              <w:t> </w:t>
            </w:r>
            <w:r>
              <w:rPr>
                <w:rFonts w:ascii="Arial" w:hAnsi="Arial" w:cs="Arial" w:eastAsia="Arial" w:hint="default"/>
                <w:sz w:val="24"/>
                <w:szCs w:val="24"/>
              </w:rPr>
              <w:t>2007</w:t>
            </w:r>
            <w:r>
              <w:rPr>
                <w:rFonts w:ascii="Arial" w:hAnsi="Arial" w:cs="Arial" w:eastAsia="Arial" w:hint="default"/>
                <w:spacing w:val="-2"/>
                <w:sz w:val="24"/>
                <w:szCs w:val="24"/>
              </w:rPr>
              <w:t> </w:t>
            </w:r>
            <w:r>
              <w:rPr>
                <w:rFonts w:ascii="宋体" w:hAnsi="宋体" w:cs="宋体" w:eastAsia="宋体" w:hint="default"/>
                <w:sz w:val="24"/>
                <w:szCs w:val="24"/>
              </w:rPr>
              <w:t>年年度股东大会批准，同意许可苏宁电器集 </w:t>
            </w:r>
            <w:r>
              <w:rPr>
                <w:rFonts w:ascii="宋体" w:hAnsi="宋体" w:cs="宋体" w:eastAsia="宋体" w:hint="default"/>
                <w:spacing w:val="-2"/>
                <w:sz w:val="24"/>
                <w:szCs w:val="24"/>
              </w:rPr>
              <w:t>团有限公司及其全资、控股子公司和具有实际控制权的公司使用本公司已注册的部分</w:t>
            </w:r>
            <w:r>
              <w:rPr>
                <w:rFonts w:ascii="Arial" w:hAnsi="Arial" w:cs="Arial" w:eastAsia="Arial" w:hint="default"/>
                <w:spacing w:val="-2"/>
                <w:sz w:val="24"/>
                <w:szCs w:val="24"/>
              </w:rPr>
              <w:t>“</w:t>
            </w:r>
            <w:r>
              <w:rPr>
                <w:rFonts w:ascii="宋体" w:hAnsi="宋体" w:cs="宋体" w:eastAsia="宋体" w:hint="default"/>
                <w:spacing w:val="-2"/>
                <w:sz w:val="24"/>
                <w:szCs w:val="24"/>
              </w:rPr>
              <w:t>蘇</w:t>
            </w:r>
            <w:r>
              <w:rPr>
                <w:rFonts w:ascii="宋体" w:hAnsi="宋体" w:cs="宋体" w:eastAsia="宋体" w:hint="default"/>
                <w:spacing w:val="-105"/>
                <w:sz w:val="24"/>
                <w:szCs w:val="24"/>
              </w:rPr>
              <w:t> </w:t>
            </w:r>
            <w:r>
              <w:rPr>
                <w:rFonts w:ascii="宋体" w:hAnsi="宋体" w:cs="宋体" w:eastAsia="宋体" w:hint="default"/>
                <w:sz w:val="24"/>
                <w:szCs w:val="24"/>
              </w:rPr>
              <w:t>寧</w:t>
            </w:r>
            <w:r>
              <w:rPr>
                <w:rFonts w:ascii="Arial" w:hAnsi="Arial" w:cs="Arial" w:eastAsia="Arial" w:hint="default"/>
                <w:sz w:val="24"/>
                <w:szCs w:val="24"/>
              </w:rPr>
              <w:t>”</w:t>
            </w:r>
            <w:r>
              <w:rPr>
                <w:rFonts w:ascii="宋体" w:hAnsi="宋体" w:cs="宋体" w:eastAsia="宋体" w:hint="default"/>
                <w:sz w:val="24"/>
                <w:szCs w:val="24"/>
              </w:rPr>
              <w:t>系列注册商标以及部分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宋体" w:hAnsi="宋体" w:cs="宋体" w:eastAsia="宋体" w:hint="default"/>
                <w:spacing w:val="-5"/>
                <w:sz w:val="24"/>
                <w:szCs w:val="24"/>
              </w:rPr>
              <w:t> </w:t>
            </w:r>
            <w:r>
              <w:rPr>
                <w:rFonts w:ascii="Arial" w:hAnsi="Arial" w:cs="Arial" w:eastAsia="Arial" w:hint="default"/>
                <w:sz w:val="24"/>
                <w:szCs w:val="24"/>
              </w:rPr>
              <w:t>“NS”</w:t>
            </w:r>
            <w:r>
              <w:rPr>
                <w:rFonts w:ascii="宋体" w:hAnsi="宋体" w:cs="宋体" w:eastAsia="宋体" w:hint="default"/>
                <w:sz w:val="24"/>
                <w:szCs w:val="24"/>
              </w:rPr>
              <w:t>组合的系列注册商标。</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2" w:lineRule="exact"/>
              <w:ind w:left="910"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3"/>
                <w:sz w:val="24"/>
                <w:szCs w:val="24"/>
              </w:rPr>
              <w:t> </w:t>
            </w:r>
            <w:r>
              <w:rPr>
                <w:rFonts w:ascii="Arial" w:hAnsi="Arial" w:cs="Arial" w:eastAsia="Arial" w:hint="default"/>
                <w:w w:val="99"/>
                <w:sz w:val="24"/>
                <w:szCs w:val="24"/>
              </w:rPr>
              <w:t>2008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w w:val="99"/>
                <w:sz w:val="24"/>
                <w:szCs w:val="24"/>
              </w:rPr>
              <w:t>5</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w w:val="99"/>
                <w:sz w:val="24"/>
                <w:szCs w:val="24"/>
              </w:rPr>
              <w:t>15</w:t>
            </w:r>
            <w:r>
              <w:rPr>
                <w:rFonts w:ascii="Arial" w:hAnsi="Arial" w:cs="Arial" w:eastAsia="Arial" w:hint="default"/>
                <w:spacing w:val="2"/>
                <w:sz w:val="24"/>
                <w:szCs w:val="24"/>
              </w:rPr>
              <w:t> </w:t>
            </w:r>
            <w:r>
              <w:rPr>
                <w:rFonts w:ascii="宋体" w:hAnsi="宋体" w:cs="宋体" w:eastAsia="宋体" w:hint="default"/>
                <w:spacing w:val="-3"/>
                <w:sz w:val="24"/>
                <w:szCs w:val="24"/>
              </w:rPr>
              <w:t>日</w:t>
            </w:r>
            <w:r>
              <w:rPr>
                <w:rFonts w:ascii="宋体" w:hAnsi="宋体" w:cs="宋体" w:eastAsia="宋体" w:hint="default"/>
                <w:sz w:val="24"/>
                <w:szCs w:val="24"/>
              </w:rPr>
              <w:t>，本公司与苏宁电器集团有限公司签订《商标使用许可协议</w:t>
            </w:r>
            <w:r>
              <w:rPr>
                <w:rFonts w:ascii="宋体" w:hAnsi="宋体" w:cs="宋体" w:eastAsia="宋体" w:hint="default"/>
                <w:spacing w:val="-120"/>
                <w:sz w:val="24"/>
                <w:szCs w:val="24"/>
              </w:rPr>
              <w:t>》</w:t>
            </w:r>
            <w:r>
              <w:rPr>
                <w:rFonts w:ascii="宋体" w:hAnsi="宋体" w:cs="宋体" w:eastAsia="宋体" w:hint="default"/>
                <w:sz w:val="24"/>
                <w:szCs w:val="24"/>
              </w:rPr>
              <w:t>，约</w:t>
            </w:r>
          </w:p>
          <w:p>
            <w:pPr>
              <w:pStyle w:val="TableParagraph"/>
              <w:spacing w:line="312" w:lineRule="exact" w:before="21"/>
              <w:ind w:left="910" w:right="234"/>
              <w:jc w:val="both"/>
              <w:rPr>
                <w:rFonts w:ascii="宋体" w:hAnsi="宋体" w:cs="宋体" w:eastAsia="宋体" w:hint="default"/>
                <w:sz w:val="24"/>
                <w:szCs w:val="24"/>
              </w:rPr>
            </w:pPr>
            <w:r>
              <w:rPr>
                <w:rFonts w:ascii="宋体" w:hAnsi="宋体" w:cs="宋体" w:eastAsia="宋体" w:hint="default"/>
                <w:sz w:val="24"/>
                <w:szCs w:val="24"/>
              </w:rPr>
              <w:t>定自</w:t>
            </w:r>
            <w:r>
              <w:rPr>
                <w:rFonts w:ascii="宋体" w:hAnsi="宋体" w:cs="宋体" w:eastAsia="宋体" w:hint="default"/>
                <w:spacing w:val="-58"/>
                <w:sz w:val="24"/>
                <w:szCs w:val="24"/>
              </w:rPr>
              <w:t> </w:t>
            </w:r>
            <w:r>
              <w:rPr>
                <w:rFonts w:ascii="Arial" w:hAnsi="Arial" w:cs="Arial" w:eastAsia="Arial" w:hint="default"/>
                <w:spacing w:val="-1"/>
                <w:w w:val="99"/>
                <w:sz w:val="24"/>
                <w:szCs w:val="24"/>
              </w:rPr>
              <w:t>2008</w:t>
            </w:r>
            <w:r>
              <w:rPr>
                <w:rFonts w:ascii="Arial" w:hAnsi="Arial" w:cs="Arial" w:eastAsia="Arial" w:hint="default"/>
                <w:spacing w:val="-3"/>
                <w:w w:val="9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w w:val="99"/>
                <w:sz w:val="24"/>
                <w:szCs w:val="24"/>
              </w:rPr>
              <w:t>6</w:t>
            </w:r>
            <w:r>
              <w:rPr>
                <w:rFonts w:ascii="Arial" w:hAnsi="Arial" w:cs="Arial" w:eastAsia="Arial" w:hint="default"/>
                <w:spacing w:val="-3"/>
                <w:w w:val="9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w w:val="99"/>
                <w:sz w:val="24"/>
                <w:szCs w:val="24"/>
              </w:rPr>
              <w:t>1</w:t>
            </w:r>
            <w:r>
              <w:rPr>
                <w:rFonts w:ascii="Arial" w:hAnsi="Arial" w:cs="Arial" w:eastAsia="Arial" w:hint="default"/>
                <w:spacing w:val="-3"/>
                <w:w w:val="99"/>
                <w:sz w:val="24"/>
                <w:szCs w:val="24"/>
              </w:rPr>
              <w:t> </w:t>
            </w:r>
            <w:r>
              <w:rPr>
                <w:rFonts w:ascii="宋体" w:hAnsi="宋体" w:cs="宋体" w:eastAsia="宋体" w:hint="default"/>
                <w:spacing w:val="-4"/>
                <w:sz w:val="24"/>
                <w:szCs w:val="24"/>
              </w:rPr>
              <w:t>日起，苏宁电器股份有限公司在其拥有</w:t>
            </w:r>
            <w:r>
              <w:rPr>
                <w:rFonts w:ascii="Arial" w:hAnsi="Arial" w:cs="Arial" w:eastAsia="Arial" w:hint="default"/>
                <w:spacing w:val="-4"/>
                <w:sz w:val="24"/>
                <w:szCs w:val="24"/>
              </w:rPr>
              <w:t>“</w:t>
            </w:r>
            <w:r>
              <w:rPr>
                <w:rFonts w:ascii="宋体" w:hAnsi="宋体" w:cs="宋体" w:eastAsia="宋体" w:hint="default"/>
                <w:spacing w:val="-4"/>
                <w:sz w:val="24"/>
                <w:szCs w:val="24"/>
              </w:rPr>
              <w:t>蘇寧</w:t>
            </w:r>
            <w:r>
              <w:rPr>
                <w:rFonts w:ascii="Arial" w:hAnsi="Arial" w:cs="Arial" w:eastAsia="Arial" w:hint="default"/>
                <w:spacing w:val="-4"/>
                <w:sz w:val="24"/>
                <w:szCs w:val="24"/>
              </w:rPr>
              <w:t>”</w:t>
            </w:r>
            <w:r>
              <w:rPr>
                <w:rFonts w:ascii="宋体" w:hAnsi="宋体" w:cs="宋体" w:eastAsia="宋体" w:hint="default"/>
                <w:spacing w:val="-4"/>
                <w:sz w:val="24"/>
                <w:szCs w:val="24"/>
              </w:rPr>
              <w:t>系列注册商标以及部分</w:t>
            </w:r>
            <w:r>
              <w:rPr>
                <w:rFonts w:ascii="宋体" w:hAnsi="宋体" w:cs="宋体" w:eastAsia="宋体" w:hint="default"/>
                <w:sz w:val="24"/>
                <w:szCs w:val="24"/>
              </w:rPr>
              <w:t> </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Arial" w:hAnsi="Arial" w:cs="Arial" w:eastAsia="Arial" w:hint="default"/>
                <w:sz w:val="24"/>
                <w:szCs w:val="24"/>
              </w:rPr>
              <w:t>“NS”</w:t>
            </w:r>
            <w:r>
              <w:rPr>
                <w:rFonts w:ascii="宋体" w:hAnsi="宋体" w:cs="宋体" w:eastAsia="宋体" w:hint="default"/>
                <w:sz w:val="24"/>
                <w:szCs w:val="24"/>
              </w:rPr>
              <w:t>组合的系列注册商标的专用权期限内，许可苏宁电器集团有限公司无限期</w:t>
            </w:r>
            <w:r>
              <w:rPr>
                <w:rFonts w:ascii="宋体" w:hAnsi="宋体" w:cs="宋体" w:eastAsia="宋体" w:hint="default"/>
                <w:spacing w:val="-44"/>
                <w:sz w:val="24"/>
                <w:szCs w:val="24"/>
              </w:rPr>
              <w:t> </w:t>
            </w:r>
            <w:r>
              <w:rPr>
                <w:rFonts w:ascii="宋体" w:hAnsi="宋体" w:cs="宋体" w:eastAsia="宋体" w:hint="default"/>
                <w:spacing w:val="-44"/>
                <w:sz w:val="24"/>
                <w:szCs w:val="24"/>
              </w:rPr>
            </w:r>
            <w:r>
              <w:rPr>
                <w:rFonts w:ascii="宋体" w:hAnsi="宋体" w:cs="宋体" w:eastAsia="宋体" w:hint="default"/>
                <w:sz w:val="24"/>
                <w:szCs w:val="24"/>
              </w:rPr>
              <w:t>有偿使用部分注册商标，苏宁电器集团有限公司每年支付本公司商标使用费人民币</w:t>
            </w:r>
            <w:r>
              <w:rPr>
                <w:rFonts w:ascii="宋体" w:hAnsi="宋体" w:cs="宋体" w:eastAsia="宋体" w:hint="default"/>
                <w:spacing w:val="-22"/>
                <w:sz w:val="24"/>
                <w:szCs w:val="24"/>
              </w:rPr>
              <w:t> </w:t>
            </w:r>
            <w:r>
              <w:rPr>
                <w:rFonts w:ascii="Arial" w:hAnsi="Arial" w:cs="Arial" w:eastAsia="Arial" w:hint="default"/>
                <w:sz w:val="24"/>
                <w:szCs w:val="24"/>
              </w:rPr>
              <w:t>100</w:t>
            </w:r>
            <w:r>
              <w:rPr>
                <w:rFonts w:ascii="Arial" w:hAnsi="Arial" w:cs="Arial" w:eastAsia="Arial" w:hint="default"/>
                <w:w w:val="99"/>
                <w:sz w:val="24"/>
                <w:szCs w:val="24"/>
              </w:rPr>
              <w:t> </w:t>
            </w:r>
            <w:r>
              <w:rPr>
                <w:rFonts w:ascii="宋体" w:hAnsi="宋体" w:cs="宋体" w:eastAsia="宋体" w:hint="default"/>
                <w:sz w:val="24"/>
                <w:szCs w:val="24"/>
              </w:rPr>
              <w:t>万元。</w:t>
            </w:r>
          </w:p>
        </w:tc>
      </w:tr>
      <w:tr>
        <w:trPr>
          <w:trHeight w:val="1218" w:hRule="exact"/>
        </w:trPr>
        <w:tc>
          <w:tcPr>
            <w:tcW w:w="1029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1"/>
              <w:ind w:left="910" w:right="214"/>
              <w:jc w:val="both"/>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52"/>
                <w:sz w:val="24"/>
                <w:szCs w:val="24"/>
              </w:rPr>
              <w:t> </w:t>
            </w: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日，经本公司</w:t>
            </w:r>
            <w:r>
              <w:rPr>
                <w:rFonts w:ascii="宋体" w:hAnsi="宋体" w:cs="宋体" w:eastAsia="宋体" w:hint="default"/>
                <w:spacing w:val="-52"/>
                <w:sz w:val="24"/>
                <w:szCs w:val="24"/>
              </w:rPr>
              <w:t> </w:t>
            </w:r>
            <w:r>
              <w:rPr>
                <w:rFonts w:ascii="Arial" w:hAnsi="Arial" w:cs="Arial" w:eastAsia="Arial" w:hint="default"/>
                <w:sz w:val="24"/>
                <w:szCs w:val="24"/>
              </w:rPr>
              <w:t>2008 </w:t>
            </w:r>
            <w:r>
              <w:rPr>
                <w:rFonts w:ascii="宋体" w:hAnsi="宋体" w:cs="宋体" w:eastAsia="宋体" w:hint="default"/>
                <w:sz w:val="24"/>
                <w:szCs w:val="24"/>
              </w:rPr>
              <w:t>年年度股东大会批准，同意许可苏宁电器集 </w:t>
            </w:r>
            <w:r>
              <w:rPr>
                <w:rFonts w:ascii="宋体" w:hAnsi="宋体" w:cs="宋体" w:eastAsia="宋体" w:hint="default"/>
                <w:spacing w:val="2"/>
                <w:sz w:val="24"/>
                <w:szCs w:val="24"/>
              </w:rPr>
              <w:t>团有限公司及其直接或间接持有</w:t>
            </w:r>
            <w:r>
              <w:rPr>
                <w:rFonts w:ascii="宋体" w:hAnsi="宋体" w:cs="宋体" w:eastAsia="宋体" w:hint="default"/>
                <w:spacing w:val="17"/>
                <w:sz w:val="24"/>
                <w:szCs w:val="24"/>
              </w:rPr>
              <w:t> </w:t>
            </w:r>
            <w:r>
              <w:rPr>
                <w:rFonts w:ascii="Arial" w:hAnsi="Arial" w:cs="Arial" w:eastAsia="Arial" w:hint="default"/>
                <w:sz w:val="24"/>
                <w:szCs w:val="24"/>
              </w:rPr>
              <w:t>20%</w:t>
            </w:r>
            <w:r>
              <w:rPr>
                <w:rFonts w:ascii="宋体" w:hAnsi="宋体" w:cs="宋体" w:eastAsia="宋体" w:hint="default"/>
                <w:sz w:val="24"/>
                <w:szCs w:val="24"/>
              </w:rPr>
              <w:t>以上</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12"/>
                <w:sz w:val="24"/>
                <w:szCs w:val="24"/>
              </w:rPr>
              <w:t> </w:t>
            </w:r>
            <w:r>
              <w:rPr>
                <w:rFonts w:ascii="Arial" w:hAnsi="Arial" w:cs="Arial" w:eastAsia="Arial" w:hint="default"/>
                <w:spacing w:val="2"/>
                <w:sz w:val="24"/>
                <w:szCs w:val="24"/>
              </w:rPr>
              <w:t>20%)</w:t>
            </w:r>
            <w:r>
              <w:rPr>
                <w:rFonts w:ascii="宋体" w:hAnsi="宋体" w:cs="宋体" w:eastAsia="宋体" w:hint="default"/>
                <w:spacing w:val="2"/>
                <w:sz w:val="24"/>
                <w:szCs w:val="24"/>
              </w:rPr>
              <w:t>股份的公司使用公司已注册的部分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以及</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的汉语拼音</w:t>
            </w:r>
            <w:r>
              <w:rPr>
                <w:rFonts w:ascii="Arial" w:hAnsi="Arial" w:cs="Arial" w:eastAsia="Arial" w:hint="default"/>
                <w:sz w:val="24"/>
                <w:szCs w:val="24"/>
              </w:rPr>
              <w:t>“SUNING”</w:t>
            </w:r>
            <w:r>
              <w:rPr>
                <w:rFonts w:ascii="宋体" w:hAnsi="宋体" w:cs="宋体" w:eastAsia="宋体" w:hint="default"/>
                <w:sz w:val="24"/>
                <w:szCs w:val="24"/>
              </w:rPr>
              <w:t>系列商标。</w:t>
            </w:r>
          </w:p>
        </w:tc>
      </w:tr>
      <w:tr>
        <w:trPr>
          <w:trHeight w:val="1521" w:hRule="exact"/>
        </w:trPr>
        <w:tc>
          <w:tcPr>
            <w:tcW w:w="1029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91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pacing w:val="-1"/>
                <w:w w:val="99"/>
                <w:sz w:val="24"/>
                <w:szCs w:val="24"/>
              </w:rPr>
              <w:t>2009</w:t>
            </w:r>
            <w:r>
              <w:rPr>
                <w:rFonts w:ascii="Arial" w:hAnsi="Arial" w:cs="Arial" w:eastAsia="Arial" w:hint="default"/>
                <w:spacing w:val="8"/>
                <w:w w:val="99"/>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Arial" w:hAnsi="Arial" w:cs="Arial" w:eastAsia="Arial" w:hint="default"/>
                <w:w w:val="99"/>
                <w:sz w:val="24"/>
                <w:szCs w:val="24"/>
              </w:rPr>
              <w:t>6</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Arial" w:hAnsi="Arial" w:cs="Arial" w:eastAsia="Arial" w:hint="default"/>
                <w:spacing w:val="-1"/>
                <w:w w:val="99"/>
                <w:sz w:val="24"/>
                <w:szCs w:val="24"/>
              </w:rPr>
              <w:t>26</w:t>
            </w:r>
            <w:r>
              <w:rPr>
                <w:rFonts w:ascii="Arial" w:hAnsi="Arial" w:cs="Arial" w:eastAsia="Arial" w:hint="default"/>
                <w:spacing w:val="10"/>
                <w:w w:val="99"/>
                <w:sz w:val="24"/>
                <w:szCs w:val="24"/>
              </w:rPr>
              <w:t> </w:t>
            </w:r>
            <w:r>
              <w:rPr>
                <w:rFonts w:ascii="宋体" w:hAnsi="宋体" w:cs="宋体" w:eastAsia="宋体" w:hint="default"/>
                <w:spacing w:val="-5"/>
                <w:sz w:val="24"/>
                <w:szCs w:val="24"/>
              </w:rPr>
              <w:t>日，本公司与苏宁电器集团有限公司签订《商标使用许可协议》，约</w:t>
            </w:r>
            <w:r>
              <w:rPr>
                <w:rFonts w:ascii="宋体" w:hAnsi="宋体" w:cs="宋体" w:eastAsia="宋体" w:hint="default"/>
                <w:sz w:val="24"/>
                <w:szCs w:val="24"/>
              </w:rPr>
              <w:t> </w:t>
            </w:r>
            <w:r>
              <w:rPr>
                <w:rFonts w:ascii="宋体" w:hAnsi="宋体" w:cs="宋体" w:eastAsia="宋体" w:hint="default"/>
                <w:spacing w:val="11"/>
                <w:sz w:val="24"/>
                <w:szCs w:val="24"/>
              </w:rPr>
              <w:t>定自签订协议之日起，苏宁电器股份有限公司在其拥有</w:t>
            </w:r>
            <w:r>
              <w:rPr>
                <w:rFonts w:ascii="Arial" w:hAnsi="Arial" w:cs="Arial" w:eastAsia="Arial" w:hint="default"/>
                <w:spacing w:val="11"/>
                <w:sz w:val="24"/>
                <w:szCs w:val="24"/>
              </w:rPr>
              <w:t>“</w:t>
            </w:r>
            <w:r>
              <w:rPr>
                <w:rFonts w:ascii="宋体" w:hAnsi="宋体" w:cs="宋体" w:eastAsia="宋体" w:hint="default"/>
                <w:spacing w:val="11"/>
                <w:sz w:val="24"/>
                <w:szCs w:val="24"/>
              </w:rPr>
              <w:t>苏宁</w:t>
            </w:r>
            <w:r>
              <w:rPr>
                <w:rFonts w:ascii="Arial" w:hAnsi="Arial" w:cs="Arial" w:eastAsia="Arial" w:hint="default"/>
                <w:spacing w:val="11"/>
                <w:sz w:val="24"/>
                <w:szCs w:val="24"/>
              </w:rPr>
              <w:t>”</w:t>
            </w:r>
            <w:r>
              <w:rPr>
                <w:rFonts w:ascii="宋体" w:hAnsi="宋体" w:cs="宋体" w:eastAsia="宋体" w:hint="default"/>
                <w:spacing w:val="11"/>
                <w:sz w:val="24"/>
                <w:szCs w:val="24"/>
              </w:rPr>
              <w:t>以及</w:t>
            </w:r>
            <w:r>
              <w:rPr>
                <w:rFonts w:ascii="Arial" w:hAnsi="Arial" w:cs="Arial" w:eastAsia="Arial" w:hint="default"/>
                <w:spacing w:val="11"/>
                <w:sz w:val="24"/>
                <w:szCs w:val="24"/>
              </w:rPr>
              <w:t>“</w:t>
            </w:r>
            <w:r>
              <w:rPr>
                <w:rFonts w:ascii="宋体" w:hAnsi="宋体" w:cs="宋体" w:eastAsia="宋体" w:hint="default"/>
                <w:spacing w:val="11"/>
                <w:sz w:val="24"/>
                <w:szCs w:val="24"/>
              </w:rPr>
              <w:t>苏宁</w:t>
            </w:r>
            <w:r>
              <w:rPr>
                <w:rFonts w:ascii="Arial" w:hAnsi="Arial" w:cs="Arial" w:eastAsia="Arial" w:hint="default"/>
                <w:spacing w:val="11"/>
                <w:sz w:val="24"/>
                <w:szCs w:val="24"/>
              </w:rPr>
              <w:t>”</w:t>
            </w:r>
            <w:r>
              <w:rPr>
                <w:rFonts w:ascii="宋体" w:hAnsi="宋体" w:cs="宋体" w:eastAsia="宋体" w:hint="default"/>
                <w:spacing w:val="11"/>
                <w:sz w:val="24"/>
                <w:szCs w:val="24"/>
              </w:rPr>
              <w:t>的汉语拼音</w:t>
            </w:r>
            <w:r>
              <w:rPr>
                <w:rFonts w:ascii="宋体" w:hAnsi="宋体" w:cs="宋体" w:eastAsia="宋体" w:hint="default"/>
                <w:spacing w:val="-95"/>
                <w:sz w:val="24"/>
                <w:szCs w:val="24"/>
              </w:rPr>
              <w:t> </w:t>
            </w:r>
            <w:r>
              <w:rPr>
                <w:rFonts w:ascii="Arial" w:hAnsi="Arial" w:cs="Arial" w:eastAsia="Arial" w:hint="default"/>
                <w:spacing w:val="-3"/>
                <w:sz w:val="24"/>
                <w:szCs w:val="24"/>
              </w:rPr>
              <w:t>“</w:t>
            </w:r>
            <w:r>
              <w:rPr>
                <w:rFonts w:ascii="Arial" w:hAnsi="Arial" w:cs="Arial" w:eastAsia="Arial" w:hint="default"/>
                <w:spacing w:val="-3"/>
                <w:sz w:val="24"/>
                <w:szCs w:val="24"/>
              </w:rPr>
              <w:t>SUNING</w:t>
            </w:r>
            <w:r>
              <w:rPr>
                <w:rFonts w:ascii="Arial" w:hAnsi="Arial" w:cs="Arial" w:eastAsia="Arial" w:hint="default"/>
                <w:spacing w:val="-3"/>
                <w:sz w:val="24"/>
                <w:szCs w:val="24"/>
              </w:rPr>
              <w:t>”</w:t>
            </w:r>
            <w:r>
              <w:rPr>
                <w:rFonts w:ascii="宋体" w:hAnsi="宋体" w:cs="宋体" w:eastAsia="宋体" w:hint="default"/>
                <w:spacing w:val="-3"/>
                <w:sz w:val="24"/>
                <w:szCs w:val="24"/>
              </w:rPr>
              <w:t>系列注册商标的专用权期限内，许可苏宁电器集团有限公司无限期有偿使用部</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分注册商标，苏宁电器集团有限公司每年支付本公司商标使用费人民币</w:t>
            </w:r>
            <w:r>
              <w:rPr>
                <w:rFonts w:ascii="宋体" w:hAnsi="宋体" w:cs="宋体" w:eastAsia="宋体" w:hint="default"/>
                <w:spacing w:val="-60"/>
                <w:sz w:val="24"/>
                <w:szCs w:val="24"/>
              </w:rPr>
              <w:t> </w:t>
            </w:r>
            <w:r>
              <w:rPr>
                <w:rFonts w:ascii="Arial" w:hAnsi="Arial" w:cs="Arial" w:eastAsia="Arial" w:hint="default"/>
                <w:sz w:val="24"/>
                <w:szCs w:val="24"/>
              </w:rPr>
              <w:t>100</w:t>
            </w:r>
            <w:r>
              <w:rPr>
                <w:rFonts w:ascii="Arial" w:hAnsi="Arial" w:cs="Arial" w:eastAsia="Arial" w:hint="default"/>
                <w:spacing w:val="-7"/>
                <w:sz w:val="24"/>
                <w:szCs w:val="24"/>
              </w:rPr>
              <w:t> </w:t>
            </w:r>
            <w:r>
              <w:rPr>
                <w:rFonts w:ascii="宋体" w:hAnsi="宋体" w:cs="宋体" w:eastAsia="宋体" w:hint="default"/>
                <w:sz w:val="24"/>
                <w:szCs w:val="24"/>
              </w:rPr>
              <w:t>万元。</w:t>
            </w: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(f)</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338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4016"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0"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12"/>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39" w:hRule="exact"/>
        </w:trPr>
        <w:tc>
          <w:tcPr>
            <w:tcW w:w="772" w:type="dxa"/>
            <w:tcBorders>
              <w:top w:val="nil" w:sz="6" w:space="0" w:color="auto"/>
              <w:left w:val="nil" w:sz="6" w:space="0" w:color="auto"/>
              <w:bottom w:val="nil" w:sz="6" w:space="0" w:color="auto"/>
              <w:right w:val="nil" w:sz="6" w:space="0" w:color="auto"/>
            </w:tcBorders>
          </w:tcPr>
          <w:p>
            <w:pP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9"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3386" w:type="dxa"/>
            <w:tcBorders>
              <w:top w:val="nil" w:sz="6" w:space="0" w:color="auto"/>
              <w:left w:val="nil" w:sz="6" w:space="0" w:color="auto"/>
              <w:bottom w:val="nil" w:sz="6" w:space="0" w:color="auto"/>
              <w:right w:val="nil" w:sz="6" w:space="0" w:color="auto"/>
            </w:tcBorders>
          </w:tcPr>
          <w:p>
            <w:pPr>
              <w:pStyle w:val="TableParagraph"/>
              <w:tabs>
                <w:tab w:pos="1956" w:val="left" w:leader="none"/>
                <w:tab w:pos="3209" w:val="left" w:leader="none"/>
                <w:tab w:pos="4685" w:val="left" w:leader="none"/>
              </w:tabs>
              <w:spacing w:line="240" w:lineRule="auto" w:before="168"/>
              <w:ind w:left="254" w:right="-130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6,220 </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17"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68"/>
              <w:ind w:right="106"/>
              <w:jc w:val="right"/>
              <w:rPr>
                <w:rFonts w:ascii="Arial" w:hAnsi="Arial" w:cs="Arial" w:eastAsia="Arial" w:hint="default"/>
                <w:sz w:val="24"/>
                <w:szCs w:val="24"/>
              </w:rPr>
            </w:pPr>
            <w:r>
              <w:rPr>
                <w:rFonts w:ascii="Arial"/>
                <w:w w:val="99"/>
                <w:sz w:val="24"/>
              </w:rPr>
            </w:r>
            <w:r>
              <w:rPr>
                <w:rFonts w:ascii="Arial"/>
                <w:spacing w:val="-1"/>
                <w:sz w:val="24"/>
                <w:u w:val="thick" w:color="000000"/>
              </w:rPr>
              <w:t>6,220</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1754"/>
        <w:gridCol w:w="3381"/>
        <w:gridCol w:w="1903"/>
        <w:gridCol w:w="2629"/>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513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39"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903" w:type="dxa"/>
            <w:tcBorders>
              <w:top w:val="single" w:sz="6" w:space="0" w:color="000000"/>
              <w:left w:val="nil" w:sz="6" w:space="0" w:color="auto"/>
              <w:bottom w:val="nil" w:sz="6" w:space="0" w:color="auto"/>
              <w:right w:val="nil" w:sz="6" w:space="0" w:color="auto"/>
            </w:tcBorders>
          </w:tcPr>
          <w:p>
            <w:pPr/>
          </w:p>
        </w:tc>
        <w:tc>
          <w:tcPr>
            <w:tcW w:w="2629"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(6)</w:t>
            </w:r>
          </w:p>
        </w:tc>
        <w:tc>
          <w:tcPr>
            <w:tcW w:w="51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9" w:right="0"/>
              <w:jc w:val="left"/>
              <w:rPr>
                <w:rFonts w:ascii="宋体" w:hAnsi="宋体" w:cs="宋体" w:eastAsia="宋体" w:hint="default"/>
                <w:sz w:val="24"/>
                <w:szCs w:val="24"/>
              </w:rPr>
            </w:pPr>
            <w:r>
              <w:rPr>
                <w:rFonts w:ascii="宋体" w:hAnsi="宋体" w:cs="宋体" w:eastAsia="宋体" w:hint="default"/>
                <w:b/>
                <w:bCs/>
                <w:sz w:val="24"/>
                <w:szCs w:val="24"/>
              </w:rPr>
              <w:t>关联方应收、应付款项余额</w:t>
            </w:r>
            <w:r>
              <w:rPr>
                <w:rFonts w:ascii="宋体" w:hAnsi="宋体" w:cs="宋体" w:eastAsia="宋体" w:hint="default"/>
                <w:sz w:val="24"/>
                <w:szCs w:val="24"/>
              </w:rPr>
            </w:r>
          </w:p>
        </w:tc>
        <w:tc>
          <w:tcPr>
            <w:tcW w:w="1903"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52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96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52"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9"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58"/>
              <w:jc w:val="right"/>
              <w:rPr>
                <w:rFonts w:ascii="Arial" w:hAnsi="Arial" w:cs="Arial" w:eastAsia="Arial" w:hint="default"/>
                <w:sz w:val="24"/>
                <w:szCs w:val="24"/>
              </w:rPr>
            </w:pPr>
            <w:r>
              <w:rPr>
                <w:rFonts w:ascii="Arial"/>
                <w:w w:val="95"/>
                <w:sz w:val="24"/>
              </w:rPr>
              <w:t>194</w:t>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3381"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9"/>
              <w:jc w:val="right"/>
              <w:rPr>
                <w:rFonts w:ascii="Arial" w:hAnsi="Arial" w:cs="Arial" w:eastAsia="Arial" w:hint="default"/>
                <w:sz w:val="24"/>
                <w:szCs w:val="24"/>
              </w:rPr>
            </w:pPr>
            <w:r>
              <w:rPr>
                <w:rFonts w:ascii="Arial"/>
                <w:spacing w:val="-1"/>
                <w:sz w:val="24"/>
              </w:rPr>
              <w:t>29,973</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381"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8"/>
              <w:jc w:val="right"/>
              <w:rPr>
                <w:rFonts w:ascii="Arial" w:hAnsi="Arial" w:cs="Arial" w:eastAsia="Arial" w:hint="default"/>
                <w:sz w:val="24"/>
                <w:szCs w:val="24"/>
              </w:rPr>
            </w:pPr>
            <w:r>
              <w:rPr>
                <w:rFonts w:ascii="Arial"/>
                <w:w w:val="95"/>
                <w:sz w:val="24"/>
              </w:rPr>
              <w:t>250</w:t>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81"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9"/>
              <w:jc w:val="right"/>
              <w:rPr>
                <w:rFonts w:ascii="Arial" w:hAnsi="Arial" w:cs="Arial" w:eastAsia="Arial" w:hint="default"/>
                <w:sz w:val="24"/>
                <w:szCs w:val="24"/>
              </w:rPr>
            </w:pPr>
            <w:r>
              <w:rPr>
                <w:rFonts w:ascii="Arial"/>
                <w:spacing w:val="-1"/>
                <w:sz w:val="24"/>
              </w:rPr>
              <w:t>1,390</w:t>
            </w:r>
          </w:p>
        </w:tc>
        <w:tc>
          <w:tcPr>
            <w:tcW w:w="2629" w:type="dxa"/>
            <w:tcBorders>
              <w:top w:val="nil" w:sz="6" w:space="0" w:color="auto"/>
              <w:left w:val="nil" w:sz="6" w:space="0" w:color="auto"/>
              <w:bottom w:val="nil" w:sz="6" w:space="0" w:color="auto"/>
              <w:right w:val="nil" w:sz="6" w:space="0" w:color="auto"/>
            </w:tcBorders>
          </w:tcPr>
          <w:p>
            <w:pP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81"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9"/>
              <w:jc w:val="right"/>
              <w:rPr>
                <w:rFonts w:ascii="Arial" w:hAnsi="Arial" w:cs="Arial" w:eastAsia="Arial" w:hint="default"/>
                <w:sz w:val="24"/>
                <w:szCs w:val="24"/>
              </w:rPr>
            </w:pPr>
            <w:r>
              <w:rPr>
                <w:rFonts w:ascii="Arial"/>
                <w:spacing w:val="-1"/>
                <w:sz w:val="24"/>
              </w:rPr>
              <w:t>3,688</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spacing w:val="-1"/>
                <w:sz w:val="24"/>
              </w:rPr>
              <w:t>2,454</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81" w:type="dxa"/>
            <w:tcBorders>
              <w:top w:val="nil" w:sz="6" w:space="0" w:color="auto"/>
              <w:left w:val="nil" w:sz="6" w:space="0" w:color="auto"/>
              <w:bottom w:val="nil" w:sz="6" w:space="0" w:color="auto"/>
              <w:right w:val="nil" w:sz="6" w:space="0" w:color="auto"/>
            </w:tcBorders>
          </w:tcPr>
          <w:p>
            <w:pPr>
              <w:pStyle w:val="TableParagraph"/>
              <w:tabs>
                <w:tab w:pos="2767" w:val="left" w:leader="none"/>
                <w:tab w:pos="4841" w:val="left" w:leader="none"/>
              </w:tabs>
              <w:spacing w:line="260" w:lineRule="exact"/>
              <w:ind w:left="175" w:right="-1461"/>
              <w:jc w:val="left"/>
              <w:rPr>
                <w:rFonts w:ascii="Arial" w:hAnsi="Arial" w:cs="Arial" w:eastAsia="Arial" w:hint="default"/>
                <w:sz w:val="24"/>
                <w:szCs w:val="24"/>
              </w:rPr>
            </w:pPr>
            <w:r>
              <w:rPr>
                <w:rFonts w:ascii="宋体" w:hAnsi="宋体" w:cs="宋体" w:eastAsia="宋体" w:hint="default"/>
                <w:position w:val="2"/>
                <w:sz w:val="24"/>
                <w:szCs w:val="24"/>
              </w:rPr>
              <w:t>银河国际购物广场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187" w:val="left" w:leader="none"/>
              </w:tabs>
              <w:spacing w:line="240" w:lineRule="auto" w:before="21"/>
              <w:ind w:right="252"/>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tabs>
                <w:tab w:pos="1989" w:val="left" w:leader="none"/>
                <w:tab w:pos="2361" w:val="left" w:leader="none"/>
              </w:tabs>
              <w:spacing w:line="240" w:lineRule="auto" w:before="21"/>
              <w:ind w:right="9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50</w:t>
            </w:r>
            <w:r>
              <w:rPr>
                <w:rFonts w:ascii="Arial"/>
                <w:sz w:val="24"/>
                <w:u w:val="single" w:color="000000"/>
              </w:rPr>
              <w:tab/>
            </w:r>
            <w:r>
              <w:rPr>
                <w:rFonts w:ascii="Arial"/>
                <w:sz w:val="24"/>
              </w:rPr>
            </w:r>
          </w:p>
        </w:tc>
      </w:tr>
      <w:tr>
        <w:trPr>
          <w:trHeight w:val="437"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5284" w:type="dxa"/>
            <w:gridSpan w:val="2"/>
            <w:tcBorders>
              <w:top w:val="nil" w:sz="6" w:space="0" w:color="auto"/>
              <w:left w:val="nil" w:sz="6" w:space="0" w:color="auto"/>
              <w:bottom w:val="nil" w:sz="6" w:space="0" w:color="auto"/>
              <w:right w:val="nil" w:sz="6" w:space="0" w:color="auto"/>
            </w:tcBorders>
          </w:tcPr>
          <w:p>
            <w:pPr>
              <w:pStyle w:val="TableParagraph"/>
              <w:tabs>
                <w:tab w:pos="4186" w:val="left" w:leader="none"/>
                <w:tab w:pos="5028" w:val="left" w:leader="none"/>
              </w:tabs>
              <w:spacing w:line="268" w:lineRule="exact"/>
              <w:ind w:left="276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35,495</w:t>
              <w:tab/>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tabs>
                <w:tab w:pos="1655" w:val="left" w:leader="none"/>
                <w:tab w:pos="2361" w:val="left" w:leader="none"/>
              </w:tabs>
              <w:spacing w:line="268" w:lineRule="exact"/>
              <w:ind w:right="9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2,504</w:t>
              <w:tab/>
            </w:r>
            <w:r>
              <w:rPr>
                <w:rFonts w:ascii="Arial"/>
                <w:spacing w:val="-1"/>
                <w:sz w:val="24"/>
              </w:rPr>
            </w:r>
          </w:p>
        </w:tc>
      </w:tr>
      <w:tr>
        <w:trPr>
          <w:trHeight w:val="466"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9"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75" w:right="0"/>
              <w:jc w:val="left"/>
              <w:rPr>
                <w:rFonts w:ascii="宋体" w:hAnsi="宋体" w:cs="宋体" w:eastAsia="宋体" w:hint="default"/>
                <w:sz w:val="24"/>
                <w:szCs w:val="24"/>
              </w:rPr>
            </w:pPr>
            <w:r>
              <w:rPr>
                <w:rFonts w:ascii="宋体" w:hAnsi="宋体" w:cs="宋体" w:eastAsia="宋体" w:hint="default"/>
                <w:sz w:val="24"/>
                <w:szCs w:val="24"/>
              </w:rPr>
              <w:t>成都鸿业置业有限公司</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59"/>
              <w:jc w:val="right"/>
              <w:rPr>
                <w:rFonts w:ascii="Arial" w:hAnsi="Arial" w:cs="Arial" w:eastAsia="Arial" w:hint="default"/>
                <w:sz w:val="24"/>
                <w:szCs w:val="24"/>
              </w:rPr>
            </w:pPr>
            <w:r>
              <w:rPr>
                <w:rFonts w:ascii="Arial"/>
                <w:spacing w:val="-1"/>
                <w:sz w:val="24"/>
              </w:rPr>
              <w:t>2,010</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81" w:type="dxa"/>
            <w:tcBorders>
              <w:top w:val="nil" w:sz="6" w:space="0" w:color="auto"/>
              <w:left w:val="nil" w:sz="6" w:space="0" w:color="auto"/>
              <w:bottom w:val="nil" w:sz="6" w:space="0" w:color="auto"/>
              <w:right w:val="nil" w:sz="6" w:space="0" w:color="auto"/>
            </w:tcBorders>
          </w:tcPr>
          <w:p>
            <w:pPr>
              <w:pStyle w:val="TableParagraph"/>
              <w:spacing w:line="261" w:lineRule="exact"/>
              <w:ind w:left="175"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8"/>
              <w:jc w:val="right"/>
              <w:rPr>
                <w:rFonts w:ascii="Arial" w:hAnsi="Arial" w:cs="Arial" w:eastAsia="Arial" w:hint="default"/>
                <w:sz w:val="24"/>
                <w:szCs w:val="24"/>
              </w:rPr>
            </w:pPr>
            <w:r>
              <w:rPr>
                <w:rFonts w:ascii="Arial"/>
                <w:w w:val="95"/>
                <w:sz w:val="24"/>
              </w:rPr>
              <w:t>304</w:t>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61" w:lineRule="exact"/>
              <w:ind w:left="139"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81" w:type="dxa"/>
            <w:tcBorders>
              <w:top w:val="nil" w:sz="6" w:space="0" w:color="auto"/>
              <w:left w:val="nil" w:sz="6" w:space="0" w:color="auto"/>
              <w:bottom w:val="nil" w:sz="6" w:space="0" w:color="auto"/>
              <w:right w:val="nil" w:sz="6" w:space="0" w:color="auto"/>
            </w:tcBorders>
          </w:tcPr>
          <w:p>
            <w:pPr>
              <w:pStyle w:val="TableParagraph"/>
              <w:tabs>
                <w:tab w:pos="2767" w:val="left" w:leader="none"/>
                <w:tab w:pos="4841" w:val="left" w:leader="none"/>
              </w:tabs>
              <w:spacing w:line="260" w:lineRule="exact"/>
              <w:ind w:left="175" w:right="-1461"/>
              <w:jc w:val="left"/>
              <w:rPr>
                <w:rFonts w:ascii="Arial" w:hAnsi="Arial" w:cs="Arial" w:eastAsia="Arial" w:hint="default"/>
                <w:sz w:val="24"/>
                <w:szCs w:val="24"/>
              </w:rPr>
            </w:pPr>
            <w:r>
              <w:rPr>
                <w:rFonts w:ascii="宋体" w:hAnsi="宋体" w:cs="宋体" w:eastAsia="宋体" w:hint="default"/>
                <w:position w:val="2"/>
                <w:sz w:val="24"/>
                <w:szCs w:val="24"/>
              </w:rPr>
              <w:t>索菲特银河大酒店</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187" w:val="left" w:leader="none"/>
              </w:tabs>
              <w:spacing w:line="240" w:lineRule="auto" w:before="21"/>
              <w:ind w:right="252"/>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629" w:type="dxa"/>
            <w:tcBorders>
              <w:top w:val="nil" w:sz="6" w:space="0" w:color="auto"/>
              <w:left w:val="nil" w:sz="6" w:space="0" w:color="auto"/>
              <w:bottom w:val="nil" w:sz="6" w:space="0" w:color="auto"/>
              <w:right w:val="nil" w:sz="6" w:space="0" w:color="auto"/>
            </w:tcBorders>
          </w:tcPr>
          <w:p>
            <w:pPr>
              <w:pStyle w:val="TableParagraph"/>
              <w:tabs>
                <w:tab w:pos="1655" w:val="left" w:leader="none"/>
                <w:tab w:pos="2361" w:val="left" w:leader="none"/>
              </w:tabs>
              <w:spacing w:line="240" w:lineRule="auto" w:before="21"/>
              <w:ind w:right="9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1,503</w:t>
              <w:tab/>
            </w:r>
            <w:r>
              <w:rPr>
                <w:rFonts w:ascii="Arial"/>
                <w:spacing w:val="-1"/>
                <w:sz w:val="24"/>
              </w:rPr>
            </w:r>
          </w:p>
        </w:tc>
      </w:tr>
      <w:tr>
        <w:trPr>
          <w:trHeight w:val="263" w:hRule="exact"/>
        </w:trPr>
        <w:tc>
          <w:tcPr>
            <w:tcW w:w="772"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tabs>
                <w:tab w:pos="940" w:val="left" w:leader="none"/>
                <w:tab w:pos="1648" w:val="left" w:leader="none"/>
              </w:tabs>
              <w:spacing w:line="268" w:lineRule="exact"/>
              <w:ind w:left="-614" w:right="25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2,314</w:t>
              <w:tab/>
            </w:r>
            <w:r>
              <w:rPr>
                <w:rFonts w:ascii="Arial"/>
                <w:spacing w:val="-1"/>
                <w:sz w:val="24"/>
              </w:rPr>
            </w:r>
          </w:p>
        </w:tc>
        <w:tc>
          <w:tcPr>
            <w:tcW w:w="2629" w:type="dxa"/>
            <w:tcBorders>
              <w:top w:val="nil" w:sz="6" w:space="0" w:color="auto"/>
              <w:left w:val="nil" w:sz="6" w:space="0" w:color="auto"/>
              <w:bottom w:val="nil" w:sz="6" w:space="0" w:color="auto"/>
              <w:right w:val="nil" w:sz="6" w:space="0" w:color="auto"/>
            </w:tcBorders>
          </w:tcPr>
          <w:p>
            <w:pPr>
              <w:pStyle w:val="TableParagraph"/>
              <w:tabs>
                <w:tab w:pos="1655" w:val="left" w:leader="none"/>
                <w:tab w:pos="2361" w:val="left" w:leader="none"/>
              </w:tabs>
              <w:spacing w:line="268" w:lineRule="exact"/>
              <w:ind w:right="9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1,503</w:t>
              <w:tab/>
            </w:r>
            <w:r>
              <w:rPr>
                <w:rFonts w:ascii="Arial"/>
                <w:spacing w:val="-1"/>
                <w:sz w:val="24"/>
              </w:rPr>
            </w:r>
          </w:p>
        </w:tc>
      </w:tr>
    </w:tbl>
    <w:p>
      <w:pPr>
        <w:spacing w:after="0" w:line="268" w:lineRule="exact"/>
        <w:jc w:val="right"/>
        <w:rPr>
          <w:rFonts w:ascii="Arial" w:hAnsi="Arial" w:cs="Arial" w:eastAsia="Arial" w:hint="default"/>
          <w:sz w:val="24"/>
          <w:szCs w:val="24"/>
        </w:rPr>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320"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2906"/>
      </w:tblGrid>
      <w:tr>
        <w:trPr>
          <w:trHeight w:val="53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六</w:t>
            </w:r>
            <w:r>
              <w:rPr>
                <w:rFonts w:ascii="宋体" w:hAnsi="宋体" w:cs="宋体" w:eastAsia="宋体" w:hint="default"/>
                <w:sz w:val="24"/>
                <w:szCs w:val="24"/>
              </w:rPr>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41" w:right="0"/>
              <w:jc w:val="left"/>
              <w:rPr>
                <w:rFonts w:ascii="Arial" w:hAnsi="Arial" w:cs="Arial" w:eastAsia="Arial" w:hint="default"/>
                <w:sz w:val="24"/>
                <w:szCs w:val="24"/>
              </w:rPr>
            </w:pPr>
            <w:r>
              <w:rPr>
                <w:rFonts w:ascii="宋体" w:hAnsi="宋体" w:cs="宋体" w:eastAsia="宋体" w:hint="default"/>
                <w:b/>
                <w:bCs/>
                <w:sz w:val="24"/>
                <w:szCs w:val="24"/>
              </w:rPr>
              <w:t>关联方关系及其交易</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03"/>
        <w:gridCol w:w="4974"/>
        <w:gridCol w:w="2006"/>
        <w:gridCol w:w="2686"/>
      </w:tblGrid>
      <w:tr>
        <w:trPr>
          <w:trHeight w:val="419"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4974" w:type="dxa"/>
            <w:tcBorders>
              <w:top w:val="nil" w:sz="6" w:space="0" w:color="auto"/>
              <w:left w:val="nil" w:sz="6" w:space="0" w:color="auto"/>
              <w:bottom w:val="nil" w:sz="6" w:space="0" w:color="auto"/>
              <w:right w:val="nil" w:sz="6" w:space="0" w:color="auto"/>
            </w:tcBorders>
          </w:tcPr>
          <w:p>
            <w:pPr>
              <w:pStyle w:val="TableParagraph"/>
              <w:spacing w:line="245" w:lineRule="exact"/>
              <w:ind w:left="209" w:right="0"/>
              <w:jc w:val="left"/>
              <w:rPr>
                <w:rFonts w:ascii="宋体" w:hAnsi="宋体" w:cs="宋体" w:eastAsia="宋体" w:hint="default"/>
                <w:sz w:val="24"/>
                <w:szCs w:val="24"/>
              </w:rPr>
            </w:pPr>
            <w:r>
              <w:rPr>
                <w:rFonts w:ascii="宋体" w:hAnsi="宋体" w:cs="宋体" w:eastAsia="宋体" w:hint="default"/>
                <w:b/>
                <w:bCs/>
                <w:sz w:val="24"/>
                <w:szCs w:val="24"/>
              </w:rPr>
              <w:t>关联方承诺</w:t>
            </w:r>
            <w:r>
              <w:rPr>
                <w:rFonts w:ascii="宋体" w:hAnsi="宋体" w:cs="宋体" w:eastAsia="宋体" w:hint="default"/>
                <w:sz w:val="24"/>
                <w:szCs w:val="24"/>
              </w:rPr>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900" w:hRule="exact"/>
        </w:trPr>
        <w:tc>
          <w:tcPr>
            <w:tcW w:w="1037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913" w:right="321"/>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以下为本集团于资产负债表日，已签约而尚不必在资产负债表上列示的与关联方有关的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承诺事项：</w:t>
            </w:r>
          </w:p>
        </w:tc>
      </w:tr>
      <w:tr>
        <w:trPr>
          <w:trHeight w:val="450"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318" w:hRule="exact"/>
        </w:trPr>
        <w:tc>
          <w:tcPr>
            <w:tcW w:w="703" w:type="dxa"/>
            <w:tcBorders>
              <w:top w:val="nil" w:sz="6" w:space="0" w:color="auto"/>
              <w:left w:val="nil" w:sz="6" w:space="0" w:color="auto"/>
              <w:bottom w:val="nil" w:sz="6" w:space="0" w:color="auto"/>
              <w:right w:val="nil" w:sz="6" w:space="0" w:color="auto"/>
            </w:tcBorders>
          </w:tcPr>
          <w:p>
            <w:pPr/>
          </w:p>
        </w:tc>
        <w:tc>
          <w:tcPr>
            <w:tcW w:w="6980"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458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86" w:type="dxa"/>
            <w:tcBorders>
              <w:top w:val="nil" w:sz="6" w:space="0" w:color="auto"/>
              <w:left w:val="nil" w:sz="6" w:space="0" w:color="auto"/>
              <w:bottom w:val="nil" w:sz="6" w:space="0" w:color="auto"/>
              <w:right w:val="nil" w:sz="6" w:space="0" w:color="auto"/>
            </w:tcBorders>
          </w:tcPr>
          <w:p>
            <w:pPr>
              <w:pStyle w:val="TableParagraph"/>
              <w:spacing w:line="293" w:lineRule="exact"/>
              <w:ind w:left="27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87" w:lineRule="exact"/>
              <w:ind w:left="20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1"/>
                <w:sz w:val="24"/>
                <w:szCs w:val="24"/>
              </w:rPr>
              <w:t> </w:t>
            </w:r>
            <w:r>
              <w:rPr>
                <w:rFonts w:ascii="宋体" w:hAnsi="宋体" w:cs="宋体" w:eastAsia="宋体" w:hint="default"/>
                <w:sz w:val="24"/>
                <w:szCs w:val="24"/>
              </w:rPr>
              <w:t>租入</w:t>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32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70" w:lineRule="exact"/>
              <w:ind w:left="1765" w:right="0"/>
              <w:jc w:val="left"/>
              <w:rPr>
                <w:rFonts w:ascii="宋体" w:hAnsi="宋体" w:cs="宋体" w:eastAsia="宋体" w:hint="default"/>
                <w:sz w:val="24"/>
                <w:szCs w:val="24"/>
              </w:rPr>
            </w:pPr>
            <w:r>
              <w:rPr>
                <w:rFonts w:ascii="宋体" w:hAnsi="宋体" w:cs="宋体" w:eastAsia="宋体" w:hint="default"/>
                <w:sz w:val="24"/>
                <w:szCs w:val="24"/>
              </w:rPr>
              <w:t>苏宁电器集团有限公司</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27"/>
              <w:jc w:val="right"/>
              <w:rPr>
                <w:rFonts w:ascii="Arial" w:hAnsi="Arial" w:cs="Arial" w:eastAsia="Arial" w:hint="default"/>
                <w:sz w:val="24"/>
                <w:szCs w:val="24"/>
              </w:rPr>
            </w:pPr>
            <w:r>
              <w:rPr>
                <w:rFonts w:ascii="Arial"/>
                <w:spacing w:val="-1"/>
                <w:sz w:val="24"/>
              </w:rPr>
              <w:t>257,319</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633" w:right="0"/>
              <w:jc w:val="left"/>
              <w:rPr>
                <w:rFonts w:ascii="Arial" w:hAnsi="Arial" w:cs="Arial" w:eastAsia="Arial" w:hint="default"/>
                <w:sz w:val="24"/>
                <w:szCs w:val="24"/>
              </w:rPr>
            </w:pPr>
            <w:r>
              <w:rPr>
                <w:rFonts w:ascii="Arial"/>
                <w:sz w:val="24"/>
              </w:rPr>
              <w:t>19,275</w:t>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4"/>
                <w:szCs w:val="24"/>
              </w:rPr>
            </w:pPr>
            <w:r>
              <w:rPr>
                <w:rFonts w:ascii="宋体" w:hAnsi="宋体" w:cs="宋体" w:eastAsia="宋体" w:hint="default"/>
                <w:sz w:val="24"/>
                <w:szCs w:val="24"/>
              </w:rPr>
              <w:t>成都鸿业置业</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7"/>
              <w:jc w:val="right"/>
              <w:rPr>
                <w:rFonts w:ascii="Arial" w:hAnsi="Arial" w:cs="Arial" w:eastAsia="Arial" w:hint="default"/>
                <w:sz w:val="24"/>
                <w:szCs w:val="24"/>
              </w:rPr>
            </w:pPr>
            <w:r>
              <w:rPr>
                <w:rFonts w:ascii="Arial"/>
                <w:spacing w:val="-1"/>
                <w:sz w:val="24"/>
              </w:rPr>
              <w:t>175,407</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4"/>
                <w:szCs w:val="24"/>
              </w:rPr>
            </w:pPr>
            <w:r>
              <w:rPr>
                <w:rFonts w:ascii="宋体" w:hAnsi="宋体" w:cs="宋体" w:eastAsia="宋体" w:hint="default"/>
                <w:sz w:val="24"/>
                <w:szCs w:val="24"/>
              </w:rPr>
              <w:t>青岛苏宁置业</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7"/>
              <w:jc w:val="right"/>
              <w:rPr>
                <w:rFonts w:ascii="Arial" w:hAnsi="Arial" w:cs="Arial" w:eastAsia="Arial" w:hint="default"/>
                <w:sz w:val="24"/>
                <w:szCs w:val="24"/>
              </w:rPr>
            </w:pPr>
            <w:r>
              <w:rPr>
                <w:rFonts w:ascii="Arial"/>
                <w:spacing w:val="-3"/>
                <w:sz w:val="24"/>
              </w:rPr>
              <w:t>119,808</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tabs>
                <w:tab w:pos="4350" w:val="left" w:leader="none"/>
                <w:tab w:pos="5915" w:val="left" w:leader="none"/>
              </w:tabs>
              <w:spacing w:line="260" w:lineRule="exact"/>
              <w:ind w:left="1765" w:right="-942"/>
              <w:jc w:val="left"/>
              <w:rPr>
                <w:rFonts w:ascii="Arial" w:hAnsi="Arial" w:cs="Arial" w:eastAsia="Arial" w:hint="default"/>
                <w:sz w:val="24"/>
                <w:szCs w:val="24"/>
              </w:rPr>
            </w:pPr>
            <w:r>
              <w:rPr>
                <w:rFonts w:ascii="宋体" w:hAnsi="宋体" w:cs="宋体" w:eastAsia="宋体" w:hint="default"/>
                <w:position w:val="2"/>
                <w:sz w:val="24"/>
                <w:szCs w:val="24"/>
              </w:rPr>
              <w:t>银河国际购物广场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06"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1"/>
              <w:ind w:right="220"/>
              <w:jc w:val="right"/>
              <w:rPr>
                <w:rFonts w:ascii="Arial" w:hAnsi="Arial" w:cs="Arial" w:eastAsia="Arial" w:hint="default"/>
                <w:sz w:val="24"/>
                <w:szCs w:val="24"/>
              </w:rPr>
            </w:pPr>
            <w:r>
              <w:rPr>
                <w:rFonts w:ascii="Arial"/>
                <w:w w:val="99"/>
                <w:sz w:val="24"/>
              </w:rPr>
            </w:r>
            <w:r>
              <w:rPr>
                <w:rFonts w:ascii="Arial"/>
                <w:spacing w:val="-1"/>
                <w:sz w:val="24"/>
                <w:u w:val="single" w:color="000000"/>
              </w:rPr>
              <w:t>44,100</w:t>
              <w:tab/>
            </w:r>
            <w:r>
              <w:rPr>
                <w:rFonts w:ascii="Arial"/>
                <w:spacing w:val="-1"/>
                <w:sz w:val="24"/>
              </w:rPr>
            </w:r>
          </w:p>
        </w:tc>
        <w:tc>
          <w:tcPr>
            <w:tcW w:w="2686" w:type="dxa"/>
            <w:tcBorders>
              <w:top w:val="nil" w:sz="6" w:space="0" w:color="auto"/>
              <w:left w:val="nil" w:sz="6" w:space="0" w:color="auto"/>
              <w:bottom w:val="nil" w:sz="6" w:space="0" w:color="auto"/>
              <w:right w:val="nil" w:sz="6" w:space="0" w:color="auto"/>
            </w:tcBorders>
          </w:tcPr>
          <w:p>
            <w:pPr>
              <w:pStyle w:val="TableParagraph"/>
              <w:tabs>
                <w:tab w:pos="1633" w:val="left" w:leader="none"/>
                <w:tab w:pos="2473" w:val="left" w:leader="none"/>
              </w:tabs>
              <w:spacing w:line="240" w:lineRule="auto" w:before="21"/>
              <w:ind w:left="6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71,509</w:t>
              <w:tab/>
            </w:r>
            <w:r>
              <w:rPr>
                <w:rFonts w:ascii="Arial"/>
                <w:sz w:val="24"/>
              </w:rPr>
            </w:r>
          </w:p>
        </w:tc>
      </w:tr>
      <w:tr>
        <w:trPr>
          <w:trHeight w:val="433" w:hRule="exact"/>
        </w:trPr>
        <w:tc>
          <w:tcPr>
            <w:tcW w:w="703" w:type="dxa"/>
            <w:tcBorders>
              <w:top w:val="nil" w:sz="6" w:space="0" w:color="auto"/>
              <w:left w:val="nil" w:sz="6" w:space="0" w:color="auto"/>
              <w:bottom w:val="nil" w:sz="6" w:space="0" w:color="auto"/>
              <w:right w:val="nil" w:sz="6" w:space="0" w:color="auto"/>
            </w:tcBorders>
          </w:tcPr>
          <w:p>
            <w:pPr/>
          </w:p>
        </w:tc>
        <w:tc>
          <w:tcPr>
            <w:tcW w:w="6980" w:type="dxa"/>
            <w:gridSpan w:val="2"/>
            <w:tcBorders>
              <w:top w:val="nil" w:sz="6" w:space="0" w:color="auto"/>
              <w:left w:val="nil" w:sz="6" w:space="0" w:color="auto"/>
              <w:bottom w:val="nil" w:sz="6" w:space="0" w:color="auto"/>
              <w:right w:val="nil" w:sz="6" w:space="0" w:color="auto"/>
            </w:tcBorders>
          </w:tcPr>
          <w:p>
            <w:pPr>
              <w:pStyle w:val="TableParagraph"/>
              <w:tabs>
                <w:tab w:pos="5783" w:val="left" w:leader="none"/>
                <w:tab w:pos="6758" w:val="left" w:leader="none"/>
              </w:tabs>
              <w:spacing w:line="266" w:lineRule="exact"/>
              <w:ind w:left="435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596,634</w:t>
              <w:tab/>
            </w:r>
            <w:r>
              <w:rPr>
                <w:rFonts w:ascii="Arial"/>
                <w:sz w:val="24"/>
              </w:rPr>
            </w:r>
          </w:p>
        </w:tc>
        <w:tc>
          <w:tcPr>
            <w:tcW w:w="2686" w:type="dxa"/>
            <w:tcBorders>
              <w:top w:val="nil" w:sz="6" w:space="0" w:color="auto"/>
              <w:left w:val="nil" w:sz="6" w:space="0" w:color="auto"/>
              <w:bottom w:val="nil" w:sz="6" w:space="0" w:color="auto"/>
              <w:right w:val="nil" w:sz="6" w:space="0" w:color="auto"/>
            </w:tcBorders>
          </w:tcPr>
          <w:p>
            <w:pPr>
              <w:pStyle w:val="TableParagraph"/>
              <w:tabs>
                <w:tab w:pos="1633" w:val="left" w:leader="none"/>
                <w:tab w:pos="2473" w:val="left" w:leader="none"/>
              </w:tabs>
              <w:spacing w:line="266" w:lineRule="exact"/>
              <w:ind w:left="6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90,784</w:t>
              <w:tab/>
            </w:r>
            <w:r>
              <w:rPr>
                <w:rFonts w:ascii="Arial"/>
                <w:sz w:val="24"/>
              </w:rPr>
            </w:r>
          </w:p>
        </w:tc>
      </w:tr>
      <w:tr>
        <w:trPr>
          <w:trHeight w:val="455" w:hRule="exact"/>
        </w:trPr>
        <w:tc>
          <w:tcPr>
            <w:tcW w:w="703" w:type="dxa"/>
            <w:tcBorders>
              <w:top w:val="nil" w:sz="6" w:space="0" w:color="auto"/>
              <w:left w:val="nil" w:sz="6" w:space="0" w:color="auto"/>
              <w:bottom w:val="nil" w:sz="6" w:space="0" w:color="auto"/>
              <w:right w:val="nil" w:sz="6" w:space="0" w:color="auto"/>
            </w:tcBorders>
          </w:tcPr>
          <w:p>
            <w:pPr/>
          </w:p>
        </w:tc>
        <w:tc>
          <w:tcPr>
            <w:tcW w:w="69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4580"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87" w:lineRule="exact"/>
              <w:ind w:left="20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1"/>
                <w:sz w:val="24"/>
                <w:szCs w:val="24"/>
              </w:rPr>
              <w:t> </w:t>
            </w:r>
            <w:r>
              <w:rPr>
                <w:rFonts w:ascii="宋体" w:hAnsi="宋体" w:cs="宋体" w:eastAsia="宋体" w:hint="default"/>
                <w:sz w:val="24"/>
                <w:szCs w:val="24"/>
              </w:rPr>
              <w:t>租出</w:t>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32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70" w:lineRule="exact"/>
              <w:ind w:right="2"/>
              <w:jc w:val="center"/>
              <w:rPr>
                <w:rFonts w:ascii="宋体" w:hAnsi="宋体" w:cs="宋体" w:eastAsia="宋体" w:hint="default"/>
                <w:sz w:val="24"/>
                <w:szCs w:val="24"/>
              </w:rPr>
            </w:pPr>
            <w:r>
              <w:rPr>
                <w:rFonts w:ascii="宋体" w:hAnsi="宋体" w:cs="宋体" w:eastAsia="宋体" w:hint="default"/>
                <w:sz w:val="24"/>
                <w:szCs w:val="24"/>
              </w:rPr>
              <w:t>玄武苏宁置业</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27"/>
              <w:jc w:val="right"/>
              <w:rPr>
                <w:rFonts w:ascii="Arial" w:hAnsi="Arial" w:cs="Arial" w:eastAsia="Arial" w:hint="default"/>
                <w:sz w:val="24"/>
                <w:szCs w:val="24"/>
              </w:rPr>
            </w:pPr>
            <w:r>
              <w:rPr>
                <w:rFonts w:ascii="Arial"/>
                <w:spacing w:val="-1"/>
                <w:sz w:val="24"/>
              </w:rPr>
              <w:t>310,751</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left="1765" w:right="0"/>
              <w:jc w:val="left"/>
              <w:rPr>
                <w:rFonts w:ascii="宋体" w:hAnsi="宋体" w:cs="宋体" w:eastAsia="宋体" w:hint="default"/>
                <w:sz w:val="24"/>
                <w:szCs w:val="24"/>
              </w:rPr>
            </w:pPr>
            <w:r>
              <w:rPr>
                <w:rFonts w:ascii="宋体" w:hAnsi="宋体" w:cs="宋体" w:eastAsia="宋体" w:hint="default"/>
                <w:sz w:val="24"/>
                <w:szCs w:val="24"/>
              </w:rPr>
              <w:t>苏宁置业集团有限公司</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9"/>
              <w:jc w:val="right"/>
              <w:rPr>
                <w:rFonts w:ascii="Arial" w:hAnsi="Arial" w:cs="Arial" w:eastAsia="Arial" w:hint="default"/>
                <w:sz w:val="24"/>
                <w:szCs w:val="24"/>
              </w:rPr>
            </w:pPr>
            <w:r>
              <w:rPr>
                <w:rFonts w:ascii="Arial"/>
                <w:spacing w:val="-1"/>
                <w:sz w:val="24"/>
              </w:rPr>
              <w:t>45,802</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67" w:right="0"/>
              <w:jc w:val="left"/>
              <w:rPr>
                <w:rFonts w:ascii="Arial" w:hAnsi="Arial" w:cs="Arial" w:eastAsia="Arial" w:hint="default"/>
                <w:sz w:val="24"/>
                <w:szCs w:val="24"/>
              </w:rPr>
            </w:pPr>
            <w:r>
              <w:rPr>
                <w:rFonts w:ascii="Arial"/>
                <w:sz w:val="24"/>
              </w:rPr>
              <w:t>4,295</w:t>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left="1765" w:right="0"/>
              <w:jc w:val="left"/>
              <w:rPr>
                <w:rFonts w:ascii="宋体" w:hAnsi="宋体" w:cs="宋体" w:eastAsia="宋体" w:hint="default"/>
                <w:sz w:val="24"/>
                <w:szCs w:val="24"/>
              </w:rPr>
            </w:pPr>
            <w:r>
              <w:rPr>
                <w:rFonts w:ascii="宋体" w:hAnsi="宋体" w:cs="宋体" w:eastAsia="宋体" w:hint="default"/>
                <w:sz w:val="24"/>
                <w:szCs w:val="24"/>
              </w:rPr>
              <w:t>苏宁商业管理公司</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7"/>
              <w:jc w:val="right"/>
              <w:rPr>
                <w:rFonts w:ascii="Arial" w:hAnsi="Arial" w:cs="Arial" w:eastAsia="Arial" w:hint="default"/>
                <w:sz w:val="24"/>
                <w:szCs w:val="24"/>
              </w:rPr>
            </w:pPr>
            <w:r>
              <w:rPr>
                <w:rFonts w:ascii="Arial"/>
                <w:spacing w:val="-1"/>
                <w:sz w:val="24"/>
              </w:rPr>
              <w:t>3,220</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left="1765"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7"/>
              <w:jc w:val="right"/>
              <w:rPr>
                <w:rFonts w:ascii="Arial" w:hAnsi="Arial" w:cs="Arial" w:eastAsia="Arial" w:hint="default"/>
                <w:sz w:val="24"/>
                <w:szCs w:val="24"/>
              </w:rPr>
            </w:pPr>
            <w:r>
              <w:rPr>
                <w:rFonts w:ascii="Arial"/>
                <w:spacing w:val="-1"/>
                <w:sz w:val="24"/>
              </w:rPr>
              <w:t>1,518</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spacing w:line="261" w:lineRule="exact"/>
              <w:ind w:right="2"/>
              <w:jc w:val="center"/>
              <w:rPr>
                <w:rFonts w:ascii="宋体" w:hAnsi="宋体" w:cs="宋体" w:eastAsia="宋体" w:hint="default"/>
                <w:sz w:val="24"/>
                <w:szCs w:val="24"/>
              </w:rPr>
            </w:pPr>
            <w:r>
              <w:rPr>
                <w:rFonts w:ascii="宋体" w:hAnsi="宋体" w:cs="宋体" w:eastAsia="宋体" w:hint="default"/>
                <w:sz w:val="24"/>
                <w:szCs w:val="24"/>
              </w:rPr>
              <w:t>福州苏宁置业</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5"/>
              <w:jc w:val="right"/>
              <w:rPr>
                <w:rFonts w:ascii="Arial" w:hAnsi="Arial" w:cs="Arial" w:eastAsia="Arial" w:hint="default"/>
                <w:sz w:val="24"/>
                <w:szCs w:val="24"/>
              </w:rPr>
            </w:pPr>
            <w:r>
              <w:rPr>
                <w:rFonts w:ascii="Arial"/>
                <w:w w:val="95"/>
                <w:sz w:val="24"/>
              </w:rPr>
              <w:t>630</w:t>
            </w:r>
            <w:r>
              <w:rPr>
                <w:rFonts w:ascii="Arial"/>
                <w:sz w:val="24"/>
              </w:rPr>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tabs>
                <w:tab w:pos="4350" w:val="left" w:leader="none"/>
                <w:tab w:pos="6249" w:val="left" w:leader="none"/>
              </w:tabs>
              <w:spacing w:line="260" w:lineRule="exact"/>
              <w:ind w:left="1765" w:right="-1275"/>
              <w:jc w:val="left"/>
              <w:rPr>
                <w:rFonts w:ascii="Arial" w:hAnsi="Arial" w:cs="Arial" w:eastAsia="Arial" w:hint="default"/>
                <w:sz w:val="24"/>
                <w:szCs w:val="24"/>
              </w:rPr>
            </w:pPr>
            <w:r>
              <w:rPr>
                <w:rFonts w:ascii="宋体" w:hAnsi="宋体" w:cs="宋体" w:eastAsia="宋体" w:hint="default"/>
                <w:position w:val="2"/>
                <w:sz w:val="24"/>
                <w:szCs w:val="24"/>
              </w:rPr>
              <w:t>成都鸿业置业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06"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21"/>
              <w:ind w:right="220"/>
              <w:jc w:val="right"/>
              <w:rPr>
                <w:rFonts w:ascii="Arial" w:hAnsi="Arial" w:cs="Arial" w:eastAsia="Arial" w:hint="default"/>
                <w:sz w:val="24"/>
                <w:szCs w:val="24"/>
              </w:rPr>
            </w:pPr>
            <w:r>
              <w:rPr>
                <w:rFonts w:ascii="Arial"/>
                <w:w w:val="99"/>
                <w:sz w:val="24"/>
              </w:rPr>
            </w:r>
            <w:r>
              <w:rPr>
                <w:rFonts w:ascii="Arial"/>
                <w:w w:val="95"/>
                <w:sz w:val="24"/>
                <w:u w:val="single" w:color="000000"/>
              </w:rPr>
              <w:t>255</w:t>
            </w:r>
            <w:r>
              <w:rPr>
                <w:rFonts w:ascii="Arial"/>
                <w:sz w:val="24"/>
                <w:u w:val="single" w:color="000000"/>
              </w:rPr>
              <w:tab/>
            </w:r>
            <w:r>
              <w:rPr>
                <w:rFonts w:ascii="Arial"/>
                <w:sz w:val="24"/>
              </w:rPr>
            </w:r>
          </w:p>
        </w:tc>
        <w:tc>
          <w:tcPr>
            <w:tcW w:w="2686" w:type="dxa"/>
            <w:tcBorders>
              <w:top w:val="nil" w:sz="6" w:space="0" w:color="auto"/>
              <w:left w:val="nil" w:sz="6" w:space="0" w:color="auto"/>
              <w:bottom w:val="nil" w:sz="6" w:space="0" w:color="auto"/>
              <w:right w:val="nil" w:sz="6" w:space="0" w:color="auto"/>
            </w:tcBorders>
          </w:tcPr>
          <w:p>
            <w:pPr>
              <w:pStyle w:val="TableParagraph"/>
              <w:tabs>
                <w:tab w:pos="2288" w:val="left" w:leader="none"/>
                <w:tab w:pos="2473" w:val="left" w:leader="none"/>
              </w:tabs>
              <w:spacing w:line="240" w:lineRule="auto" w:before="21"/>
              <w:ind w:left="6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7" w:hRule="exact"/>
        </w:trPr>
        <w:tc>
          <w:tcPr>
            <w:tcW w:w="703" w:type="dxa"/>
            <w:tcBorders>
              <w:top w:val="nil" w:sz="6" w:space="0" w:color="auto"/>
              <w:left w:val="nil" w:sz="6" w:space="0" w:color="auto"/>
              <w:bottom w:val="nil" w:sz="6" w:space="0" w:color="auto"/>
              <w:right w:val="nil" w:sz="6" w:space="0" w:color="auto"/>
            </w:tcBorders>
          </w:tcPr>
          <w:p>
            <w:pPr/>
          </w:p>
        </w:tc>
        <w:tc>
          <w:tcPr>
            <w:tcW w:w="6980" w:type="dxa"/>
            <w:gridSpan w:val="2"/>
            <w:tcBorders>
              <w:top w:val="nil" w:sz="6" w:space="0" w:color="auto"/>
              <w:left w:val="nil" w:sz="6" w:space="0" w:color="auto"/>
              <w:bottom w:val="nil" w:sz="6" w:space="0" w:color="auto"/>
              <w:right w:val="nil" w:sz="6" w:space="0" w:color="auto"/>
            </w:tcBorders>
          </w:tcPr>
          <w:p>
            <w:pPr>
              <w:pStyle w:val="TableParagraph"/>
              <w:tabs>
                <w:tab w:pos="5783" w:val="left" w:leader="none"/>
                <w:tab w:pos="6758" w:val="left" w:leader="none"/>
              </w:tabs>
              <w:spacing w:line="268" w:lineRule="exact"/>
              <w:ind w:left="435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362,176</w:t>
              <w:tab/>
            </w:r>
            <w:r>
              <w:rPr>
                <w:rFonts w:ascii="Arial"/>
                <w:sz w:val="24"/>
              </w:rPr>
            </w:r>
          </w:p>
        </w:tc>
        <w:tc>
          <w:tcPr>
            <w:tcW w:w="2686" w:type="dxa"/>
            <w:tcBorders>
              <w:top w:val="nil" w:sz="6" w:space="0" w:color="auto"/>
              <w:left w:val="nil" w:sz="6" w:space="0" w:color="auto"/>
              <w:bottom w:val="nil" w:sz="6" w:space="0" w:color="auto"/>
              <w:right w:val="nil" w:sz="6" w:space="0" w:color="auto"/>
            </w:tcBorders>
          </w:tcPr>
          <w:p>
            <w:pPr>
              <w:pStyle w:val="TableParagraph"/>
              <w:tabs>
                <w:tab w:pos="1767" w:val="left" w:leader="none"/>
                <w:tab w:pos="2473" w:val="left" w:leader="none"/>
              </w:tabs>
              <w:spacing w:line="268" w:lineRule="exact"/>
              <w:ind w:left="6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4,295</w:t>
              <w:tab/>
            </w:r>
            <w:r>
              <w:rPr>
                <w:rFonts w:ascii="Arial"/>
                <w:sz w:val="24"/>
              </w:rPr>
            </w:r>
          </w:p>
        </w:tc>
      </w:tr>
      <w:tr>
        <w:trPr>
          <w:trHeight w:val="588"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七</w:t>
            </w:r>
            <w:r>
              <w:rPr>
                <w:rFonts w:ascii="宋体" w:hAnsi="宋体" w:cs="宋体" w:eastAsia="宋体" w:hint="default"/>
                <w:sz w:val="24"/>
                <w:szCs w:val="24"/>
              </w:rPr>
            </w:r>
          </w:p>
        </w:tc>
        <w:tc>
          <w:tcPr>
            <w:tcW w:w="497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b/>
                <w:bCs/>
                <w:sz w:val="24"/>
                <w:szCs w:val="24"/>
              </w:rPr>
              <w:t>或有事项</w:t>
            </w:r>
            <w:r>
              <w:rPr>
                <w:rFonts w:ascii="宋体" w:hAnsi="宋体" w:cs="宋体" w:eastAsia="宋体" w:hint="default"/>
                <w:sz w:val="24"/>
                <w:szCs w:val="24"/>
              </w:rPr>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594" w:hRule="exact"/>
        </w:trPr>
        <w:tc>
          <w:tcPr>
            <w:tcW w:w="1037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913"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pacing w:val="-5"/>
                <w:sz w:val="24"/>
                <w:szCs w:val="24"/>
              </w:rPr>
              <w:t>2011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日，本集团无重大或有事项。</w:t>
            </w:r>
          </w:p>
        </w:tc>
      </w:tr>
      <w:tr>
        <w:trPr>
          <w:trHeight w:val="580"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tc>
        <w:tc>
          <w:tcPr>
            <w:tcW w:w="49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9" w:right="0"/>
              <w:jc w:val="left"/>
              <w:rPr>
                <w:rFonts w:ascii="宋体" w:hAnsi="宋体" w:cs="宋体" w:eastAsia="宋体" w:hint="default"/>
                <w:sz w:val="24"/>
                <w:szCs w:val="24"/>
              </w:rPr>
            </w:pPr>
            <w:r>
              <w:rPr>
                <w:rFonts w:ascii="宋体" w:hAnsi="宋体" w:cs="宋体" w:eastAsia="宋体" w:hint="default"/>
                <w:b/>
                <w:bCs/>
                <w:sz w:val="24"/>
                <w:szCs w:val="24"/>
              </w:rPr>
              <w:t>承诺事项</w:t>
            </w:r>
            <w:r>
              <w:rPr>
                <w:rFonts w:ascii="宋体" w:hAnsi="宋体" w:cs="宋体" w:eastAsia="宋体" w:hint="default"/>
                <w:sz w:val="24"/>
                <w:szCs w:val="24"/>
              </w:rPr>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59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497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9" w:right="0"/>
              <w:jc w:val="left"/>
              <w:rPr>
                <w:rFonts w:ascii="宋体" w:hAnsi="宋体" w:cs="宋体" w:eastAsia="宋体" w:hint="default"/>
                <w:sz w:val="24"/>
                <w:szCs w:val="24"/>
              </w:rPr>
            </w:pPr>
            <w:r>
              <w:rPr>
                <w:rFonts w:ascii="宋体" w:hAnsi="宋体" w:cs="宋体" w:eastAsia="宋体" w:hint="default"/>
                <w:b/>
                <w:bCs/>
                <w:sz w:val="24"/>
                <w:szCs w:val="24"/>
              </w:rPr>
              <w:t>资本性支出承诺事项</w:t>
            </w:r>
            <w:r>
              <w:rPr>
                <w:rFonts w:ascii="宋体" w:hAnsi="宋体" w:cs="宋体" w:eastAsia="宋体" w:hint="default"/>
                <w:sz w:val="24"/>
                <w:szCs w:val="24"/>
              </w:rPr>
            </w:r>
          </w:p>
        </w:tc>
        <w:tc>
          <w:tcPr>
            <w:tcW w:w="2006"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
        </w:tc>
      </w:tr>
      <w:tr>
        <w:trPr>
          <w:trHeight w:val="588" w:hRule="exact"/>
        </w:trPr>
        <w:tc>
          <w:tcPr>
            <w:tcW w:w="703" w:type="dxa"/>
            <w:tcBorders>
              <w:top w:val="nil" w:sz="6" w:space="0" w:color="auto"/>
              <w:left w:val="nil" w:sz="6" w:space="0" w:color="auto"/>
              <w:bottom w:val="nil" w:sz="6" w:space="0" w:color="auto"/>
              <w:right w:val="nil" w:sz="6" w:space="0" w:color="auto"/>
            </w:tcBorders>
          </w:tcPr>
          <w:p>
            <w:pPr/>
          </w:p>
        </w:tc>
        <w:tc>
          <w:tcPr>
            <w:tcW w:w="96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sz w:val="24"/>
                <w:szCs w:val="24"/>
              </w:rPr>
              <w:t>以下为本集团于资产负债表日</w:t>
            </w:r>
            <w:r>
              <w:rPr>
                <w:rFonts w:ascii="宋体" w:hAnsi="宋体" w:cs="宋体" w:eastAsia="宋体" w:hint="default"/>
                <w:spacing w:val="-104"/>
                <w:sz w:val="24"/>
                <w:szCs w:val="24"/>
              </w:rPr>
              <w:t>，</w:t>
            </w:r>
            <w:r>
              <w:rPr>
                <w:rFonts w:ascii="宋体" w:hAnsi="宋体" w:cs="宋体" w:eastAsia="宋体" w:hint="default"/>
                <w:sz w:val="24"/>
                <w:szCs w:val="24"/>
              </w:rPr>
              <w:t>已签约而尚不必在资产负债表上列示的资本性支出承诺：</w:t>
            </w:r>
          </w:p>
        </w:tc>
      </w:tr>
      <w:tr>
        <w:trPr>
          <w:trHeight w:val="594" w:hRule="exact"/>
        </w:trPr>
        <w:tc>
          <w:tcPr>
            <w:tcW w:w="703" w:type="dxa"/>
            <w:tcBorders>
              <w:top w:val="nil" w:sz="6" w:space="0" w:color="auto"/>
              <w:left w:val="nil" w:sz="6" w:space="0" w:color="auto"/>
              <w:bottom w:val="nil" w:sz="6" w:space="0" w:color="auto"/>
              <w:right w:val="nil" w:sz="6" w:space="0" w:color="auto"/>
            </w:tcBorders>
          </w:tcPr>
          <w:p>
            <w:pPr/>
          </w:p>
        </w:tc>
        <w:tc>
          <w:tcPr>
            <w:tcW w:w="69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462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9"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39" w:hRule="exact"/>
        </w:trPr>
        <w:tc>
          <w:tcPr>
            <w:tcW w:w="703" w:type="dxa"/>
            <w:tcBorders>
              <w:top w:val="nil" w:sz="6" w:space="0" w:color="auto"/>
              <w:left w:val="nil" w:sz="6" w:space="0" w:color="auto"/>
              <w:bottom w:val="nil" w:sz="6" w:space="0" w:color="auto"/>
              <w:right w:val="nil" w:sz="6" w:space="0" w:color="auto"/>
            </w:tcBorders>
          </w:tcPr>
          <w:p>
            <w:pPr/>
          </w:p>
        </w:tc>
        <w:tc>
          <w:tcPr>
            <w:tcW w:w="4974" w:type="dxa"/>
            <w:tcBorders>
              <w:top w:val="nil" w:sz="6" w:space="0" w:color="auto"/>
              <w:left w:val="nil" w:sz="6" w:space="0" w:color="auto"/>
              <w:bottom w:val="nil" w:sz="6" w:space="0" w:color="auto"/>
              <w:right w:val="nil" w:sz="6" w:space="0" w:color="auto"/>
            </w:tcBorders>
          </w:tcPr>
          <w:p>
            <w:pPr>
              <w:pStyle w:val="TableParagraph"/>
              <w:tabs>
                <w:tab w:pos="4242" w:val="left" w:leader="none"/>
                <w:tab w:pos="5805" w:val="left" w:leader="none"/>
              </w:tabs>
              <w:spacing w:line="240" w:lineRule="auto" w:before="93"/>
              <w:ind w:left="209" w:right="-831"/>
              <w:jc w:val="left"/>
              <w:rPr>
                <w:rFonts w:ascii="Arial" w:hAnsi="Arial" w:cs="Arial" w:eastAsia="Arial" w:hint="default"/>
                <w:sz w:val="24"/>
                <w:szCs w:val="24"/>
              </w:rPr>
            </w:pPr>
            <w:r>
              <w:rPr>
                <w:rFonts w:ascii="宋体" w:hAnsi="宋体" w:cs="宋体" w:eastAsia="宋体" w:hint="default"/>
                <w:position w:val="2"/>
                <w:sz w:val="24"/>
                <w:szCs w:val="24"/>
              </w:rPr>
              <w:t>房屋、建筑物及机器设备</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00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68"/>
              <w:ind w:right="172"/>
              <w:jc w:val="right"/>
              <w:rPr>
                <w:rFonts w:ascii="Arial" w:hAnsi="Arial" w:cs="Arial" w:eastAsia="Arial" w:hint="default"/>
                <w:sz w:val="24"/>
                <w:szCs w:val="24"/>
              </w:rPr>
            </w:pPr>
            <w:r>
              <w:rPr>
                <w:rFonts w:ascii="Arial"/>
                <w:w w:val="99"/>
                <w:sz w:val="24"/>
              </w:rPr>
            </w:r>
            <w:r>
              <w:rPr>
                <w:rFonts w:ascii="Arial"/>
                <w:spacing w:val="-1"/>
                <w:sz w:val="24"/>
                <w:u w:val="thick" w:color="000000"/>
              </w:rPr>
              <w:t>596,026</w:t>
              <w:tab/>
            </w:r>
            <w:r>
              <w:rPr>
                <w:rFonts w:ascii="Arial"/>
                <w:spacing w:val="-1"/>
                <w:sz w:val="24"/>
              </w:rPr>
            </w:r>
          </w:p>
        </w:tc>
        <w:tc>
          <w:tcPr>
            <w:tcW w:w="2686" w:type="dxa"/>
            <w:tcBorders>
              <w:top w:val="nil" w:sz="6" w:space="0" w:color="auto"/>
              <w:left w:val="nil" w:sz="6" w:space="0" w:color="auto"/>
              <w:bottom w:val="nil" w:sz="6" w:space="0" w:color="auto"/>
              <w:right w:val="nil" w:sz="6" w:space="0" w:color="auto"/>
            </w:tcBorders>
          </w:tcPr>
          <w:p>
            <w:pPr>
              <w:pStyle w:val="TableParagraph"/>
              <w:tabs>
                <w:tab w:pos="1451" w:val="left" w:leader="none"/>
                <w:tab w:pos="2473" w:val="left" w:leader="none"/>
              </w:tabs>
              <w:spacing w:line="240" w:lineRule="auto" w:before="168"/>
              <w:ind w:left="4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271,914</w:t>
              <w:tab/>
            </w:r>
            <w:r>
              <w:rPr>
                <w:rFonts w:ascii="Arial"/>
                <w:sz w:val="24"/>
              </w:rPr>
            </w:r>
          </w:p>
        </w:tc>
      </w:tr>
    </w:tbl>
    <w:p>
      <w:pPr>
        <w:spacing w:after="0" w:line="240" w:lineRule="auto"/>
        <w:jc w:val="lef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3701"/>
        <w:gridCol w:w="2566"/>
        <w:gridCol w:w="696"/>
        <w:gridCol w:w="2422"/>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八</w:t>
            </w:r>
            <w:r>
              <w:rPr>
                <w:rFonts w:ascii="宋体" w:hAnsi="宋体" w:cs="宋体" w:eastAsia="宋体" w:hint="default"/>
                <w:sz w:val="24"/>
                <w:szCs w:val="24"/>
              </w:rPr>
            </w:r>
          </w:p>
        </w:tc>
        <w:tc>
          <w:tcPr>
            <w:tcW w:w="370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41" w:right="0"/>
              <w:jc w:val="left"/>
              <w:rPr>
                <w:rFonts w:ascii="Arial" w:hAnsi="Arial" w:cs="Arial" w:eastAsia="Arial" w:hint="default"/>
                <w:sz w:val="24"/>
                <w:szCs w:val="24"/>
              </w:rPr>
            </w:pPr>
            <w:r>
              <w:rPr>
                <w:rFonts w:ascii="宋体" w:hAnsi="宋体" w:cs="宋体" w:eastAsia="宋体" w:hint="default"/>
                <w:b/>
                <w:bCs/>
                <w:sz w:val="24"/>
                <w:szCs w:val="24"/>
              </w:rPr>
              <w:t>承诺事项</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566" w:type="dxa"/>
            <w:tcBorders>
              <w:top w:val="single" w:sz="6" w:space="0" w:color="000000"/>
              <w:left w:val="nil" w:sz="6" w:space="0" w:color="auto"/>
              <w:bottom w:val="nil" w:sz="6" w:space="0" w:color="auto"/>
              <w:right w:val="nil" w:sz="6" w:space="0" w:color="auto"/>
            </w:tcBorders>
          </w:tcPr>
          <w:p>
            <w:pPr/>
          </w:p>
        </w:tc>
        <w:tc>
          <w:tcPr>
            <w:tcW w:w="696" w:type="dxa"/>
            <w:tcBorders>
              <w:top w:val="single" w:sz="6" w:space="0" w:color="000000"/>
              <w:left w:val="nil" w:sz="6" w:space="0" w:color="auto"/>
              <w:bottom w:val="nil" w:sz="6" w:space="0" w:color="auto"/>
              <w:right w:val="nil" w:sz="6" w:space="0" w:color="auto"/>
            </w:tcBorders>
          </w:tcPr>
          <w:p>
            <w:pPr/>
          </w:p>
        </w:tc>
        <w:tc>
          <w:tcPr>
            <w:tcW w:w="2422" w:type="dxa"/>
            <w:tcBorders>
              <w:top w:val="single" w:sz="6" w:space="0" w:color="000000"/>
              <w:left w:val="nil" w:sz="6" w:space="0" w:color="auto"/>
              <w:bottom w:val="nil" w:sz="6" w:space="0" w:color="auto"/>
              <w:right w:val="nil" w:sz="6" w:space="0" w:color="auto"/>
            </w:tcBorders>
          </w:tcPr>
          <w:p>
            <w:pPr/>
          </w:p>
        </w:tc>
      </w:tr>
      <w:tr>
        <w:trPr>
          <w:trHeight w:val="58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1" w:right="0"/>
              <w:jc w:val="left"/>
              <w:rPr>
                <w:rFonts w:ascii="宋体" w:hAnsi="宋体" w:cs="宋体" w:eastAsia="宋体" w:hint="default"/>
                <w:sz w:val="24"/>
                <w:szCs w:val="24"/>
              </w:rPr>
            </w:pPr>
            <w:r>
              <w:rPr>
                <w:rFonts w:ascii="宋体" w:hAnsi="宋体" w:cs="宋体" w:eastAsia="宋体" w:hint="default"/>
                <w:b/>
                <w:bCs/>
                <w:sz w:val="24"/>
                <w:szCs w:val="24"/>
              </w:rPr>
              <w:t>经营租赁承诺事项</w:t>
            </w:r>
            <w:r>
              <w:rPr>
                <w:rFonts w:ascii="宋体" w:hAnsi="宋体" w:cs="宋体" w:eastAsia="宋体" w:hint="default"/>
                <w:sz w:val="24"/>
                <w:szCs w:val="24"/>
              </w:rPr>
            </w:r>
          </w:p>
        </w:tc>
        <w:tc>
          <w:tcPr>
            <w:tcW w:w="2566"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
        </w:tc>
        <w:tc>
          <w:tcPr>
            <w:tcW w:w="93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141" w:right="0"/>
              <w:jc w:val="left"/>
              <w:rPr>
                <w:rFonts w:ascii="宋体" w:hAnsi="宋体" w:cs="宋体" w:eastAsia="宋体" w:hint="default"/>
                <w:sz w:val="24"/>
                <w:szCs w:val="24"/>
              </w:rPr>
            </w:pPr>
            <w:r>
              <w:rPr>
                <w:rFonts w:ascii="宋体" w:hAnsi="宋体" w:cs="宋体" w:eastAsia="宋体" w:hint="default"/>
                <w:sz w:val="24"/>
                <w:szCs w:val="24"/>
              </w:rPr>
              <w:t>根据已签订的经营性租赁合同，本集团未来最低应支付租金汇总如下：</w:t>
            </w: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8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1"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387" w:right="0"/>
              <w:jc w:val="left"/>
              <w:rPr>
                <w:rFonts w:ascii="Arial" w:hAnsi="Arial" w:cs="Arial" w:eastAsia="Arial" w:hint="default"/>
                <w:sz w:val="24"/>
                <w:szCs w:val="24"/>
              </w:rPr>
            </w:pPr>
            <w:r>
              <w:rPr>
                <w:rFonts w:ascii="Arial"/>
                <w:sz w:val="24"/>
              </w:rPr>
              <w:t>4,052,010</w:t>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246" w:right="0"/>
              <w:jc w:val="left"/>
              <w:rPr>
                <w:rFonts w:ascii="Arial" w:hAnsi="Arial" w:cs="Arial" w:eastAsia="Arial" w:hint="default"/>
                <w:sz w:val="24"/>
                <w:szCs w:val="24"/>
              </w:rPr>
            </w:pPr>
            <w:r>
              <w:rPr>
                <w:rFonts w:ascii="Arial"/>
                <w:sz w:val="24"/>
              </w:rPr>
              <w:t>3,149,072</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spacing w:line="261" w:lineRule="exact"/>
              <w:ind w:left="141"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87" w:right="0"/>
              <w:jc w:val="left"/>
              <w:rPr>
                <w:rFonts w:ascii="Arial" w:hAnsi="Arial" w:cs="Arial" w:eastAsia="Arial" w:hint="default"/>
                <w:sz w:val="24"/>
                <w:szCs w:val="24"/>
              </w:rPr>
            </w:pPr>
            <w:r>
              <w:rPr>
                <w:rFonts w:ascii="Arial"/>
                <w:sz w:val="24"/>
              </w:rPr>
              <w:t>4,020,687</w:t>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43" w:right="0"/>
              <w:jc w:val="left"/>
              <w:rPr>
                <w:rFonts w:ascii="Arial" w:hAnsi="Arial" w:cs="Arial" w:eastAsia="Arial" w:hint="default"/>
                <w:sz w:val="24"/>
                <w:szCs w:val="24"/>
              </w:rPr>
            </w:pPr>
            <w:r>
              <w:rPr>
                <w:rFonts w:ascii="Arial"/>
                <w:sz w:val="24"/>
              </w:rPr>
              <w:t>3,109,941</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spacing w:line="261" w:lineRule="exact"/>
              <w:ind w:left="141"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87" w:right="0"/>
              <w:jc w:val="left"/>
              <w:rPr>
                <w:rFonts w:ascii="Arial" w:hAnsi="Arial" w:cs="Arial" w:eastAsia="Arial" w:hint="default"/>
                <w:sz w:val="24"/>
                <w:szCs w:val="24"/>
              </w:rPr>
            </w:pPr>
            <w:r>
              <w:rPr>
                <w:rFonts w:ascii="Arial"/>
                <w:sz w:val="24"/>
              </w:rPr>
              <w:t>3,874,883</w:t>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43" w:right="0"/>
              <w:jc w:val="left"/>
              <w:rPr>
                <w:rFonts w:ascii="Arial" w:hAnsi="Arial" w:cs="Arial" w:eastAsia="Arial" w:hint="default"/>
                <w:sz w:val="24"/>
                <w:szCs w:val="24"/>
              </w:rPr>
            </w:pPr>
            <w:r>
              <w:rPr>
                <w:rFonts w:ascii="Arial"/>
                <w:sz w:val="24"/>
              </w:rPr>
              <w:t>2,697,429</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Style w:val="TableParagraph"/>
              <w:spacing w:line="261" w:lineRule="exact"/>
              <w:ind w:left="141"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566" w:type="dxa"/>
            <w:tcBorders>
              <w:top w:val="nil" w:sz="6" w:space="0" w:color="auto"/>
              <w:left w:val="nil" w:sz="6" w:space="0" w:color="auto"/>
              <w:bottom w:val="nil" w:sz="6" w:space="0" w:color="auto"/>
              <w:right w:val="nil" w:sz="6" w:space="0" w:color="auto"/>
            </w:tcBorders>
          </w:tcPr>
          <w:p>
            <w:pPr>
              <w:pStyle w:val="TableParagraph"/>
              <w:tabs>
                <w:tab w:pos="1255" w:val="left" w:leader="none"/>
                <w:tab w:pos="2565"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20,747,360</w:t>
              <w:tab/>
            </w:r>
            <w:r>
              <w:rPr>
                <w:rFonts w:ascii="Arial"/>
                <w:sz w:val="24"/>
              </w:rPr>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tabs>
                <w:tab w:pos="1111" w:val="left" w:leader="none"/>
                <w:tab w:pos="2421"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14,705,855</w:t>
              <w:tab/>
            </w:r>
            <w:r>
              <w:rPr>
                <w:rFonts w:ascii="Arial"/>
                <w:sz w:val="24"/>
              </w:rPr>
            </w:r>
          </w:p>
        </w:tc>
      </w:tr>
      <w:tr>
        <w:trPr>
          <w:trHeight w:val="287" w:hRule="exact"/>
        </w:trPr>
        <w:tc>
          <w:tcPr>
            <w:tcW w:w="772" w:type="dxa"/>
            <w:tcBorders>
              <w:top w:val="nil" w:sz="6" w:space="0" w:color="auto"/>
              <w:left w:val="nil" w:sz="6" w:space="0" w:color="auto"/>
              <w:bottom w:val="nil" w:sz="6" w:space="0" w:color="auto"/>
              <w:right w:val="nil" w:sz="6" w:space="0" w:color="auto"/>
            </w:tcBorders>
          </w:tcPr>
          <w:p>
            <w:pPr/>
          </w:p>
        </w:tc>
        <w:tc>
          <w:tcPr>
            <w:tcW w:w="3701"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single" w:sz="12" w:space="0" w:color="000000"/>
              <w:right w:val="nil" w:sz="6" w:space="0" w:color="auto"/>
            </w:tcBorders>
          </w:tcPr>
          <w:p>
            <w:pPr>
              <w:pStyle w:val="TableParagraph"/>
              <w:spacing w:line="268" w:lineRule="exact"/>
              <w:ind w:left="1255" w:right="0"/>
              <w:jc w:val="left"/>
              <w:rPr>
                <w:rFonts w:ascii="Arial" w:hAnsi="Arial" w:cs="Arial" w:eastAsia="Arial" w:hint="default"/>
                <w:sz w:val="24"/>
                <w:szCs w:val="24"/>
              </w:rPr>
            </w:pPr>
            <w:r>
              <w:rPr>
                <w:rFonts w:ascii="Arial"/>
                <w:sz w:val="24"/>
              </w:rPr>
              <w:t>32,694,940</w:t>
            </w:r>
          </w:p>
        </w:tc>
        <w:tc>
          <w:tcPr>
            <w:tcW w:w="696"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12" w:space="0" w:color="000000"/>
              <w:right w:val="nil" w:sz="6" w:space="0" w:color="auto"/>
            </w:tcBorders>
          </w:tcPr>
          <w:p>
            <w:pPr>
              <w:pStyle w:val="TableParagraph"/>
              <w:spacing w:line="268" w:lineRule="exact"/>
              <w:ind w:left="1111" w:right="0"/>
              <w:jc w:val="left"/>
              <w:rPr>
                <w:rFonts w:ascii="Arial" w:hAnsi="Arial" w:cs="Arial" w:eastAsia="Arial" w:hint="default"/>
                <w:sz w:val="24"/>
                <w:szCs w:val="24"/>
              </w:rPr>
            </w:pPr>
            <w:r>
              <w:rPr>
                <w:rFonts w:ascii="Arial"/>
                <w:sz w:val="24"/>
              </w:rPr>
              <w:t>23,662,297</w:t>
            </w:r>
          </w:p>
        </w:tc>
      </w:tr>
    </w:tbl>
    <w:p>
      <w:pPr>
        <w:spacing w:line="240" w:lineRule="auto" w:before="4"/>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703"/>
        <w:gridCol w:w="9279"/>
      </w:tblGrid>
      <w:tr>
        <w:trPr>
          <w:trHeight w:val="419"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w:t>
            </w:r>
          </w:p>
        </w:tc>
        <w:tc>
          <w:tcPr>
            <w:tcW w:w="9279" w:type="dxa"/>
            <w:tcBorders>
              <w:top w:val="nil" w:sz="6" w:space="0" w:color="auto"/>
              <w:left w:val="nil" w:sz="6" w:space="0" w:color="auto"/>
              <w:bottom w:val="nil" w:sz="6" w:space="0" w:color="auto"/>
              <w:right w:val="nil" w:sz="6" w:space="0" w:color="auto"/>
            </w:tcBorders>
          </w:tcPr>
          <w:p>
            <w:pPr>
              <w:pStyle w:val="TableParagraph"/>
              <w:spacing w:line="245" w:lineRule="exact"/>
              <w:ind w:left="209" w:right="0"/>
              <w:jc w:val="left"/>
              <w:rPr>
                <w:rFonts w:ascii="宋体" w:hAnsi="宋体" w:cs="宋体" w:eastAsia="宋体" w:hint="default"/>
                <w:sz w:val="24"/>
                <w:szCs w:val="24"/>
              </w:rPr>
            </w:pPr>
            <w:r>
              <w:rPr>
                <w:rFonts w:ascii="宋体" w:hAnsi="宋体" w:cs="宋体" w:eastAsia="宋体" w:hint="default"/>
                <w:b/>
                <w:bCs/>
                <w:sz w:val="24"/>
                <w:szCs w:val="24"/>
              </w:rPr>
              <w:t>前期承诺履行情况</w:t>
            </w:r>
            <w:r>
              <w:rPr>
                <w:rFonts w:ascii="宋体" w:hAnsi="宋体" w:cs="宋体" w:eastAsia="宋体" w:hint="default"/>
                <w:sz w:val="24"/>
                <w:szCs w:val="24"/>
              </w:rPr>
            </w:r>
          </w:p>
        </w:tc>
      </w:tr>
      <w:tr>
        <w:trPr>
          <w:trHeight w:val="426" w:hRule="exact"/>
        </w:trPr>
        <w:tc>
          <w:tcPr>
            <w:tcW w:w="703" w:type="dxa"/>
            <w:tcBorders>
              <w:top w:val="nil" w:sz="6" w:space="0" w:color="auto"/>
              <w:left w:val="nil" w:sz="6" w:space="0" w:color="auto"/>
              <w:bottom w:val="nil" w:sz="6" w:space="0" w:color="auto"/>
              <w:right w:val="nil" w:sz="6" w:space="0" w:color="auto"/>
            </w:tcBorders>
          </w:tcPr>
          <w:p>
            <w:pPr/>
          </w:p>
        </w:tc>
        <w:tc>
          <w:tcPr>
            <w:tcW w:w="92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sz w:val="24"/>
                <w:szCs w:val="24"/>
              </w:rPr>
              <w:t>本集团</w:t>
            </w:r>
            <w:r>
              <w:rPr>
                <w:rFonts w:ascii="宋体" w:hAnsi="宋体" w:cs="宋体" w:eastAsia="宋体" w:hint="default"/>
                <w:spacing w:val="-62"/>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日之资本性支出承诺及经营租赁承诺已按照之前承诺履行。</w:t>
            </w:r>
          </w:p>
        </w:tc>
      </w:tr>
    </w:tbl>
    <w:p>
      <w:pPr>
        <w:spacing w:line="240" w:lineRule="auto" w:before="4"/>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03"/>
        <w:gridCol w:w="2507"/>
        <w:gridCol w:w="2667"/>
        <w:gridCol w:w="1836"/>
        <w:gridCol w:w="2547"/>
      </w:tblGrid>
      <w:tr>
        <w:trPr>
          <w:trHeight w:val="41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九</w:t>
            </w:r>
            <w:r>
              <w:rPr>
                <w:rFonts w:ascii="宋体" w:hAnsi="宋体" w:cs="宋体" w:eastAsia="宋体" w:hint="default"/>
                <w:sz w:val="24"/>
                <w:szCs w:val="24"/>
              </w:rPr>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宋体" w:hAnsi="宋体" w:cs="宋体" w:eastAsia="宋体" w:hint="default"/>
                <w:sz w:val="24"/>
                <w:szCs w:val="24"/>
              </w:rPr>
            </w:pPr>
            <w:r>
              <w:rPr>
                <w:rFonts w:ascii="宋体" w:hAnsi="宋体" w:cs="宋体" w:eastAsia="宋体" w:hint="default"/>
                <w:b/>
                <w:bCs/>
                <w:sz w:val="24"/>
                <w:szCs w:val="24"/>
              </w:rPr>
              <w:t>资产负债表日后事项</w:t>
            </w:r>
            <w:r>
              <w:rPr>
                <w:rFonts w:ascii="宋体" w:hAnsi="宋体" w:cs="宋体" w:eastAsia="宋体" w:hint="default"/>
                <w:sz w:val="24"/>
                <w:szCs w:val="24"/>
              </w:rPr>
            </w:r>
          </w:p>
        </w:tc>
        <w:tc>
          <w:tcPr>
            <w:tcW w:w="266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r>
      <w:tr>
        <w:trPr>
          <w:trHeight w:val="59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5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09" w:right="0"/>
              <w:jc w:val="left"/>
              <w:rPr>
                <w:rFonts w:ascii="宋体" w:hAnsi="宋体" w:cs="宋体" w:eastAsia="宋体" w:hint="default"/>
                <w:sz w:val="24"/>
                <w:szCs w:val="24"/>
              </w:rPr>
            </w:pPr>
            <w:r>
              <w:rPr>
                <w:rFonts w:ascii="宋体" w:hAnsi="宋体" w:cs="宋体" w:eastAsia="宋体" w:hint="default"/>
                <w:b/>
                <w:bCs/>
                <w:sz w:val="24"/>
                <w:szCs w:val="24"/>
              </w:rPr>
              <w:t>重要的资产负债表日后事项说明</w:t>
            </w:r>
            <w:r>
              <w:rPr>
                <w:rFonts w:ascii="宋体" w:hAnsi="宋体" w:cs="宋体" w:eastAsia="宋体" w:hint="default"/>
                <w:sz w:val="24"/>
                <w:szCs w:val="24"/>
              </w:rPr>
            </w:r>
          </w:p>
        </w:tc>
        <w:tc>
          <w:tcPr>
            <w:tcW w:w="1836"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r>
      <w:tr>
        <w:trPr>
          <w:trHeight w:val="900" w:hRule="exact"/>
        </w:trPr>
        <w:tc>
          <w:tcPr>
            <w:tcW w:w="703"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151"/>
              <w:jc w:val="right"/>
              <w:rPr>
                <w:rFonts w:ascii="宋体" w:hAnsi="宋体" w:cs="宋体" w:eastAsia="宋体" w:hint="default"/>
                <w:sz w:val="24"/>
                <w:szCs w:val="24"/>
              </w:rPr>
            </w:pPr>
            <w:r>
              <w:rPr>
                <w:rFonts w:ascii="宋体" w:hAnsi="宋体" w:cs="宋体" w:eastAsia="宋体" w:hint="default"/>
                <w:sz w:val="24"/>
                <w:szCs w:val="24"/>
              </w:rPr>
              <w:t>内容</w:t>
            </w:r>
          </w:p>
        </w:tc>
        <w:tc>
          <w:tcPr>
            <w:tcW w:w="183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53" w:right="0"/>
              <w:jc w:val="left"/>
              <w:rPr>
                <w:rFonts w:ascii="宋体" w:hAnsi="宋体" w:cs="宋体" w:eastAsia="宋体" w:hint="default"/>
                <w:sz w:val="24"/>
                <w:szCs w:val="24"/>
              </w:rPr>
            </w:pPr>
            <w:r>
              <w:rPr>
                <w:rFonts w:ascii="宋体" w:hAnsi="宋体" w:cs="宋体" w:eastAsia="宋体" w:hint="default"/>
                <w:sz w:val="24"/>
                <w:szCs w:val="24"/>
              </w:rPr>
              <w:t>对财务状况和经 营成果的影响数</w:t>
            </w:r>
          </w:p>
        </w:tc>
        <w:tc>
          <w:tcPr>
            <w:tcW w:w="2547" w:type="dxa"/>
            <w:tcBorders>
              <w:top w:val="nil" w:sz="6" w:space="0" w:color="auto"/>
              <w:left w:val="nil" w:sz="6" w:space="0" w:color="auto"/>
              <w:bottom w:val="nil" w:sz="6" w:space="0" w:color="auto"/>
              <w:right w:val="nil" w:sz="6" w:space="0" w:color="auto"/>
            </w:tcBorders>
          </w:tcPr>
          <w:p>
            <w:pPr>
              <w:pStyle w:val="TableParagraph"/>
              <w:spacing w:line="313" w:lineRule="exact" w:before="100"/>
              <w:ind w:left="-15" w:right="398"/>
              <w:jc w:val="right"/>
              <w:rPr>
                <w:rFonts w:ascii="宋体" w:hAnsi="宋体" w:cs="宋体" w:eastAsia="宋体" w:hint="default"/>
                <w:sz w:val="24"/>
                <w:szCs w:val="24"/>
              </w:rPr>
            </w:pPr>
            <w:r>
              <w:rPr>
                <w:rFonts w:ascii="宋体" w:hAnsi="宋体" w:cs="宋体" w:eastAsia="宋体" w:hint="default"/>
                <w:sz w:val="24"/>
                <w:szCs w:val="24"/>
              </w:rPr>
              <w:t>无法估计影响数的原</w:t>
            </w:r>
          </w:p>
          <w:p>
            <w:pPr>
              <w:pStyle w:val="TableParagraph"/>
              <w:spacing w:line="313" w:lineRule="exact"/>
              <w:ind w:right="398"/>
              <w:jc w:val="right"/>
              <w:rPr>
                <w:rFonts w:ascii="宋体" w:hAnsi="宋体" w:cs="宋体" w:eastAsia="宋体" w:hint="default"/>
                <w:sz w:val="24"/>
                <w:szCs w:val="24"/>
              </w:rPr>
            </w:pPr>
            <w:r>
              <w:rPr>
                <w:rFonts w:ascii="宋体" w:hAnsi="宋体" w:cs="宋体" w:eastAsia="宋体" w:hint="default"/>
                <w:sz w:val="24"/>
                <w:szCs w:val="24"/>
              </w:rPr>
              <w:t>因</w:t>
            </w:r>
          </w:p>
        </w:tc>
      </w:tr>
      <w:tr>
        <w:trPr>
          <w:trHeight w:val="1537" w:hRule="exact"/>
        </w:trPr>
        <w:tc>
          <w:tcPr>
            <w:tcW w:w="703"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nil" w:sz="6" w:space="0" w:color="auto"/>
              <w:right w:val="nil" w:sz="6" w:space="0" w:color="auto"/>
            </w:tcBorders>
          </w:tcPr>
          <w:p>
            <w:pPr>
              <w:pStyle w:val="TableParagraph"/>
              <w:spacing w:line="313" w:lineRule="exact" w:before="100"/>
              <w:ind w:left="209" w:right="0"/>
              <w:jc w:val="left"/>
              <w:rPr>
                <w:rFonts w:ascii="宋体" w:hAnsi="宋体" w:cs="宋体" w:eastAsia="宋体" w:hint="default"/>
                <w:sz w:val="24"/>
                <w:szCs w:val="24"/>
              </w:rPr>
            </w:pPr>
            <w:r>
              <w:rPr>
                <w:rFonts w:ascii="宋体" w:hAnsi="宋体" w:cs="宋体" w:eastAsia="宋体" w:hint="default"/>
                <w:sz w:val="24"/>
                <w:szCs w:val="24"/>
              </w:rPr>
              <w:t>偿还应付款项</w:t>
            </w:r>
          </w:p>
          <w:p>
            <w:pPr>
              <w:pStyle w:val="TableParagraph"/>
              <w:spacing w:line="321" w:lineRule="exact"/>
              <w:ind w:left="56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(20)(c))</w:t>
            </w:r>
          </w:p>
          <w:p>
            <w:pPr>
              <w:pStyle w:val="TableParagraph"/>
              <w:spacing w:line="312" w:lineRule="exact"/>
              <w:ind w:left="56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(21)(c))</w:t>
            </w:r>
          </w:p>
          <w:p>
            <w:pPr>
              <w:pStyle w:val="TableParagraph"/>
              <w:spacing w:line="322" w:lineRule="exact"/>
              <w:ind w:left="569"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(26)(c))</w:t>
            </w:r>
          </w:p>
        </w:tc>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202"/>
              <w:ind w:left="352" w:right="151" w:firstLine="720"/>
              <w:jc w:val="left"/>
              <w:rPr>
                <w:rFonts w:ascii="宋体" w:hAnsi="宋体" w:cs="宋体" w:eastAsia="宋体" w:hint="default"/>
                <w:sz w:val="24"/>
                <w:szCs w:val="24"/>
              </w:rPr>
            </w:pPr>
            <w:r>
              <w:rPr>
                <w:rFonts w:ascii="宋体" w:hAnsi="宋体" w:cs="宋体" w:eastAsia="宋体" w:hint="default"/>
                <w:sz w:val="24"/>
                <w:szCs w:val="24"/>
              </w:rPr>
              <w:t>偿还账龄超过 一年的大额应付款项</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6"/>
              <w:ind w:left="559" w:right="0" w:hanging="406"/>
              <w:jc w:val="both"/>
              <w:rPr>
                <w:rFonts w:ascii="宋体" w:hAnsi="宋体" w:cs="宋体" w:eastAsia="宋体" w:hint="default"/>
                <w:sz w:val="24"/>
                <w:szCs w:val="24"/>
              </w:rPr>
            </w:pPr>
            <w:r>
              <w:rPr>
                <w:rFonts w:ascii="宋体" w:hAnsi="宋体" w:cs="宋体" w:eastAsia="宋体" w:hint="default"/>
                <w:sz w:val="24"/>
                <w:szCs w:val="24"/>
              </w:rPr>
              <w:t>资产和负债同时 减少人民币 </w:t>
            </w:r>
            <w:r>
              <w:rPr>
                <w:rFonts w:ascii="Arial" w:hAnsi="Arial" w:cs="Arial" w:eastAsia="Arial" w:hint="default"/>
                <w:sz w:val="24"/>
                <w:szCs w:val="24"/>
              </w:rPr>
              <w:t>13,872</w:t>
            </w:r>
            <w:r>
              <w:rPr>
                <w:rFonts w:ascii="Arial" w:hAnsi="Arial" w:cs="Arial" w:eastAsia="Arial" w:hint="default"/>
                <w:spacing w:val="-7"/>
                <w:sz w:val="24"/>
                <w:szCs w:val="24"/>
              </w:rPr>
              <w:t> </w:t>
            </w:r>
            <w:r>
              <w:rPr>
                <w:rFonts w:ascii="宋体" w:hAnsi="宋体" w:cs="宋体" w:eastAsia="宋体" w:hint="default"/>
                <w:sz w:val="24"/>
                <w:szCs w:val="24"/>
              </w:rPr>
              <w:t>万元</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397"/>
              <w:jc w:val="right"/>
              <w:rPr>
                <w:rFonts w:ascii="Arial" w:hAnsi="Arial" w:cs="Arial" w:eastAsia="Arial" w:hint="default"/>
                <w:sz w:val="24"/>
                <w:szCs w:val="24"/>
              </w:rPr>
            </w:pPr>
            <w:r>
              <w:rPr>
                <w:rFonts w:ascii="Arial"/>
                <w:w w:val="99"/>
                <w:sz w:val="24"/>
              </w:rPr>
              <w:t>-</w:t>
            </w:r>
            <w:r>
              <w:rPr>
                <w:rFonts w:ascii="Arial"/>
                <w:sz w:val="24"/>
              </w:rPr>
            </w:r>
          </w:p>
        </w:tc>
      </w:tr>
      <w:tr>
        <w:trPr>
          <w:trHeight w:val="575"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(2)</w:t>
            </w:r>
          </w:p>
        </w:tc>
        <w:tc>
          <w:tcPr>
            <w:tcW w:w="51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09" w:right="0"/>
              <w:jc w:val="left"/>
              <w:rPr>
                <w:rFonts w:ascii="宋体" w:hAnsi="宋体" w:cs="宋体" w:eastAsia="宋体" w:hint="default"/>
                <w:sz w:val="24"/>
                <w:szCs w:val="24"/>
              </w:rPr>
            </w:pPr>
            <w:r>
              <w:rPr>
                <w:rFonts w:ascii="宋体" w:hAnsi="宋体" w:cs="宋体" w:eastAsia="宋体" w:hint="default"/>
                <w:b/>
                <w:bCs/>
                <w:sz w:val="24"/>
                <w:szCs w:val="24"/>
              </w:rPr>
              <w:t>资产负债表日后利润分配情况说明</w:t>
            </w:r>
            <w:r>
              <w:rPr>
                <w:rFonts w:ascii="宋体" w:hAnsi="宋体" w:cs="宋体" w:eastAsia="宋体" w:hint="default"/>
                <w:sz w:val="24"/>
                <w:szCs w:val="24"/>
              </w:rPr>
            </w:r>
          </w:p>
        </w:tc>
        <w:tc>
          <w:tcPr>
            <w:tcW w:w="1836"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r>
      <w:tr>
        <w:trPr>
          <w:trHeight w:val="450" w:hRule="exact"/>
        </w:trPr>
        <w:tc>
          <w:tcPr>
            <w:tcW w:w="703"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
        </w:tc>
        <w:tc>
          <w:tcPr>
            <w:tcW w:w="43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919"/>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480" w:hRule="exact"/>
        </w:trPr>
        <w:tc>
          <w:tcPr>
            <w:tcW w:w="703" w:type="dxa"/>
            <w:tcBorders>
              <w:top w:val="nil" w:sz="6" w:space="0" w:color="auto"/>
              <w:left w:val="nil" w:sz="6" w:space="0" w:color="auto"/>
              <w:bottom w:val="nil" w:sz="6" w:space="0" w:color="auto"/>
              <w:right w:val="nil" w:sz="6" w:space="0" w:color="auto"/>
            </w:tcBorders>
          </w:tcPr>
          <w:p>
            <w:pPr/>
          </w:p>
        </w:tc>
        <w:tc>
          <w:tcPr>
            <w:tcW w:w="2507" w:type="dxa"/>
            <w:tcBorders>
              <w:top w:val="nil" w:sz="6" w:space="0" w:color="auto"/>
              <w:left w:val="nil" w:sz="6" w:space="0" w:color="auto"/>
              <w:bottom w:val="nil" w:sz="6" w:space="0" w:color="auto"/>
              <w:right w:val="nil" w:sz="6" w:space="0" w:color="auto"/>
            </w:tcBorders>
          </w:tcPr>
          <w:p>
            <w:pPr>
              <w:pStyle w:val="TableParagraph"/>
              <w:spacing w:line="293" w:lineRule="exact"/>
              <w:ind w:left="209" w:right="0"/>
              <w:jc w:val="left"/>
              <w:rPr>
                <w:rFonts w:ascii="Arial" w:hAnsi="Arial" w:cs="Arial" w:eastAsia="Arial" w:hint="default"/>
                <w:sz w:val="24"/>
                <w:szCs w:val="24"/>
              </w:rPr>
            </w:pPr>
            <w:r>
              <w:rPr>
                <w:rFonts w:ascii="宋体" w:hAnsi="宋体" w:cs="宋体" w:eastAsia="宋体" w:hint="default"/>
                <w:sz w:val="24"/>
                <w:szCs w:val="24"/>
              </w:rPr>
              <w:t>拟分配的股利</w:t>
            </w:r>
            <w:r>
              <w:rPr>
                <w:rFonts w:ascii="Arial" w:hAnsi="Arial" w:cs="Arial" w:eastAsia="Arial" w:hint="default"/>
                <w:sz w:val="24"/>
                <w:szCs w:val="24"/>
              </w:rPr>
              <w:t>(a)</w:t>
            </w:r>
          </w:p>
        </w:tc>
        <w:tc>
          <w:tcPr>
            <w:tcW w:w="7050" w:type="dxa"/>
            <w:gridSpan w:val="3"/>
            <w:tcBorders>
              <w:top w:val="nil" w:sz="6" w:space="0" w:color="auto"/>
              <w:left w:val="nil" w:sz="6" w:space="0" w:color="auto"/>
              <w:bottom w:val="nil" w:sz="6" w:space="0" w:color="auto"/>
              <w:right w:val="nil" w:sz="6" w:space="0" w:color="auto"/>
            </w:tcBorders>
          </w:tcPr>
          <w:p>
            <w:pPr>
              <w:pStyle w:val="TableParagraph"/>
              <w:tabs>
                <w:tab w:pos="3569" w:val="left" w:leader="none"/>
              </w:tabs>
              <w:spacing w:line="240" w:lineRule="auto" w:before="36"/>
              <w:ind w:left="215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1,049,432</w:t>
            </w:r>
            <w:r>
              <w:rPr>
                <w:rFonts w:ascii="Arial"/>
                <w:sz w:val="24"/>
              </w:rPr>
            </w:r>
          </w:p>
        </w:tc>
      </w:tr>
      <w:tr>
        <w:trPr>
          <w:trHeight w:val="1361" w:hRule="exact"/>
        </w:trPr>
        <w:tc>
          <w:tcPr>
            <w:tcW w:w="703" w:type="dxa"/>
            <w:tcBorders>
              <w:top w:val="nil" w:sz="6" w:space="0" w:color="auto"/>
              <w:left w:val="nil" w:sz="6" w:space="0" w:color="auto"/>
              <w:bottom w:val="nil" w:sz="6" w:space="0" w:color="auto"/>
              <w:right w:val="nil" w:sz="6" w:space="0" w:color="auto"/>
            </w:tcBorders>
          </w:tcPr>
          <w:p>
            <w:pPr/>
          </w:p>
        </w:tc>
        <w:tc>
          <w:tcPr>
            <w:tcW w:w="9557"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99"/>
              <w:ind w:left="209" w:right="0"/>
              <w:jc w:val="left"/>
              <w:rPr>
                <w:rFonts w:ascii="宋体" w:hAnsi="宋体" w:cs="宋体" w:eastAsia="宋体" w:hint="default"/>
                <w:sz w:val="24"/>
                <w:szCs w:val="24"/>
              </w:rPr>
            </w:pPr>
            <w:r>
              <w:rPr>
                <w:rFonts w:ascii="Arial" w:hAnsi="Arial" w:cs="Arial" w:eastAsia="Arial" w:hint="default"/>
                <w:sz w:val="24"/>
                <w:szCs w:val="24"/>
              </w:rPr>
              <w:t>(a)</w:t>
            </w:r>
            <w:r>
              <w:rPr>
                <w:rFonts w:ascii="Arial" w:hAnsi="Arial" w:cs="Arial" w:eastAsia="Arial" w:hint="default"/>
                <w:spacing w:val="51"/>
                <w:sz w:val="24"/>
                <w:szCs w:val="24"/>
              </w:rPr>
              <w:t> </w:t>
            </w:r>
            <w:r>
              <w:rPr>
                <w:rFonts w:ascii="宋体" w:hAnsi="宋体" w:cs="宋体" w:eastAsia="宋体" w:hint="default"/>
                <w:sz w:val="24"/>
                <w:szCs w:val="24"/>
              </w:rPr>
              <w:t>根据</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29</w:t>
            </w:r>
            <w:r>
              <w:rPr>
                <w:rFonts w:ascii="Arial" w:hAnsi="Arial" w:cs="Arial" w:eastAsia="Arial" w:hint="default"/>
                <w:spacing w:val="-7"/>
                <w:sz w:val="24"/>
                <w:szCs w:val="24"/>
              </w:rPr>
              <w:t> </w:t>
            </w:r>
            <w:r>
              <w:rPr>
                <w:rFonts w:ascii="宋体" w:hAnsi="宋体" w:cs="宋体" w:eastAsia="宋体" w:hint="default"/>
                <w:sz w:val="24"/>
                <w:szCs w:val="24"/>
              </w:rPr>
              <w:t>日董事会决议，董事会提议本公司向全体股东派发现金股利，</w:t>
            </w:r>
          </w:p>
          <w:p>
            <w:pPr>
              <w:pStyle w:val="TableParagraph"/>
              <w:spacing w:line="312" w:lineRule="exact"/>
              <w:ind w:left="209"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股派发现金股利</w:t>
            </w:r>
            <w:r>
              <w:rPr>
                <w:rFonts w:ascii="宋体" w:hAnsi="宋体" w:cs="宋体" w:eastAsia="宋体" w:hint="default"/>
                <w:spacing w:val="-63"/>
                <w:sz w:val="24"/>
                <w:szCs w:val="24"/>
              </w:rPr>
              <w:t> </w:t>
            </w:r>
            <w:r>
              <w:rPr>
                <w:rFonts w:ascii="Arial" w:hAnsi="Arial" w:cs="Arial" w:eastAsia="Arial" w:hint="default"/>
                <w:sz w:val="24"/>
                <w:szCs w:val="24"/>
              </w:rPr>
              <w:t>1.5</w:t>
            </w:r>
            <w:r>
              <w:rPr>
                <w:rFonts w:ascii="Arial" w:hAnsi="Arial" w:cs="Arial" w:eastAsia="Arial" w:hint="default"/>
                <w:spacing w:val="-7"/>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61"/>
                <w:sz w:val="24"/>
                <w:szCs w:val="24"/>
              </w:rPr>
              <w:t> </w:t>
            </w:r>
            <w:r>
              <w:rPr>
                <w:rFonts w:ascii="Arial" w:hAnsi="Arial" w:cs="Arial" w:eastAsia="Arial" w:hint="default"/>
                <w:sz w:val="24"/>
                <w:szCs w:val="24"/>
              </w:rPr>
              <w:t>6,996,211,866</w:t>
            </w:r>
            <w:r>
              <w:rPr>
                <w:rFonts w:ascii="Arial" w:hAnsi="Arial" w:cs="Arial" w:eastAsia="Arial" w:hint="default"/>
                <w:spacing w:val="-8"/>
                <w:sz w:val="24"/>
                <w:szCs w:val="24"/>
              </w:rPr>
              <w:t> </w:t>
            </w:r>
            <w:r>
              <w:rPr>
                <w:rFonts w:ascii="宋体" w:hAnsi="宋体" w:cs="宋体" w:eastAsia="宋体" w:hint="default"/>
                <w:sz w:val="24"/>
                <w:szCs w:val="24"/>
              </w:rPr>
              <w:t>股为基数，拟派发现</w:t>
            </w:r>
          </w:p>
          <w:p>
            <w:pPr>
              <w:pStyle w:val="TableParagraph"/>
              <w:spacing w:line="312" w:lineRule="exact" w:before="21"/>
              <w:ind w:left="209" w:right="202"/>
              <w:jc w:val="left"/>
              <w:rPr>
                <w:rFonts w:ascii="宋体" w:hAnsi="宋体" w:cs="宋体" w:eastAsia="宋体" w:hint="default"/>
                <w:sz w:val="24"/>
                <w:szCs w:val="24"/>
              </w:rPr>
            </w:pPr>
            <w:r>
              <w:rPr>
                <w:rFonts w:ascii="宋体" w:hAnsi="宋体" w:cs="宋体" w:eastAsia="宋体" w:hint="default"/>
                <w:sz w:val="24"/>
                <w:szCs w:val="24"/>
              </w:rPr>
              <w:t>金股利共计约人民币</w:t>
            </w:r>
            <w:r>
              <w:rPr>
                <w:rFonts w:ascii="宋体" w:hAnsi="宋体" w:cs="宋体" w:eastAsia="宋体" w:hint="default"/>
                <w:spacing w:val="-53"/>
                <w:sz w:val="24"/>
                <w:szCs w:val="24"/>
              </w:rPr>
              <w:t> </w:t>
            </w:r>
            <w:r>
              <w:rPr>
                <w:rFonts w:ascii="Arial" w:hAnsi="Arial" w:cs="Arial" w:eastAsia="Arial" w:hint="default"/>
                <w:sz w:val="24"/>
                <w:szCs w:val="24"/>
              </w:rPr>
              <w:t>10.5</w:t>
            </w:r>
            <w:r>
              <w:rPr>
                <w:rFonts w:ascii="Arial" w:hAnsi="Arial" w:cs="Arial" w:eastAsia="Arial" w:hint="default"/>
                <w:spacing w:val="3"/>
                <w:sz w:val="24"/>
                <w:szCs w:val="24"/>
              </w:rPr>
              <w:t> </w:t>
            </w:r>
            <w:r>
              <w:rPr>
                <w:rFonts w:ascii="宋体" w:hAnsi="宋体" w:cs="宋体" w:eastAsia="宋体" w:hint="default"/>
                <w:spacing w:val="-4"/>
                <w:sz w:val="24"/>
                <w:szCs w:val="24"/>
              </w:rPr>
              <w:t>亿元，上述提议尚待股东大会批准，未在本财务报表中确认为</w:t>
            </w:r>
            <w:r>
              <w:rPr>
                <w:rFonts w:ascii="宋体" w:hAnsi="宋体" w:cs="宋体" w:eastAsia="宋体" w:hint="default"/>
                <w:w w:val="100"/>
                <w:sz w:val="24"/>
                <w:szCs w:val="24"/>
              </w:rPr>
              <w:t> </w:t>
            </w:r>
            <w:r>
              <w:rPr>
                <w:rFonts w:ascii="宋体" w:hAnsi="宋体" w:cs="宋体" w:eastAsia="宋体" w:hint="default"/>
                <w:sz w:val="24"/>
                <w:szCs w:val="24"/>
              </w:rPr>
              <w:t>负债</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(34))</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72"/>
        <w:gridCol w:w="1287"/>
      </w:tblGrid>
      <w:tr>
        <w:trPr>
          <w:trHeight w:val="52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十</w:t>
            </w:r>
            <w:r>
              <w:rPr>
                <w:rFonts w:ascii="宋体" w:hAnsi="宋体" w:cs="宋体" w:eastAsia="宋体" w:hint="default"/>
                <w:sz w:val="24"/>
                <w:szCs w:val="24"/>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7" w:right="0"/>
              <w:jc w:val="left"/>
              <w:rPr>
                <w:rFonts w:ascii="宋体" w:hAnsi="宋体" w:cs="宋体" w:eastAsia="宋体" w:hint="default"/>
                <w:sz w:val="24"/>
                <w:szCs w:val="24"/>
              </w:rPr>
            </w:pPr>
            <w:r>
              <w:rPr>
                <w:rFonts w:ascii="宋体" w:hAnsi="宋体" w:cs="宋体" w:eastAsia="宋体" w:hint="default"/>
                <w:b/>
                <w:bCs/>
                <w:sz w:val="24"/>
                <w:szCs w:val="24"/>
              </w:rPr>
              <w:t>企业合并</w:t>
            </w:r>
            <w:r>
              <w:rPr>
                <w:rFonts w:ascii="宋体" w:hAnsi="宋体" w:cs="宋体" w:eastAsia="宋体" w:hint="default"/>
                <w:sz w:val="24"/>
                <w:szCs w:val="24"/>
              </w:rPr>
            </w:r>
          </w:p>
        </w:tc>
      </w:tr>
    </w:tbl>
    <w:p>
      <w:pPr>
        <w:spacing w:line="240" w:lineRule="auto" w:before="7"/>
        <w:rPr>
          <w:rFonts w:ascii="Times New Roman" w:hAnsi="Times New Roman" w:cs="Times New Roman" w:eastAsia="Times New Roman" w:hint="default"/>
          <w:sz w:val="18"/>
          <w:szCs w:val="18"/>
        </w:rPr>
      </w:pPr>
    </w:p>
    <w:p>
      <w:pPr>
        <w:pStyle w:val="BodyText"/>
        <w:spacing w:line="240" w:lineRule="auto" w:before="26"/>
        <w:ind w:left="908" w:right="423"/>
        <w:jc w:val="left"/>
      </w:pPr>
      <w:r>
        <w:rPr/>
        <w:pict>
          <v:group style="position:absolute;margin-left:84.984001pt;margin-top:-36.76437pt;width:439.9pt;height:.1pt;mso-position-horizontal-relative:page;mso-position-vertical-relative:paragraph;z-index:-1358296" coordorigin="1700,-735" coordsize="8798,2">
            <v:shape style="position:absolute;left:1700;top:-735;width:8798;height:2" coordorigin="1700,-735" coordsize="8798,0" path="m1700,-735l10497,-735e" filled="false" stroked="true" strokeweight=".71999pt" strokecolor="#000000">
              <v:path arrowok="t"/>
            </v:shape>
            <w10:wrap type="none"/>
          </v:group>
        </w:pict>
      </w:r>
      <w:r>
        <w:rPr/>
        <w:t>见附注四</w:t>
      </w:r>
      <w:r>
        <w:rPr>
          <w:rFonts w:ascii="Arial" w:hAnsi="Arial" w:cs="Arial" w:eastAsia="Arial" w:hint="default"/>
        </w:rPr>
        <w:t>(3)</w:t>
      </w:r>
      <w:r>
        <w:rPr/>
        <w:t>。</w:t>
      </w:r>
    </w:p>
    <w:p>
      <w:pPr>
        <w:spacing w:line="240" w:lineRule="auto" w:before="7"/>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88"/>
        <w:gridCol w:w="9324"/>
      </w:tblGrid>
      <w:tr>
        <w:trPr>
          <w:trHeight w:val="414"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tc>
        <w:tc>
          <w:tcPr>
            <w:tcW w:w="932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金融工具及其风险</w:t>
            </w:r>
            <w:r>
              <w:rPr>
                <w:rFonts w:ascii="宋体" w:hAnsi="宋体" w:cs="宋体" w:eastAsia="宋体" w:hint="default"/>
                <w:sz w:val="24"/>
                <w:szCs w:val="24"/>
              </w:rPr>
            </w:r>
          </w:p>
        </w:tc>
      </w:tr>
      <w:tr>
        <w:trPr>
          <w:trHeight w:val="1210" w:hRule="exact"/>
        </w:trPr>
        <w:tc>
          <w:tcPr>
            <w:tcW w:w="788" w:type="dxa"/>
            <w:tcBorders>
              <w:top w:val="nil" w:sz="6" w:space="0" w:color="auto"/>
              <w:left w:val="nil" w:sz="6" w:space="0" w:color="auto"/>
              <w:bottom w:val="nil" w:sz="6" w:space="0" w:color="auto"/>
              <w:right w:val="nil" w:sz="6" w:space="0" w:color="auto"/>
            </w:tcBorders>
          </w:tcPr>
          <w:p>
            <w:pPr/>
          </w:p>
        </w:tc>
        <w:tc>
          <w:tcPr>
            <w:tcW w:w="9324" w:type="dxa"/>
            <w:tcBorders>
              <w:top w:val="nil" w:sz="6" w:space="0" w:color="auto"/>
              <w:left w:val="nil" w:sz="6" w:space="0" w:color="auto"/>
              <w:bottom w:val="nil" w:sz="6" w:space="0" w:color="auto"/>
              <w:right w:val="nil" w:sz="6" w:space="0" w:color="auto"/>
            </w:tcBorders>
          </w:tcPr>
          <w:p>
            <w:pPr>
              <w:pStyle w:val="TableParagraph"/>
              <w:spacing w:line="232" w:lineRule="auto" w:before="108"/>
              <w:ind w:left="108" w:right="200"/>
              <w:jc w:val="both"/>
              <w:rPr>
                <w:rFonts w:ascii="宋体" w:hAnsi="宋体" w:cs="宋体" w:eastAsia="宋体" w:hint="default"/>
                <w:sz w:val="24"/>
                <w:szCs w:val="24"/>
              </w:rPr>
            </w:pPr>
            <w:r>
              <w:rPr>
                <w:rFonts w:ascii="宋体" w:hAnsi="宋体" w:cs="宋体" w:eastAsia="宋体" w:hint="default"/>
                <w:spacing w:val="-1"/>
                <w:sz w:val="24"/>
                <w:szCs w:val="24"/>
              </w:rPr>
              <w:t>本集团的经营活动会面临各种金融风险：市场风险</w:t>
            </w:r>
            <w:r>
              <w:rPr>
                <w:rFonts w:ascii="Arial" w:hAnsi="Arial" w:cs="Arial" w:eastAsia="Arial" w:hint="default"/>
                <w:spacing w:val="-1"/>
                <w:sz w:val="24"/>
                <w:szCs w:val="24"/>
              </w:rPr>
              <w:t>(</w:t>
            </w:r>
            <w:r>
              <w:rPr>
                <w:rFonts w:ascii="宋体" w:hAnsi="宋体" w:cs="宋体" w:eastAsia="宋体" w:hint="default"/>
                <w:spacing w:val="-1"/>
                <w:sz w:val="24"/>
                <w:szCs w:val="24"/>
              </w:rPr>
              <w:t>主要为外汇风险</w:t>
            </w:r>
            <w:r>
              <w:rPr>
                <w:rFonts w:ascii="Arial" w:hAnsi="Arial" w:cs="Arial" w:eastAsia="Arial" w:hint="default"/>
                <w:spacing w:val="-1"/>
                <w:sz w:val="24"/>
                <w:szCs w:val="24"/>
              </w:rPr>
              <w:t>)</w:t>
            </w:r>
            <w:r>
              <w:rPr>
                <w:rFonts w:ascii="宋体" w:hAnsi="宋体" w:cs="宋体" w:eastAsia="宋体" w:hint="default"/>
                <w:spacing w:val="-1"/>
                <w:sz w:val="24"/>
                <w:szCs w:val="24"/>
              </w:rPr>
              <w:t>、信用风险和流动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风险。本集团整体的风险管理计划针对金融市场的不可预见性，力求减少对本集团财务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业绩的潜在不利影响。</w:t>
            </w:r>
          </w:p>
        </w:tc>
      </w:tr>
      <w:tr>
        <w:trPr>
          <w:trHeight w:val="588"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93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4"/>
                <w:szCs w:val="24"/>
              </w:rPr>
            </w:pPr>
            <w:r>
              <w:rPr>
                <w:rFonts w:ascii="宋体" w:hAnsi="宋体" w:cs="宋体" w:eastAsia="宋体" w:hint="default"/>
                <w:sz w:val="24"/>
                <w:szCs w:val="24"/>
              </w:rPr>
              <w:t>市场风险</w:t>
            </w:r>
          </w:p>
        </w:tc>
      </w:tr>
      <w:tr>
        <w:trPr>
          <w:trHeight w:val="591"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932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4"/>
                <w:szCs w:val="24"/>
              </w:rPr>
            </w:pPr>
            <w:r>
              <w:rPr>
                <w:rFonts w:ascii="宋体" w:hAnsi="宋体" w:cs="宋体" w:eastAsia="宋体" w:hint="default"/>
                <w:sz w:val="24"/>
                <w:szCs w:val="24"/>
              </w:rPr>
              <w:t>外汇风险</w:t>
            </w:r>
          </w:p>
        </w:tc>
      </w:tr>
      <w:tr>
        <w:trPr>
          <w:trHeight w:val="2148" w:hRule="exact"/>
        </w:trPr>
        <w:tc>
          <w:tcPr>
            <w:tcW w:w="788" w:type="dxa"/>
            <w:tcBorders>
              <w:top w:val="nil" w:sz="6" w:space="0" w:color="auto"/>
              <w:left w:val="nil" w:sz="6" w:space="0" w:color="auto"/>
              <w:bottom w:val="nil" w:sz="6" w:space="0" w:color="auto"/>
              <w:right w:val="nil" w:sz="6" w:space="0" w:color="auto"/>
            </w:tcBorders>
          </w:tcPr>
          <w:p>
            <w:pPr/>
          </w:p>
        </w:tc>
        <w:tc>
          <w:tcPr>
            <w:tcW w:w="9324" w:type="dxa"/>
            <w:tcBorders>
              <w:top w:val="nil" w:sz="6" w:space="0" w:color="auto"/>
              <w:left w:val="nil" w:sz="6" w:space="0" w:color="auto"/>
              <w:bottom w:val="nil" w:sz="6" w:space="0" w:color="auto"/>
              <w:right w:val="nil" w:sz="6" w:space="0" w:color="auto"/>
            </w:tcBorders>
          </w:tcPr>
          <w:p>
            <w:pPr>
              <w:pStyle w:val="TableParagraph"/>
              <w:spacing w:line="230" w:lineRule="auto" w:before="111"/>
              <w:ind w:left="108" w:right="198"/>
              <w:jc w:val="both"/>
              <w:rPr>
                <w:rFonts w:ascii="宋体" w:hAnsi="宋体" w:cs="宋体" w:eastAsia="宋体" w:hint="default"/>
                <w:sz w:val="24"/>
                <w:szCs w:val="24"/>
              </w:rPr>
            </w:pPr>
            <w:r>
              <w:rPr>
                <w:rFonts w:ascii="宋体" w:hAnsi="宋体" w:cs="宋体" w:eastAsia="宋体" w:hint="default"/>
                <w:spacing w:val="-3"/>
                <w:sz w:val="24"/>
                <w:szCs w:val="24"/>
              </w:rPr>
              <w:t>本集团的主要经营位于中国境内，主要业务以人民币结算。但本集团已确认的外币资产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和负债及未来的外币交易</w:t>
            </w:r>
            <w:r>
              <w:rPr>
                <w:rFonts w:ascii="Arial" w:hAnsi="Arial" w:cs="Arial" w:eastAsia="Arial" w:hint="default"/>
                <w:sz w:val="24"/>
                <w:szCs w:val="24"/>
              </w:rPr>
              <w:t>(</w:t>
            </w:r>
            <w:r>
              <w:rPr>
                <w:rFonts w:ascii="宋体" w:hAnsi="宋体" w:cs="宋体" w:eastAsia="宋体" w:hint="default"/>
                <w:sz w:val="24"/>
                <w:szCs w:val="24"/>
              </w:rPr>
              <w:t>外币资产和负债及外币交易的计价货币主要为日元，港币和</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美元</w:t>
            </w:r>
            <w:r>
              <w:rPr>
                <w:rFonts w:ascii="Arial" w:hAnsi="Arial" w:cs="Arial" w:eastAsia="Arial" w:hint="default"/>
                <w:sz w:val="24"/>
                <w:szCs w:val="24"/>
              </w:rPr>
              <w:t>)</w:t>
            </w:r>
            <w:r>
              <w:rPr>
                <w:rFonts w:ascii="宋体" w:hAnsi="宋体" w:cs="宋体" w:eastAsia="宋体" w:hint="default"/>
                <w:sz w:val="24"/>
                <w:szCs w:val="24"/>
              </w:rPr>
              <w:t>依然存在外汇风险。本集团总部财务部门负责监控集团外币交易和外币资产及负</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pacing w:val="-3"/>
                <w:sz w:val="24"/>
                <w:szCs w:val="24"/>
              </w:rPr>
              <w:t>债的规模，以最大程度降低面临的外汇风险；为此，本集团可能会以签署远期外汇合约</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或货币互换合约的方式来达到规避外汇风险的目的。于</w:t>
            </w:r>
            <w:r>
              <w:rPr>
                <w:rFonts w:ascii="宋体" w:hAnsi="宋体" w:cs="宋体" w:eastAsia="宋体" w:hint="default"/>
                <w:spacing w:val="-52"/>
                <w:sz w:val="24"/>
                <w:szCs w:val="24"/>
              </w:rPr>
              <w:t> </w:t>
            </w:r>
            <w:r>
              <w:rPr>
                <w:rFonts w:ascii="Arial" w:hAnsi="Arial" w:cs="Arial" w:eastAsia="Arial" w:hint="default"/>
                <w:spacing w:val="-5"/>
                <w:sz w:val="24"/>
                <w:szCs w:val="24"/>
              </w:rPr>
              <w:t>2011</w:t>
            </w:r>
            <w:r>
              <w:rPr>
                <w:rFonts w:ascii="Arial" w:hAnsi="Arial" w:cs="Arial" w:eastAsia="Arial" w:hint="default"/>
                <w:spacing w:val="3"/>
                <w:sz w:val="24"/>
                <w:szCs w:val="24"/>
              </w:rPr>
              <w:t> </w:t>
            </w:r>
            <w:r>
              <w:rPr>
                <w:rFonts w:ascii="宋体" w:hAnsi="宋体" w:cs="宋体" w:eastAsia="宋体" w:hint="default"/>
                <w:sz w:val="24"/>
                <w:szCs w:val="24"/>
              </w:rPr>
              <w:t>年度及</w:t>
            </w:r>
            <w:r>
              <w:rPr>
                <w:rFonts w:ascii="宋体" w:hAnsi="宋体" w:cs="宋体" w:eastAsia="宋体" w:hint="default"/>
                <w:spacing w:val="-51"/>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年度，本集 团未签署任何远期外汇合约或货币互换合约。</w:t>
            </w:r>
          </w:p>
        </w:tc>
      </w:tr>
      <w:tr>
        <w:trPr>
          <w:trHeight w:val="726" w:hRule="exact"/>
        </w:trPr>
        <w:tc>
          <w:tcPr>
            <w:tcW w:w="788" w:type="dxa"/>
            <w:tcBorders>
              <w:top w:val="nil" w:sz="6" w:space="0" w:color="auto"/>
              <w:left w:val="nil" w:sz="6" w:space="0" w:color="auto"/>
              <w:bottom w:val="nil" w:sz="6" w:space="0" w:color="auto"/>
              <w:right w:val="nil" w:sz="6" w:space="0" w:color="auto"/>
            </w:tcBorders>
          </w:tcPr>
          <w:p>
            <w:pPr/>
          </w:p>
        </w:tc>
        <w:tc>
          <w:tcPr>
            <w:tcW w:w="9324"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08" w:right="203"/>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4"/>
                <w:sz w:val="24"/>
                <w:szCs w:val="24"/>
              </w:rPr>
              <w:t>日，本集团持有的外币金融资产和外币金融</w:t>
            </w:r>
            <w:r>
              <w:rPr>
                <w:rFonts w:ascii="宋体" w:hAnsi="宋体" w:cs="宋体" w:eastAsia="宋体" w:hint="default"/>
                <w:sz w:val="24"/>
                <w:szCs w:val="24"/>
              </w:rPr>
              <w:t> 负债折算成人民币的金额列示如下：</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804" w:type="dxa"/>
        <w:tblLayout w:type="fixed"/>
        <w:tblCellMar>
          <w:top w:w="0" w:type="dxa"/>
          <w:left w:w="0" w:type="dxa"/>
          <w:bottom w:w="0" w:type="dxa"/>
          <w:right w:w="0" w:type="dxa"/>
        </w:tblCellMar>
        <w:tblLook w:val="01E0"/>
      </w:tblPr>
      <w:tblGrid>
        <w:gridCol w:w="2625"/>
        <w:gridCol w:w="1531"/>
        <w:gridCol w:w="262"/>
        <w:gridCol w:w="1448"/>
        <w:gridCol w:w="264"/>
        <w:gridCol w:w="1716"/>
        <w:gridCol w:w="264"/>
        <w:gridCol w:w="1493"/>
      </w:tblGrid>
      <w:tr>
        <w:trPr>
          <w:trHeight w:val="293" w:hRule="exact"/>
        </w:trPr>
        <w:tc>
          <w:tcPr>
            <w:tcW w:w="9602" w:type="dxa"/>
            <w:gridSpan w:val="8"/>
            <w:tcBorders>
              <w:top w:val="nil" w:sz="6" w:space="0" w:color="auto"/>
              <w:left w:val="nil" w:sz="6" w:space="0" w:color="auto"/>
              <w:bottom w:val="nil" w:sz="6" w:space="0" w:color="auto"/>
              <w:right w:val="nil" w:sz="6" w:space="0" w:color="auto"/>
            </w:tcBorders>
          </w:tcPr>
          <w:p>
            <w:pPr>
              <w:pStyle w:val="TableParagraph"/>
              <w:spacing w:line="257" w:lineRule="exact"/>
              <w:ind w:left="5077"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24" w:hRule="exact"/>
        </w:trPr>
        <w:tc>
          <w:tcPr>
            <w:tcW w:w="2625" w:type="dxa"/>
            <w:tcBorders>
              <w:top w:val="nil" w:sz="6" w:space="0" w:color="auto"/>
              <w:left w:val="nil" w:sz="6" w:space="0" w:color="auto"/>
              <w:bottom w:val="nil" w:sz="6" w:space="0" w:color="auto"/>
              <w:right w:val="nil" w:sz="6" w:space="0" w:color="auto"/>
            </w:tcBorders>
          </w:tcPr>
          <w:p>
            <w:pPr/>
          </w:p>
        </w:tc>
        <w:tc>
          <w:tcPr>
            <w:tcW w:w="1531" w:type="dxa"/>
            <w:tcBorders>
              <w:top w:val="single" w:sz="12" w:space="0" w:color="000000"/>
              <w:left w:val="nil" w:sz="6" w:space="0" w:color="auto"/>
              <w:bottom w:val="nil" w:sz="6" w:space="0" w:color="auto"/>
              <w:right w:val="nil" w:sz="6" w:space="0" w:color="auto"/>
            </w:tcBorders>
          </w:tcPr>
          <w:p>
            <w:pPr>
              <w:pStyle w:val="TableParagraph"/>
              <w:spacing w:line="274" w:lineRule="exact"/>
              <w:ind w:left="283" w:right="0"/>
              <w:jc w:val="left"/>
              <w:rPr>
                <w:rFonts w:ascii="宋体" w:hAnsi="宋体" w:cs="宋体" w:eastAsia="宋体" w:hint="default"/>
                <w:sz w:val="24"/>
                <w:szCs w:val="24"/>
              </w:rPr>
            </w:pPr>
            <w:r>
              <w:rPr>
                <w:rFonts w:ascii="宋体" w:hAnsi="宋体" w:cs="宋体" w:eastAsia="宋体" w:hint="default"/>
                <w:sz w:val="24"/>
                <w:szCs w:val="24"/>
              </w:rPr>
              <w:t>日币项目</w:t>
            </w:r>
          </w:p>
        </w:tc>
        <w:tc>
          <w:tcPr>
            <w:tcW w:w="262" w:type="dxa"/>
            <w:tcBorders>
              <w:top w:val="single" w:sz="12" w:space="0" w:color="000000"/>
              <w:left w:val="nil" w:sz="6" w:space="0" w:color="auto"/>
              <w:bottom w:val="nil" w:sz="6" w:space="0" w:color="auto"/>
              <w:right w:val="nil" w:sz="6" w:space="0" w:color="auto"/>
            </w:tcBorders>
          </w:tcPr>
          <w:p>
            <w:pPr/>
          </w:p>
        </w:tc>
        <w:tc>
          <w:tcPr>
            <w:tcW w:w="1448" w:type="dxa"/>
            <w:tcBorders>
              <w:top w:val="single" w:sz="12"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4"/>
                <w:szCs w:val="24"/>
              </w:rPr>
            </w:pPr>
            <w:r>
              <w:rPr>
                <w:rFonts w:ascii="宋体" w:hAnsi="宋体" w:cs="宋体" w:eastAsia="宋体" w:hint="default"/>
                <w:sz w:val="24"/>
                <w:szCs w:val="24"/>
              </w:rPr>
              <w:t>港币项目</w:t>
            </w:r>
          </w:p>
        </w:tc>
        <w:tc>
          <w:tcPr>
            <w:tcW w:w="264" w:type="dxa"/>
            <w:tcBorders>
              <w:top w:val="single" w:sz="12" w:space="0" w:color="000000"/>
              <w:left w:val="nil" w:sz="6" w:space="0" w:color="auto"/>
              <w:bottom w:val="nil" w:sz="6" w:space="0" w:color="auto"/>
              <w:right w:val="nil" w:sz="6" w:space="0" w:color="auto"/>
            </w:tcBorders>
          </w:tcPr>
          <w:p>
            <w:pPr/>
          </w:p>
        </w:tc>
        <w:tc>
          <w:tcPr>
            <w:tcW w:w="1716" w:type="dxa"/>
            <w:tcBorders>
              <w:top w:val="single" w:sz="12"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4"/>
                <w:szCs w:val="24"/>
              </w:rPr>
            </w:pPr>
            <w:r>
              <w:rPr>
                <w:rFonts w:ascii="宋体" w:hAnsi="宋体" w:cs="宋体" w:eastAsia="宋体" w:hint="default"/>
                <w:sz w:val="24"/>
                <w:szCs w:val="24"/>
              </w:rPr>
              <w:t>其他外币项目</w:t>
            </w:r>
          </w:p>
        </w:tc>
        <w:tc>
          <w:tcPr>
            <w:tcW w:w="264" w:type="dxa"/>
            <w:tcBorders>
              <w:top w:val="single" w:sz="12" w:space="0" w:color="000000"/>
              <w:left w:val="nil" w:sz="6" w:space="0" w:color="auto"/>
              <w:bottom w:val="nil" w:sz="6" w:space="0" w:color="auto"/>
              <w:right w:val="nil" w:sz="6" w:space="0" w:color="auto"/>
            </w:tcBorders>
          </w:tcPr>
          <w:p>
            <w:pPr/>
          </w:p>
        </w:tc>
        <w:tc>
          <w:tcPr>
            <w:tcW w:w="1493" w:type="dxa"/>
            <w:tcBorders>
              <w:top w:val="single" w:sz="12" w:space="0" w:color="000000"/>
              <w:left w:val="nil" w:sz="6" w:space="0" w:color="auto"/>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5"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93" w:lineRule="exact"/>
              <w:ind w:left="200" w:right="0"/>
              <w:jc w:val="left"/>
              <w:rPr>
                <w:rFonts w:ascii="Arial" w:hAnsi="Arial" w:cs="Arial" w:eastAsia="Arial" w:hint="default"/>
                <w:sz w:val="24"/>
                <w:szCs w:val="24"/>
              </w:rPr>
            </w:pPr>
            <w:r>
              <w:rPr>
                <w:rFonts w:ascii="宋体" w:hAnsi="宋体" w:cs="宋体" w:eastAsia="宋体" w:hint="default"/>
                <w:sz w:val="24"/>
                <w:szCs w:val="24"/>
              </w:rPr>
              <w:t>外币金融资产</w:t>
            </w:r>
            <w:r>
              <w:rPr>
                <w:rFonts w:ascii="宋体" w:hAnsi="宋体" w:cs="宋体" w:eastAsia="宋体" w:hint="default"/>
                <w:spacing w:val="-1"/>
                <w:sz w:val="24"/>
                <w:szCs w:val="24"/>
              </w:rPr>
              <w:t> </w:t>
            </w:r>
            <w:r>
              <w:rPr>
                <w:rFonts w:ascii="Arial" w:hAnsi="Arial" w:cs="Arial" w:eastAsia="Arial" w:hint="default"/>
                <w:sz w:val="24"/>
                <w:szCs w:val="24"/>
              </w:rPr>
              <w:t>-</w:t>
            </w:r>
          </w:p>
        </w:tc>
        <w:tc>
          <w:tcPr>
            <w:tcW w:w="1531"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306"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3" w:lineRule="exact"/>
              <w:ind w:left="42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531" w:type="dxa"/>
            <w:tcBorders>
              <w:top w:val="nil" w:sz="6" w:space="0" w:color="auto"/>
              <w:left w:val="nil" w:sz="6" w:space="0" w:color="auto"/>
              <w:bottom w:val="nil" w:sz="6" w:space="0" w:color="auto"/>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spacing w:val="-1"/>
                <w:sz w:val="24"/>
              </w:rPr>
              <w:t>634,674</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w w:val="95"/>
                <w:sz w:val="24"/>
              </w:rPr>
              <w:t>83,538</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sz w:val="24"/>
              </w:rPr>
              <w:t>16,149</w:t>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734,361</w:t>
            </w:r>
          </w:p>
        </w:tc>
      </w:tr>
      <w:tr>
        <w:trPr>
          <w:trHeight w:val="312"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9" w:lineRule="exact"/>
              <w:ind w:left="425"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339,893</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54,756</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394,649</w:t>
            </w:r>
          </w:p>
        </w:tc>
      </w:tr>
      <w:tr>
        <w:trPr>
          <w:trHeight w:val="322"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9" w:lineRule="exact"/>
              <w:ind w:left="425"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1,764</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1,764</w:t>
            </w:r>
          </w:p>
        </w:tc>
      </w:tr>
      <w:tr>
        <w:trPr>
          <w:trHeight w:val="295" w:hRule="exact"/>
        </w:trPr>
        <w:tc>
          <w:tcPr>
            <w:tcW w:w="2625"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7"/>
              <w:jc w:val="right"/>
              <w:rPr>
                <w:rFonts w:ascii="Arial" w:hAnsi="Arial" w:cs="Arial" w:eastAsia="Arial" w:hint="default"/>
                <w:sz w:val="24"/>
                <w:szCs w:val="24"/>
              </w:rPr>
            </w:pPr>
            <w:r>
              <w:rPr>
                <w:rFonts w:ascii="Arial"/>
                <w:spacing w:val="-1"/>
                <w:sz w:val="24"/>
              </w:rPr>
              <w:t>976,331</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9"/>
              <w:jc w:val="right"/>
              <w:rPr>
                <w:rFonts w:ascii="Arial" w:hAnsi="Arial" w:cs="Arial" w:eastAsia="Arial" w:hint="default"/>
                <w:sz w:val="24"/>
                <w:szCs w:val="24"/>
              </w:rPr>
            </w:pPr>
            <w:r>
              <w:rPr>
                <w:rFonts w:ascii="Arial"/>
                <w:spacing w:val="-1"/>
                <w:sz w:val="24"/>
              </w:rPr>
              <w:t>138,294</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6"/>
              <w:jc w:val="right"/>
              <w:rPr>
                <w:rFonts w:ascii="Arial" w:hAnsi="Arial" w:cs="Arial" w:eastAsia="Arial" w:hint="default"/>
                <w:sz w:val="24"/>
                <w:szCs w:val="24"/>
              </w:rPr>
            </w:pPr>
            <w:r>
              <w:rPr>
                <w:rFonts w:ascii="Arial"/>
                <w:sz w:val="24"/>
              </w:rPr>
              <w:t>16,149</w:t>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1,130,774</w:t>
            </w:r>
          </w:p>
        </w:tc>
      </w:tr>
      <w:tr>
        <w:trPr>
          <w:trHeight w:val="330"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308" w:lineRule="exact"/>
              <w:ind w:left="200" w:right="0"/>
              <w:jc w:val="left"/>
              <w:rPr>
                <w:rFonts w:ascii="Arial" w:hAnsi="Arial" w:cs="Arial" w:eastAsia="Arial" w:hint="default"/>
                <w:sz w:val="24"/>
                <w:szCs w:val="24"/>
              </w:rPr>
            </w:pPr>
            <w:r>
              <w:rPr>
                <w:rFonts w:ascii="宋体" w:hAnsi="宋体" w:cs="宋体" w:eastAsia="宋体" w:hint="default"/>
                <w:sz w:val="24"/>
                <w:szCs w:val="24"/>
              </w:rPr>
              <w:t>外币金融负债</w:t>
            </w:r>
            <w:r>
              <w:rPr>
                <w:rFonts w:ascii="宋体" w:hAnsi="宋体" w:cs="宋体" w:eastAsia="宋体" w:hint="default"/>
                <w:spacing w:val="-1"/>
                <w:sz w:val="24"/>
                <w:szCs w:val="24"/>
              </w:rPr>
              <w:t> </w:t>
            </w:r>
            <w:r>
              <w:rPr>
                <w:rFonts w:ascii="Arial" w:hAnsi="Arial" w:cs="Arial" w:eastAsia="Arial" w:hint="default"/>
                <w:sz w:val="24"/>
                <w:szCs w:val="24"/>
              </w:rPr>
              <w:t>-</w:t>
            </w:r>
          </w:p>
        </w:tc>
        <w:tc>
          <w:tcPr>
            <w:tcW w:w="1531"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single" w:sz="12" w:space="0" w:color="000000"/>
              <w:left w:val="nil" w:sz="6" w:space="0" w:color="auto"/>
              <w:bottom w:val="nil" w:sz="6" w:space="0" w:color="auto"/>
              <w:right w:val="nil" w:sz="6" w:space="0" w:color="auto"/>
            </w:tcBorders>
          </w:tcPr>
          <w:p>
            <w:pPr/>
          </w:p>
        </w:tc>
      </w:tr>
      <w:tr>
        <w:trPr>
          <w:trHeight w:val="306"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3" w:lineRule="exact"/>
              <w:ind w:left="425"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531" w:type="dxa"/>
            <w:tcBorders>
              <w:top w:val="nil" w:sz="6" w:space="0" w:color="auto"/>
              <w:left w:val="nil" w:sz="6" w:space="0" w:color="auto"/>
              <w:bottom w:val="nil" w:sz="6" w:space="0" w:color="auto"/>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w w:val="99"/>
                <w:sz w:val="24"/>
              </w:rPr>
              <w:t>-</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73" w:lineRule="exact"/>
              <w:ind w:right="109"/>
              <w:jc w:val="right"/>
              <w:rPr>
                <w:rFonts w:ascii="Arial" w:hAnsi="Arial" w:cs="Arial" w:eastAsia="Arial" w:hint="default"/>
                <w:sz w:val="24"/>
                <w:szCs w:val="24"/>
              </w:rPr>
            </w:pPr>
            <w:r>
              <w:rPr>
                <w:rFonts w:ascii="Arial"/>
                <w:spacing w:val="-1"/>
                <w:sz w:val="24"/>
              </w:rPr>
              <w:t>893,001</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893,001</w:t>
            </w:r>
          </w:p>
        </w:tc>
      </w:tr>
      <w:tr>
        <w:trPr>
          <w:trHeight w:val="312"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9"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spacing w:val="-1"/>
                <w:sz w:val="24"/>
              </w:rPr>
              <w:t>88,769</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100,868</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w w:val="95"/>
                <w:sz w:val="24"/>
              </w:rPr>
              <w:t>32</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4"/>
                <w:szCs w:val="24"/>
              </w:rPr>
            </w:pPr>
            <w:r>
              <w:rPr>
                <w:rFonts w:ascii="Arial"/>
                <w:spacing w:val="-1"/>
                <w:sz w:val="24"/>
              </w:rPr>
              <w:t>189,669</w:t>
            </w:r>
          </w:p>
        </w:tc>
      </w:tr>
      <w:tr>
        <w:trPr>
          <w:trHeight w:val="322" w:hRule="exact"/>
        </w:trPr>
        <w:tc>
          <w:tcPr>
            <w:tcW w:w="2625" w:type="dxa"/>
            <w:tcBorders>
              <w:top w:val="nil" w:sz="6" w:space="0" w:color="auto"/>
              <w:left w:val="nil" w:sz="6" w:space="0" w:color="auto"/>
              <w:bottom w:val="nil" w:sz="6" w:space="0" w:color="auto"/>
              <w:right w:val="nil" w:sz="6" w:space="0" w:color="auto"/>
            </w:tcBorders>
          </w:tcPr>
          <w:p>
            <w:pPr>
              <w:pStyle w:val="TableParagraph"/>
              <w:spacing w:line="279" w:lineRule="exact"/>
              <w:ind w:left="425"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7"/>
              <w:jc w:val="right"/>
              <w:rPr>
                <w:rFonts w:ascii="Arial" w:hAnsi="Arial" w:cs="Arial" w:eastAsia="Arial" w:hint="default"/>
                <w:sz w:val="24"/>
                <w:szCs w:val="24"/>
              </w:rPr>
            </w:pPr>
            <w:r>
              <w:rPr>
                <w:rFonts w:ascii="Arial"/>
                <w:w w:val="99"/>
                <w:sz w:val="24"/>
              </w:rPr>
              <w:t>-</w:t>
            </w:r>
            <w:r>
              <w:rPr>
                <w:rFonts w:ascii="Arial"/>
                <w:sz w:val="24"/>
              </w:rPr>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2,194</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2"/>
              <w:jc w:val="right"/>
              <w:rPr>
                <w:rFonts w:ascii="Arial" w:hAnsi="Arial" w:cs="Arial" w:eastAsia="Arial" w:hint="default"/>
                <w:sz w:val="24"/>
                <w:szCs w:val="24"/>
              </w:rPr>
            </w:pPr>
            <w:r>
              <w:rPr>
                <w:rFonts w:ascii="Arial"/>
                <w:spacing w:val="-1"/>
                <w:sz w:val="24"/>
              </w:rPr>
              <w:t>2,194</w:t>
            </w:r>
          </w:p>
        </w:tc>
      </w:tr>
      <w:tr>
        <w:trPr>
          <w:trHeight w:val="298" w:hRule="exact"/>
        </w:trPr>
        <w:tc>
          <w:tcPr>
            <w:tcW w:w="2625"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10"/>
              <w:jc w:val="right"/>
              <w:rPr>
                <w:rFonts w:ascii="Arial" w:hAnsi="Arial" w:cs="Arial" w:eastAsia="Arial" w:hint="default"/>
                <w:sz w:val="24"/>
                <w:szCs w:val="24"/>
              </w:rPr>
            </w:pPr>
            <w:r>
              <w:rPr>
                <w:rFonts w:ascii="Arial"/>
                <w:spacing w:val="-1"/>
                <w:sz w:val="24"/>
              </w:rPr>
              <w:t>88,769</w:t>
            </w:r>
          </w:p>
        </w:tc>
        <w:tc>
          <w:tcPr>
            <w:tcW w:w="262"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996,063</w:t>
            </w:r>
          </w:p>
        </w:tc>
        <w:tc>
          <w:tcPr>
            <w:tcW w:w="264"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4"/>
              <w:jc w:val="right"/>
              <w:rPr>
                <w:rFonts w:ascii="Arial" w:hAnsi="Arial" w:cs="Arial" w:eastAsia="Arial" w:hint="default"/>
                <w:sz w:val="24"/>
                <w:szCs w:val="24"/>
              </w:rPr>
            </w:pPr>
            <w:r>
              <w:rPr>
                <w:rFonts w:ascii="Arial"/>
                <w:w w:val="95"/>
                <w:sz w:val="24"/>
              </w:rPr>
              <w:t>32</w:t>
            </w:r>
            <w:r>
              <w:rPr>
                <w:rFonts w:ascii="Arial"/>
                <w:sz w:val="24"/>
              </w:rPr>
            </w:r>
          </w:p>
        </w:tc>
        <w:tc>
          <w:tcPr>
            <w:tcW w:w="264"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1,084,864</w:t>
            </w:r>
          </w:p>
        </w:tc>
      </w:tr>
    </w:tbl>
    <w:p>
      <w:pPr>
        <w:spacing w:after="0" w:line="274" w:lineRule="exact"/>
        <w:jc w:val="right"/>
        <w:rPr>
          <w:rFonts w:ascii="Arial" w:hAnsi="Arial" w:cs="Arial" w:eastAsia="Arial" w:hint="default"/>
          <w:sz w:val="24"/>
          <w:szCs w:val="24"/>
        </w:rPr>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272"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772"/>
        <w:gridCol w:w="2649"/>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4" w:right="0"/>
              <w:jc w:val="left"/>
              <w:rPr>
                <w:rFonts w:ascii="Arial" w:hAnsi="Arial" w:cs="Arial" w:eastAsia="Arial" w:hint="default"/>
                <w:sz w:val="24"/>
                <w:szCs w:val="24"/>
              </w:rPr>
            </w:pPr>
            <w:r>
              <w:rPr>
                <w:rFonts w:ascii="宋体" w:hAnsi="宋体" w:cs="宋体" w:eastAsia="宋体" w:hint="default"/>
                <w:b/>
                <w:bCs/>
                <w:sz w:val="24"/>
                <w:szCs w:val="24"/>
              </w:rPr>
              <w:t>金融工具及其风险</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(1)</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4" w:right="0"/>
              <w:jc w:val="left"/>
              <w:rPr>
                <w:rFonts w:ascii="Arial" w:hAnsi="Arial" w:cs="Arial" w:eastAsia="Arial" w:hint="default"/>
                <w:sz w:val="24"/>
                <w:szCs w:val="24"/>
              </w:rPr>
            </w:pPr>
            <w:r>
              <w:rPr>
                <w:rFonts w:ascii="宋体" w:hAnsi="宋体" w:cs="宋体" w:eastAsia="宋体" w:hint="default"/>
                <w:sz w:val="24"/>
                <w:szCs w:val="24"/>
              </w:rPr>
              <w:t>市场风险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42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4"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4"/>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695"/>
        <w:gridCol w:w="2941"/>
        <w:gridCol w:w="2127"/>
        <w:gridCol w:w="283"/>
        <w:gridCol w:w="1985"/>
        <w:gridCol w:w="283"/>
        <w:gridCol w:w="1702"/>
      </w:tblGrid>
      <w:tr>
        <w:trPr>
          <w:trHeight w:val="293" w:hRule="exact"/>
        </w:trPr>
        <w:tc>
          <w:tcPr>
            <w:tcW w:w="10016" w:type="dxa"/>
            <w:gridSpan w:val="7"/>
            <w:tcBorders>
              <w:top w:val="nil" w:sz="6" w:space="0" w:color="auto"/>
              <w:left w:val="nil" w:sz="6" w:space="0" w:color="auto"/>
              <w:bottom w:val="nil" w:sz="6" w:space="0" w:color="auto"/>
              <w:right w:val="nil" w:sz="6" w:space="0" w:color="auto"/>
            </w:tcBorders>
          </w:tcPr>
          <w:p>
            <w:pPr>
              <w:pStyle w:val="TableParagraph"/>
              <w:spacing w:line="257" w:lineRule="exact"/>
              <w:ind w:left="5781"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324"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
        </w:tc>
        <w:tc>
          <w:tcPr>
            <w:tcW w:w="2127" w:type="dxa"/>
            <w:tcBorders>
              <w:top w:val="single" w:sz="12"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4"/>
                <w:szCs w:val="24"/>
              </w:rPr>
            </w:pPr>
            <w:r>
              <w:rPr>
                <w:rFonts w:ascii="宋体" w:hAnsi="宋体" w:cs="宋体" w:eastAsia="宋体" w:hint="default"/>
                <w:sz w:val="24"/>
                <w:szCs w:val="24"/>
              </w:rPr>
              <w:t>港币项目</w:t>
            </w:r>
          </w:p>
        </w:tc>
        <w:tc>
          <w:tcPr>
            <w:tcW w:w="283" w:type="dxa"/>
            <w:tcBorders>
              <w:top w:val="single" w:sz="12" w:space="0" w:color="000000"/>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74" w:lineRule="exact"/>
              <w:ind w:right="106"/>
              <w:jc w:val="right"/>
              <w:rPr>
                <w:rFonts w:ascii="宋体" w:hAnsi="宋体" w:cs="宋体" w:eastAsia="宋体" w:hint="default"/>
                <w:sz w:val="24"/>
                <w:szCs w:val="24"/>
              </w:rPr>
            </w:pPr>
            <w:r>
              <w:rPr>
                <w:rFonts w:ascii="宋体" w:hAnsi="宋体" w:cs="宋体" w:eastAsia="宋体" w:hint="default"/>
                <w:sz w:val="24"/>
                <w:szCs w:val="24"/>
              </w:rPr>
              <w:t>其他外币项目</w:t>
            </w:r>
          </w:p>
        </w:tc>
        <w:tc>
          <w:tcPr>
            <w:tcW w:w="283" w:type="dxa"/>
            <w:tcBorders>
              <w:top w:val="single" w:sz="12" w:space="0" w:color="000000"/>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Style w:val="TableParagraph"/>
              <w:spacing w:line="274" w:lineRule="exact"/>
              <w:ind w:right="10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6"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93" w:lineRule="exact"/>
              <w:ind w:left="201" w:right="0"/>
              <w:jc w:val="left"/>
              <w:rPr>
                <w:rFonts w:ascii="Arial" w:hAnsi="Arial" w:cs="Arial" w:eastAsia="Arial" w:hint="default"/>
                <w:sz w:val="24"/>
                <w:szCs w:val="24"/>
              </w:rPr>
            </w:pPr>
            <w:r>
              <w:rPr>
                <w:rFonts w:ascii="宋体" w:hAnsi="宋体" w:cs="宋体" w:eastAsia="宋体" w:hint="default"/>
                <w:sz w:val="24"/>
                <w:szCs w:val="24"/>
              </w:rPr>
              <w:t>外币金融资产</w:t>
            </w:r>
            <w:r>
              <w:rPr>
                <w:rFonts w:ascii="宋体" w:hAnsi="宋体" w:cs="宋体" w:eastAsia="宋体" w:hint="default"/>
                <w:spacing w:val="-1"/>
                <w:sz w:val="24"/>
                <w:szCs w:val="24"/>
              </w:rPr>
              <w:t> </w:t>
            </w:r>
            <w:r>
              <w:rPr>
                <w:rFonts w:ascii="Arial" w:hAnsi="Arial" w:cs="Arial" w:eastAsia="Arial" w:hint="default"/>
                <w:sz w:val="24"/>
                <w:szCs w:val="24"/>
              </w:rPr>
              <w:t>-</w:t>
            </w:r>
          </w:p>
        </w:tc>
        <w:tc>
          <w:tcPr>
            <w:tcW w:w="21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306"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73" w:lineRule="exact"/>
              <w:ind w:left="42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127"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46,715</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4,502</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spacing w:val="-1"/>
                <w:sz w:val="24"/>
              </w:rPr>
              <w:t>51,217</w:t>
            </w:r>
          </w:p>
        </w:tc>
      </w:tr>
      <w:tr>
        <w:trPr>
          <w:trHeight w:val="322"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79" w:lineRule="exact"/>
              <w:ind w:left="427"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35,107</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4"/>
              <w:jc w:val="right"/>
              <w:rPr>
                <w:rFonts w:ascii="Arial" w:hAnsi="Arial" w:cs="Arial" w:eastAsia="Arial" w:hint="default"/>
                <w:sz w:val="24"/>
                <w:szCs w:val="24"/>
              </w:rPr>
            </w:pPr>
            <w:r>
              <w:rPr>
                <w:rFonts w:ascii="Arial"/>
                <w:w w:val="95"/>
                <w:sz w:val="24"/>
              </w:rPr>
              <w:t>35,107</w:t>
            </w:r>
            <w:r>
              <w:rPr>
                <w:rFonts w:ascii="Arial"/>
                <w:sz w:val="24"/>
              </w:rPr>
            </w:r>
          </w:p>
        </w:tc>
      </w:tr>
      <w:tr>
        <w:trPr>
          <w:trHeight w:val="295"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81,822</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4,502</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86,324</w:t>
            </w:r>
          </w:p>
        </w:tc>
      </w:tr>
      <w:tr>
        <w:trPr>
          <w:trHeight w:val="330"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308" w:lineRule="exact"/>
              <w:ind w:left="201" w:right="0"/>
              <w:jc w:val="left"/>
              <w:rPr>
                <w:rFonts w:ascii="Arial" w:hAnsi="Arial" w:cs="Arial" w:eastAsia="Arial" w:hint="default"/>
                <w:sz w:val="24"/>
                <w:szCs w:val="24"/>
              </w:rPr>
            </w:pPr>
            <w:r>
              <w:rPr>
                <w:rFonts w:ascii="宋体" w:hAnsi="宋体" w:cs="宋体" w:eastAsia="宋体" w:hint="default"/>
                <w:sz w:val="24"/>
                <w:szCs w:val="24"/>
              </w:rPr>
              <w:t>外币金融负债</w:t>
            </w:r>
            <w:r>
              <w:rPr>
                <w:rFonts w:ascii="宋体" w:hAnsi="宋体" w:cs="宋体" w:eastAsia="宋体" w:hint="default"/>
                <w:spacing w:val="-1"/>
                <w:sz w:val="24"/>
                <w:szCs w:val="24"/>
              </w:rPr>
              <w:t> </w:t>
            </w:r>
            <w:r>
              <w:rPr>
                <w:rFonts w:ascii="Arial" w:hAnsi="Arial" w:cs="Arial" w:eastAsia="Arial" w:hint="default"/>
                <w:sz w:val="24"/>
                <w:szCs w:val="24"/>
              </w:rPr>
              <w:t>-</w:t>
            </w:r>
          </w:p>
        </w:tc>
        <w:tc>
          <w:tcPr>
            <w:tcW w:w="2127"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r>
      <w:tr>
        <w:trPr>
          <w:trHeight w:val="306"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73" w:lineRule="exact"/>
              <w:ind w:left="427"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127" w:type="dxa"/>
            <w:tcBorders>
              <w:top w:val="nil" w:sz="6" w:space="0" w:color="auto"/>
              <w:left w:val="nil" w:sz="6" w:space="0" w:color="auto"/>
              <w:bottom w:val="nil" w:sz="6" w:space="0" w:color="auto"/>
              <w:right w:val="nil" w:sz="6" w:space="0" w:color="auto"/>
            </w:tcBorders>
          </w:tcPr>
          <w:p>
            <w:pPr>
              <w:pStyle w:val="TableParagraph"/>
              <w:spacing w:line="273" w:lineRule="exact"/>
              <w:ind w:right="104"/>
              <w:jc w:val="right"/>
              <w:rPr>
                <w:rFonts w:ascii="Arial" w:hAnsi="Arial" w:cs="Arial" w:eastAsia="Arial" w:hint="default"/>
                <w:sz w:val="24"/>
                <w:szCs w:val="24"/>
              </w:rPr>
            </w:pPr>
            <w:r>
              <w:rPr>
                <w:rFonts w:ascii="Arial"/>
                <w:spacing w:val="-1"/>
                <w:sz w:val="24"/>
              </w:rPr>
              <w:t>317,789</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73" w:lineRule="exact"/>
              <w:ind w:right="104"/>
              <w:jc w:val="right"/>
              <w:rPr>
                <w:rFonts w:ascii="Arial" w:hAnsi="Arial" w:cs="Arial" w:eastAsia="Arial" w:hint="default"/>
                <w:sz w:val="24"/>
                <w:szCs w:val="24"/>
              </w:rPr>
            </w:pPr>
            <w:r>
              <w:rPr>
                <w:rFonts w:ascii="Arial"/>
                <w:spacing w:val="-1"/>
                <w:sz w:val="24"/>
              </w:rPr>
              <w:t>317,789</w:t>
            </w:r>
          </w:p>
        </w:tc>
      </w:tr>
      <w:tr>
        <w:trPr>
          <w:trHeight w:val="322"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Style w:val="TableParagraph"/>
              <w:spacing w:line="279" w:lineRule="exact"/>
              <w:ind w:left="427" w:right="0"/>
              <w:jc w:val="left"/>
              <w:rPr>
                <w:rFonts w:ascii="宋体" w:hAnsi="宋体" w:cs="宋体" w:eastAsia="宋体" w:hint="default"/>
                <w:sz w:val="24"/>
                <w:szCs w:val="24"/>
              </w:rPr>
            </w:pPr>
            <w:r>
              <w:rPr>
                <w:rFonts w:ascii="宋体" w:hAnsi="宋体" w:cs="宋体" w:eastAsia="宋体" w:hint="default"/>
                <w:sz w:val="24"/>
                <w:szCs w:val="24"/>
              </w:rPr>
              <w:t>应付款项</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63,138</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Arial" w:hAnsi="Arial" w:cs="Arial" w:eastAsia="Arial" w:hint="default"/>
                <w:sz w:val="24"/>
                <w:szCs w:val="24"/>
              </w:rPr>
            </w:pPr>
            <w:r>
              <w:rPr>
                <w:rFonts w:ascii="Arial"/>
                <w:spacing w:val="-1"/>
                <w:sz w:val="24"/>
              </w:rPr>
              <w:t>63,138</w:t>
            </w:r>
          </w:p>
        </w:tc>
      </w:tr>
      <w:tr>
        <w:trPr>
          <w:trHeight w:val="295" w:hRule="exact"/>
        </w:trPr>
        <w:tc>
          <w:tcPr>
            <w:tcW w:w="695" w:type="dxa"/>
            <w:tcBorders>
              <w:top w:val="nil" w:sz="6" w:space="0" w:color="auto"/>
              <w:left w:val="nil" w:sz="6" w:space="0" w:color="auto"/>
              <w:bottom w:val="nil" w:sz="6" w:space="0" w:color="auto"/>
              <w:right w:val="nil" w:sz="6" w:space="0" w:color="auto"/>
            </w:tcBorders>
          </w:tcPr>
          <w:p>
            <w:pPr/>
          </w:p>
        </w:tc>
        <w:tc>
          <w:tcPr>
            <w:tcW w:w="2941"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380,927</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5"/>
              <w:jc w:val="right"/>
              <w:rPr>
                <w:rFonts w:ascii="Arial" w:hAnsi="Arial" w:cs="Arial" w:eastAsia="Arial" w:hint="default"/>
                <w:sz w:val="24"/>
                <w:szCs w:val="24"/>
              </w:rPr>
            </w:pPr>
            <w:r>
              <w:rPr>
                <w:rFonts w:ascii="Arial"/>
                <w:spacing w:val="-1"/>
                <w:sz w:val="24"/>
              </w:rPr>
              <w:t>380,927</w:t>
            </w:r>
          </w:p>
        </w:tc>
      </w:tr>
      <w:tr>
        <w:trPr>
          <w:trHeight w:val="1366" w:hRule="exact"/>
        </w:trPr>
        <w:tc>
          <w:tcPr>
            <w:tcW w:w="1001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2" w:lineRule="exact"/>
              <w:ind w:left="896" w:right="10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
                <w:sz w:val="24"/>
                <w:szCs w:val="24"/>
              </w:rPr>
              <w:t>日，对于本集团各类日元、港币、美元的金融资产和金融负债，如</w:t>
            </w:r>
            <w:r>
              <w:rPr>
                <w:rFonts w:ascii="宋体" w:hAnsi="宋体" w:cs="宋体" w:eastAsia="宋体" w:hint="default"/>
                <w:sz w:val="24"/>
                <w:szCs w:val="24"/>
              </w:rPr>
              <w:t> 果人民币对外币升值或贬值</w:t>
            </w:r>
            <w:r>
              <w:rPr>
                <w:rFonts w:ascii="宋体" w:hAnsi="宋体" w:cs="宋体" w:eastAsia="宋体" w:hint="default"/>
                <w:spacing w:val="3"/>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，其他因素保持不变，则本集团将减少或增加利润总 额约人民币</w:t>
            </w:r>
            <w:r>
              <w:rPr>
                <w:rFonts w:ascii="宋体" w:hAnsi="宋体" w:cs="宋体" w:eastAsia="宋体" w:hint="default"/>
                <w:spacing w:val="-63"/>
                <w:sz w:val="24"/>
                <w:szCs w:val="24"/>
              </w:rPr>
              <w:t> </w:t>
            </w:r>
            <w:r>
              <w:rPr>
                <w:rFonts w:ascii="Arial" w:hAnsi="Arial" w:cs="Arial" w:eastAsia="Arial" w:hint="default"/>
                <w:sz w:val="24"/>
                <w:szCs w:val="24"/>
              </w:rPr>
              <w:t>459</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2"/>
                <w:sz w:val="24"/>
                <w:szCs w:val="24"/>
              </w:rPr>
              <w:t> </w:t>
            </w:r>
            <w:r>
              <w:rPr>
                <w:rFonts w:ascii="Arial" w:hAnsi="Arial" w:cs="Arial" w:eastAsia="Arial" w:hint="default"/>
                <w:sz w:val="24"/>
                <w:szCs w:val="24"/>
              </w:rPr>
              <w:t>2,946</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294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1" w:right="0"/>
              <w:jc w:val="left"/>
              <w:rPr>
                <w:rFonts w:ascii="宋体" w:hAnsi="宋体" w:cs="宋体" w:eastAsia="宋体" w:hint="default"/>
                <w:sz w:val="24"/>
                <w:szCs w:val="24"/>
              </w:rPr>
            </w:pPr>
            <w:r>
              <w:rPr>
                <w:rFonts w:ascii="宋体" w:hAnsi="宋体" w:cs="宋体" w:eastAsia="宋体" w:hint="default"/>
                <w:sz w:val="24"/>
                <w:szCs w:val="24"/>
              </w:rPr>
              <w:t>信用风险</w:t>
            </w:r>
          </w:p>
        </w:tc>
        <w:tc>
          <w:tcPr>
            <w:tcW w:w="212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900" w:hRule="exact"/>
        </w:trPr>
        <w:tc>
          <w:tcPr>
            <w:tcW w:w="695" w:type="dxa"/>
            <w:tcBorders>
              <w:top w:val="nil" w:sz="6" w:space="0" w:color="auto"/>
              <w:left w:val="nil" w:sz="6" w:space="0" w:color="auto"/>
              <w:bottom w:val="nil" w:sz="6" w:space="0" w:color="auto"/>
              <w:right w:val="nil" w:sz="6" w:space="0" w:color="auto"/>
            </w:tcBorders>
          </w:tcPr>
          <w:p>
            <w:pPr/>
          </w:p>
        </w:tc>
        <w:tc>
          <w:tcPr>
            <w:tcW w:w="9321"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30"/>
              <w:ind w:left="201" w:right="104"/>
              <w:jc w:val="left"/>
              <w:rPr>
                <w:rFonts w:ascii="宋体" w:hAnsi="宋体" w:cs="宋体" w:eastAsia="宋体" w:hint="default"/>
                <w:sz w:val="24"/>
                <w:szCs w:val="24"/>
              </w:rPr>
            </w:pPr>
            <w:r>
              <w:rPr>
                <w:rFonts w:ascii="宋体" w:hAnsi="宋体" w:cs="宋体" w:eastAsia="宋体" w:hint="default"/>
                <w:spacing w:val="-3"/>
                <w:sz w:val="24"/>
                <w:szCs w:val="24"/>
              </w:rPr>
              <w:t>本集团对信用风险按组合分类进行管理。信用风险主要产生于银行存款、应收账款、其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他应收款和应收票据等。</w:t>
            </w:r>
          </w:p>
        </w:tc>
      </w:tr>
      <w:tr>
        <w:trPr>
          <w:trHeight w:val="900" w:hRule="exact"/>
        </w:trPr>
        <w:tc>
          <w:tcPr>
            <w:tcW w:w="695" w:type="dxa"/>
            <w:tcBorders>
              <w:top w:val="nil" w:sz="6" w:space="0" w:color="auto"/>
              <w:left w:val="nil" w:sz="6" w:space="0" w:color="auto"/>
              <w:bottom w:val="nil" w:sz="6" w:space="0" w:color="auto"/>
              <w:right w:val="nil" w:sz="6" w:space="0" w:color="auto"/>
            </w:tcBorders>
          </w:tcPr>
          <w:p>
            <w:pPr/>
          </w:p>
        </w:tc>
        <w:tc>
          <w:tcPr>
            <w:tcW w:w="9321" w:type="dxa"/>
            <w:gridSpan w:val="6"/>
            <w:tcBorders>
              <w:top w:val="nil" w:sz="6" w:space="0" w:color="auto"/>
              <w:left w:val="nil" w:sz="6" w:space="0" w:color="auto"/>
              <w:bottom w:val="nil" w:sz="6" w:space="0" w:color="auto"/>
              <w:right w:val="nil" w:sz="6" w:space="0" w:color="auto"/>
            </w:tcBorders>
          </w:tcPr>
          <w:p>
            <w:pPr>
              <w:pStyle w:val="TableParagraph"/>
              <w:spacing w:line="312" w:lineRule="exact" w:before="130"/>
              <w:ind w:left="201" w:right="106"/>
              <w:jc w:val="left"/>
              <w:rPr>
                <w:rFonts w:ascii="宋体" w:hAnsi="宋体" w:cs="宋体" w:eastAsia="宋体" w:hint="default"/>
                <w:sz w:val="24"/>
                <w:szCs w:val="24"/>
              </w:rPr>
            </w:pPr>
            <w:r>
              <w:rPr>
                <w:rFonts w:ascii="宋体" w:hAnsi="宋体" w:cs="宋体" w:eastAsia="宋体" w:hint="default"/>
                <w:spacing w:val="-3"/>
                <w:sz w:val="24"/>
                <w:szCs w:val="24"/>
              </w:rPr>
              <w:t>本集团银行存款主要存放于国有银行和其它大中型上市银行，本集团认为其不存在重大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的信用风险，不会产生因对方单位违约而导致的任何重大损失。</w:t>
            </w:r>
          </w:p>
        </w:tc>
      </w:tr>
      <w:tr>
        <w:trPr>
          <w:trHeight w:val="1663" w:hRule="exact"/>
        </w:trPr>
        <w:tc>
          <w:tcPr>
            <w:tcW w:w="695" w:type="dxa"/>
            <w:tcBorders>
              <w:top w:val="nil" w:sz="6" w:space="0" w:color="auto"/>
              <w:left w:val="nil" w:sz="6" w:space="0" w:color="auto"/>
              <w:bottom w:val="nil" w:sz="6" w:space="0" w:color="auto"/>
              <w:right w:val="nil" w:sz="6" w:space="0" w:color="auto"/>
            </w:tcBorders>
          </w:tcPr>
          <w:p>
            <w:pPr/>
          </w:p>
        </w:tc>
        <w:tc>
          <w:tcPr>
            <w:tcW w:w="9321" w:type="dxa"/>
            <w:gridSpan w:val="6"/>
            <w:tcBorders>
              <w:top w:val="nil" w:sz="6" w:space="0" w:color="auto"/>
              <w:left w:val="nil" w:sz="6" w:space="0" w:color="auto"/>
              <w:bottom w:val="nil" w:sz="6" w:space="0" w:color="auto"/>
              <w:right w:val="nil" w:sz="6" w:space="0" w:color="auto"/>
            </w:tcBorders>
          </w:tcPr>
          <w:p>
            <w:pPr>
              <w:pStyle w:val="TableParagraph"/>
              <w:spacing w:line="237" w:lineRule="auto" w:before="102"/>
              <w:ind w:left="201" w:right="103"/>
              <w:jc w:val="both"/>
              <w:rPr>
                <w:rFonts w:ascii="宋体" w:hAnsi="宋体" w:cs="宋体" w:eastAsia="宋体" w:hint="default"/>
                <w:sz w:val="24"/>
                <w:szCs w:val="24"/>
              </w:rPr>
            </w:pPr>
            <w:r>
              <w:rPr>
                <w:rFonts w:ascii="宋体" w:hAnsi="宋体" w:cs="宋体" w:eastAsia="宋体" w:hint="default"/>
                <w:spacing w:val="-3"/>
                <w:sz w:val="24"/>
                <w:szCs w:val="24"/>
              </w:rPr>
              <w:t>此外，对于应收账款、其他应收款和应收票据，本集团设定相关政策以控制信用风险敞</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口。本集团基于对客户的财务状况、从第三方获取担保的可能性、信用记录及其它因素</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诸如目前市场状况等评估客户的信用资质并设置相应信用期。本集团会定期对客户信用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3"/>
                <w:sz w:val="24"/>
                <w:szCs w:val="24"/>
              </w:rPr>
              <w:t>记录进行监控，对于信用记录不良的客户，本集团会采用书面催款、缩短信用期或取消</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信用期等方式，以确保本集团的整体信用风险在可控的范围内。</w:t>
            </w:r>
          </w:p>
        </w:tc>
      </w:tr>
    </w:tbl>
    <w:p>
      <w:pPr>
        <w:spacing w:line="240" w:lineRule="auto" w:before="1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695"/>
        <w:gridCol w:w="9273"/>
      </w:tblGrid>
      <w:tr>
        <w:trPr>
          <w:trHeight w:val="419"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w:t>
            </w:r>
          </w:p>
        </w:tc>
        <w:tc>
          <w:tcPr>
            <w:tcW w:w="9273" w:type="dxa"/>
            <w:tcBorders>
              <w:top w:val="nil" w:sz="6" w:space="0" w:color="auto"/>
              <w:left w:val="nil" w:sz="6" w:space="0" w:color="auto"/>
              <w:bottom w:val="nil" w:sz="6" w:space="0" w:color="auto"/>
              <w:right w:val="nil" w:sz="6" w:space="0" w:color="auto"/>
            </w:tcBorders>
          </w:tcPr>
          <w:p>
            <w:pPr>
              <w:pStyle w:val="TableParagraph"/>
              <w:spacing w:line="245" w:lineRule="exact"/>
              <w:ind w:left="201" w:right="0"/>
              <w:jc w:val="left"/>
              <w:rPr>
                <w:rFonts w:ascii="宋体" w:hAnsi="宋体" w:cs="宋体" w:eastAsia="宋体" w:hint="default"/>
                <w:sz w:val="24"/>
                <w:szCs w:val="24"/>
              </w:rPr>
            </w:pPr>
            <w:r>
              <w:rPr>
                <w:rFonts w:ascii="宋体" w:hAnsi="宋体" w:cs="宋体" w:eastAsia="宋体" w:hint="default"/>
                <w:sz w:val="24"/>
                <w:szCs w:val="24"/>
              </w:rPr>
              <w:t>流动风险</w:t>
            </w:r>
          </w:p>
        </w:tc>
      </w:tr>
      <w:tr>
        <w:trPr>
          <w:trHeight w:val="1350" w:hRule="exact"/>
        </w:trPr>
        <w:tc>
          <w:tcPr>
            <w:tcW w:w="695" w:type="dxa"/>
            <w:tcBorders>
              <w:top w:val="nil" w:sz="6" w:space="0" w:color="auto"/>
              <w:left w:val="nil" w:sz="6" w:space="0" w:color="auto"/>
              <w:bottom w:val="nil" w:sz="6" w:space="0" w:color="auto"/>
              <w:right w:val="nil" w:sz="6" w:space="0" w:color="auto"/>
            </w:tcBorders>
          </w:tcPr>
          <w:p>
            <w:pPr/>
          </w:p>
        </w:tc>
        <w:tc>
          <w:tcPr>
            <w:tcW w:w="9273"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01" w:right="198"/>
              <w:jc w:val="both"/>
              <w:rPr>
                <w:rFonts w:ascii="宋体" w:hAnsi="宋体" w:cs="宋体" w:eastAsia="宋体" w:hint="default"/>
                <w:sz w:val="24"/>
                <w:szCs w:val="24"/>
              </w:rPr>
            </w:pPr>
            <w:r>
              <w:rPr>
                <w:rFonts w:ascii="宋体" w:hAnsi="宋体" w:cs="宋体" w:eastAsia="宋体" w:hint="default"/>
                <w:spacing w:val="-1"/>
                <w:sz w:val="24"/>
                <w:szCs w:val="24"/>
              </w:rPr>
              <w:t>本集团内各子公司负责其自身的现金流量预测。总部财务部门在汇总各子公司现金流</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量预测的基础上，在集团层面持续监控短期和长期的资金需求，以确保维持充裕的现</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金储备和可供随时变现的有价证券；同时持续监控是否符合借款协议的规定，从主要</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金融机构获得提供足够备用资金的承诺，以满足短期和长期的资金需求。</w:t>
            </w:r>
          </w:p>
        </w:tc>
      </w:tr>
    </w:tbl>
    <w:p>
      <w:pPr>
        <w:spacing w:after="0" w:line="312" w:lineRule="exact"/>
        <w:jc w:val="both"/>
        <w:rPr>
          <w:rFonts w:ascii="宋体" w:hAnsi="宋体" w:cs="宋体" w:eastAsia="宋体"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9193"/>
      </w:tblGrid>
      <w:tr>
        <w:trPr>
          <w:trHeight w:val="7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tc>
        <w:tc>
          <w:tcPr>
            <w:tcW w:w="9193"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24" w:right="0"/>
              <w:jc w:val="left"/>
              <w:rPr>
                <w:rFonts w:ascii="Arial" w:hAnsi="Arial" w:cs="Arial" w:eastAsia="Arial" w:hint="default"/>
                <w:sz w:val="24"/>
                <w:szCs w:val="24"/>
              </w:rPr>
            </w:pPr>
            <w:r>
              <w:rPr>
                <w:rFonts w:ascii="宋体" w:hAnsi="宋体" w:cs="宋体" w:eastAsia="宋体" w:hint="default"/>
                <w:b/>
                <w:bCs/>
                <w:sz w:val="24"/>
                <w:szCs w:val="24"/>
              </w:rPr>
              <w:t>金融工具及其风险</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62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Arial" w:hAnsi="Arial" w:cs="Arial" w:eastAsia="Arial" w:hint="default"/>
                <w:sz w:val="24"/>
                <w:szCs w:val="24"/>
              </w:rPr>
            </w:pPr>
            <w:r>
              <w:rPr>
                <w:rFonts w:ascii="Arial"/>
                <w:sz w:val="24"/>
              </w:rPr>
              <w:t>(3)</w:t>
            </w: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4" w:right="0"/>
              <w:jc w:val="left"/>
              <w:rPr>
                <w:rFonts w:ascii="Arial" w:hAnsi="Arial" w:cs="Arial" w:eastAsia="Arial" w:hint="default"/>
                <w:sz w:val="24"/>
                <w:szCs w:val="24"/>
              </w:rPr>
            </w:pPr>
            <w:r>
              <w:rPr>
                <w:rFonts w:ascii="宋体" w:hAnsi="宋体" w:cs="宋体" w:eastAsia="宋体" w:hint="default"/>
                <w:sz w:val="24"/>
                <w:szCs w:val="24"/>
              </w:rPr>
              <w:t>流动风险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38" w:hRule="exact"/>
        </w:trPr>
        <w:tc>
          <w:tcPr>
            <w:tcW w:w="77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12" w:lineRule="exact" w:before="142"/>
              <w:ind w:left="124" w:right="198"/>
              <w:jc w:val="left"/>
              <w:rPr>
                <w:rFonts w:ascii="宋体" w:hAnsi="宋体" w:cs="宋体" w:eastAsia="宋体" w:hint="default"/>
                <w:sz w:val="24"/>
                <w:szCs w:val="24"/>
              </w:rPr>
            </w:pPr>
            <w:r>
              <w:rPr>
                <w:rFonts w:ascii="宋体" w:hAnsi="宋体" w:cs="宋体" w:eastAsia="宋体" w:hint="default"/>
                <w:spacing w:val="-1"/>
                <w:sz w:val="24"/>
                <w:szCs w:val="24"/>
              </w:rPr>
              <w:t>于资产负债表日，本集团各项金融资产及金融负债以未折现的合同现金流量按到期日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列示如下：</w:t>
            </w:r>
          </w:p>
        </w:tc>
      </w:tr>
    </w:tbl>
    <w:p>
      <w:pPr>
        <w:spacing w:line="240" w:lineRule="auto" w:before="1"/>
        <w:rPr>
          <w:rFonts w:ascii="Times New Roman" w:hAnsi="Times New Roman" w:cs="Times New Roman" w:eastAsia="Times New Roman" w:hint="default"/>
          <w:sz w:val="27"/>
          <w:szCs w:val="27"/>
        </w:rPr>
      </w:pPr>
    </w:p>
    <w:tbl>
      <w:tblPr>
        <w:tblW w:w="0" w:type="auto"/>
        <w:jc w:val="left"/>
        <w:tblInd w:w="804" w:type="dxa"/>
        <w:tblLayout w:type="fixed"/>
        <w:tblCellMar>
          <w:top w:w="0" w:type="dxa"/>
          <w:left w:w="0" w:type="dxa"/>
          <w:bottom w:w="0" w:type="dxa"/>
          <w:right w:w="0" w:type="dxa"/>
        </w:tblCellMar>
        <w:tblLook w:val="01E0"/>
      </w:tblPr>
      <w:tblGrid>
        <w:gridCol w:w="1897"/>
        <w:gridCol w:w="1558"/>
        <w:gridCol w:w="279"/>
        <w:gridCol w:w="1140"/>
        <w:gridCol w:w="288"/>
        <w:gridCol w:w="1130"/>
        <w:gridCol w:w="228"/>
        <w:gridCol w:w="1200"/>
        <w:gridCol w:w="231"/>
        <w:gridCol w:w="1459"/>
      </w:tblGrid>
      <w:tr>
        <w:trPr>
          <w:trHeight w:val="269" w:hRule="exact"/>
        </w:trPr>
        <w:tc>
          <w:tcPr>
            <w:tcW w:w="9410"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4703" w:right="0"/>
              <w:jc w:val="left"/>
              <w:rPr>
                <w:rFonts w:ascii="宋体" w:hAnsi="宋体" w:cs="宋体" w:eastAsia="宋体" w:hint="default"/>
                <w:sz w:val="22"/>
                <w:szCs w:val="22"/>
              </w:rPr>
            </w:pPr>
            <w:r>
              <w:rPr>
                <w:rFonts w:ascii="Arial" w:hAnsi="Arial" w:cs="Arial" w:eastAsia="Arial" w:hint="default"/>
                <w:spacing w:val="-5"/>
                <w:sz w:val="22"/>
                <w:szCs w:val="22"/>
              </w:rPr>
              <w:t>2011</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299"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12" w:space="0" w:color="000000"/>
              <w:left w:val="nil" w:sz="6" w:space="0" w:color="auto"/>
              <w:bottom w:val="nil" w:sz="6" w:space="0" w:color="auto"/>
              <w:right w:val="nil" w:sz="6" w:space="0" w:color="auto"/>
            </w:tcBorders>
          </w:tcPr>
          <w:p>
            <w:pPr>
              <w:pStyle w:val="TableParagraph"/>
              <w:spacing w:line="252" w:lineRule="exact"/>
              <w:ind w:right="101"/>
              <w:jc w:val="right"/>
              <w:rPr>
                <w:rFonts w:ascii="宋体" w:hAnsi="宋体" w:cs="宋体" w:eastAsia="宋体" w:hint="default"/>
                <w:sz w:val="22"/>
                <w:szCs w:val="22"/>
              </w:rPr>
            </w:pPr>
            <w:r>
              <w:rPr>
                <w:rFonts w:ascii="宋体" w:hAnsi="宋体" w:cs="宋体" w:eastAsia="宋体" w:hint="default"/>
                <w:sz w:val="22"/>
                <w:szCs w:val="22"/>
              </w:rPr>
              <w:t>一年以内</w:t>
            </w:r>
          </w:p>
        </w:tc>
        <w:tc>
          <w:tcPr>
            <w:tcW w:w="279" w:type="dxa"/>
            <w:tcBorders>
              <w:top w:val="single" w:sz="12" w:space="0" w:color="000000"/>
              <w:left w:val="nil" w:sz="6" w:space="0" w:color="auto"/>
              <w:bottom w:val="nil" w:sz="6" w:space="0" w:color="auto"/>
              <w:right w:val="nil" w:sz="6" w:space="0" w:color="auto"/>
            </w:tcBorders>
          </w:tcPr>
          <w:p>
            <w:pPr/>
          </w:p>
        </w:tc>
        <w:tc>
          <w:tcPr>
            <w:tcW w:w="1140" w:type="dxa"/>
            <w:tcBorders>
              <w:top w:val="single" w:sz="12" w:space="0" w:color="000000"/>
              <w:left w:val="nil" w:sz="6" w:space="0" w:color="auto"/>
              <w:bottom w:val="nil" w:sz="6" w:space="0" w:color="auto"/>
              <w:right w:val="nil" w:sz="6" w:space="0" w:color="auto"/>
            </w:tcBorders>
          </w:tcPr>
          <w:p>
            <w:pPr>
              <w:pStyle w:val="TableParagraph"/>
              <w:spacing w:line="252" w:lineRule="exact"/>
              <w:ind w:right="104"/>
              <w:jc w:val="right"/>
              <w:rPr>
                <w:rFonts w:ascii="宋体" w:hAnsi="宋体" w:cs="宋体" w:eastAsia="宋体" w:hint="default"/>
                <w:sz w:val="22"/>
                <w:szCs w:val="22"/>
              </w:rPr>
            </w:pPr>
            <w:r>
              <w:rPr>
                <w:rFonts w:ascii="宋体" w:hAnsi="宋体" w:cs="宋体" w:eastAsia="宋体" w:hint="default"/>
                <w:sz w:val="22"/>
                <w:szCs w:val="22"/>
              </w:rPr>
              <w:t>一到二年</w:t>
            </w:r>
          </w:p>
        </w:tc>
        <w:tc>
          <w:tcPr>
            <w:tcW w:w="288" w:type="dxa"/>
            <w:tcBorders>
              <w:top w:val="single" w:sz="12" w:space="0" w:color="000000"/>
              <w:left w:val="nil" w:sz="6" w:space="0" w:color="auto"/>
              <w:bottom w:val="nil" w:sz="6" w:space="0" w:color="auto"/>
              <w:right w:val="nil" w:sz="6" w:space="0" w:color="auto"/>
            </w:tcBorders>
          </w:tcPr>
          <w:p>
            <w:pPr/>
          </w:p>
        </w:tc>
        <w:tc>
          <w:tcPr>
            <w:tcW w:w="1130" w:type="dxa"/>
            <w:tcBorders>
              <w:top w:val="single" w:sz="12" w:space="0" w:color="000000"/>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sz w:val="22"/>
                <w:szCs w:val="22"/>
              </w:rPr>
              <w:t>二到五年</w:t>
            </w:r>
          </w:p>
        </w:tc>
        <w:tc>
          <w:tcPr>
            <w:tcW w:w="228" w:type="dxa"/>
            <w:tcBorders>
              <w:top w:val="single" w:sz="12" w:space="0" w:color="000000"/>
              <w:left w:val="nil" w:sz="6" w:space="0" w:color="auto"/>
              <w:bottom w:val="nil" w:sz="6" w:space="0" w:color="auto"/>
              <w:right w:val="nil" w:sz="6" w:space="0" w:color="auto"/>
            </w:tcBorders>
          </w:tcPr>
          <w:p>
            <w:pPr/>
          </w:p>
        </w:tc>
        <w:tc>
          <w:tcPr>
            <w:tcW w:w="1200" w:type="dxa"/>
            <w:tcBorders>
              <w:top w:val="single" w:sz="12" w:space="0" w:color="000000"/>
              <w:left w:val="nil" w:sz="6" w:space="0" w:color="auto"/>
              <w:bottom w:val="nil" w:sz="6" w:space="0" w:color="auto"/>
              <w:right w:val="nil" w:sz="6" w:space="0" w:color="auto"/>
            </w:tcBorders>
          </w:tcPr>
          <w:p>
            <w:pPr>
              <w:pStyle w:val="TableParagraph"/>
              <w:spacing w:line="252" w:lineRule="exact"/>
              <w:ind w:right="104"/>
              <w:jc w:val="right"/>
              <w:rPr>
                <w:rFonts w:ascii="宋体" w:hAnsi="宋体" w:cs="宋体" w:eastAsia="宋体" w:hint="default"/>
                <w:sz w:val="22"/>
                <w:szCs w:val="22"/>
              </w:rPr>
            </w:pPr>
            <w:r>
              <w:rPr>
                <w:rFonts w:ascii="宋体" w:hAnsi="宋体" w:cs="宋体" w:eastAsia="宋体" w:hint="default"/>
                <w:sz w:val="22"/>
                <w:szCs w:val="22"/>
              </w:rPr>
              <w:t>五年以上</w:t>
            </w:r>
          </w:p>
        </w:tc>
        <w:tc>
          <w:tcPr>
            <w:tcW w:w="231" w:type="dxa"/>
            <w:tcBorders>
              <w:top w:val="single" w:sz="12" w:space="0" w:color="000000"/>
              <w:left w:val="nil" w:sz="6" w:space="0" w:color="auto"/>
              <w:bottom w:val="nil" w:sz="6" w:space="0" w:color="auto"/>
              <w:right w:val="nil" w:sz="6" w:space="0" w:color="auto"/>
            </w:tcBorders>
          </w:tcPr>
          <w:p>
            <w:pPr/>
          </w:p>
        </w:tc>
        <w:tc>
          <w:tcPr>
            <w:tcW w:w="1459" w:type="dxa"/>
            <w:tcBorders>
              <w:top w:val="single" w:sz="12" w:space="0" w:color="000000"/>
              <w:left w:val="nil" w:sz="6" w:space="0" w:color="auto"/>
              <w:bottom w:val="nil" w:sz="6" w:space="0" w:color="auto"/>
              <w:right w:val="nil" w:sz="6" w:space="0" w:color="auto"/>
            </w:tcBorders>
          </w:tcPr>
          <w:p>
            <w:pPr>
              <w:pStyle w:val="TableParagraph"/>
              <w:spacing w:line="252" w:lineRule="exact"/>
              <w:ind w:right="103"/>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89"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 </w:t>
            </w:r>
            <w:r>
              <w:rPr>
                <w:rFonts w:ascii="Arial" w:hAnsi="Arial" w:cs="Arial" w:eastAsia="Arial" w:hint="default"/>
                <w:sz w:val="22"/>
                <w:szCs w:val="22"/>
              </w:rPr>
              <w:t>-</w:t>
            </w:r>
          </w:p>
        </w:tc>
        <w:tc>
          <w:tcPr>
            <w:tcW w:w="1558"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281"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2" w:lineRule="exact"/>
              <w:ind w:left="45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558" w:type="dxa"/>
            <w:tcBorders>
              <w:top w:val="nil" w:sz="6" w:space="0" w:color="auto"/>
              <w:left w:val="nil" w:sz="6" w:space="0" w:color="auto"/>
              <w:bottom w:val="nil" w:sz="6" w:space="0" w:color="auto"/>
              <w:right w:val="nil" w:sz="6" w:space="0" w:color="auto"/>
            </w:tcBorders>
          </w:tcPr>
          <w:p>
            <w:pPr>
              <w:pStyle w:val="TableParagraph"/>
              <w:spacing w:line="251" w:lineRule="exact"/>
              <w:ind w:right="100"/>
              <w:jc w:val="right"/>
              <w:rPr>
                <w:rFonts w:ascii="Arial" w:hAnsi="Arial" w:cs="Arial" w:eastAsia="Arial" w:hint="default"/>
                <w:sz w:val="22"/>
                <w:szCs w:val="22"/>
              </w:rPr>
            </w:pPr>
            <w:r>
              <w:rPr>
                <w:rFonts w:ascii="Arial"/>
                <w:spacing w:val="-1"/>
                <w:sz w:val="22"/>
              </w:rPr>
              <w:t>22,740,084</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1"/>
                <w:sz w:val="22"/>
              </w:rPr>
              <w:t>22,740,084</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2"/>
              <w:jc w:val="right"/>
              <w:rPr>
                <w:rFonts w:ascii="Arial" w:hAnsi="Arial" w:cs="Arial" w:eastAsia="Arial" w:hint="default"/>
                <w:sz w:val="22"/>
                <w:szCs w:val="22"/>
              </w:rPr>
            </w:pPr>
            <w:r>
              <w:rPr>
                <w:rFonts w:ascii="Arial"/>
                <w:sz w:val="22"/>
              </w:rPr>
              <w:t>1,873,334</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Arial" w:hAnsi="Arial" w:cs="Arial" w:eastAsia="Arial" w:hint="default"/>
                <w:sz w:val="22"/>
                <w:szCs w:val="22"/>
              </w:rPr>
            </w:pPr>
            <w:r>
              <w:rPr>
                <w:rFonts w:ascii="Arial"/>
                <w:sz w:val="22"/>
              </w:rPr>
              <w:t>1,873,334</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其他应收款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416,415</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416,415</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z w:val="22"/>
              </w:rPr>
              <w:t>7,265</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z w:val="22"/>
              </w:rPr>
              <w:t>7,265</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74,821</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74,821</w:t>
            </w:r>
          </w:p>
        </w:tc>
      </w:tr>
      <w:tr>
        <w:trPr>
          <w:trHeight w:val="29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长期应收款</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4"/>
              <w:jc w:val="right"/>
              <w:rPr>
                <w:rFonts w:ascii="Arial" w:hAnsi="Arial" w:cs="Arial" w:eastAsia="Arial" w:hint="default"/>
                <w:sz w:val="22"/>
                <w:szCs w:val="22"/>
              </w:rPr>
            </w:pPr>
            <w:r>
              <w:rPr>
                <w:rFonts w:ascii="Arial"/>
                <w:w w:val="100"/>
                <w:sz w:val="22"/>
              </w:rPr>
              <w:t>-</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sz w:val="22"/>
              </w:rPr>
              <w:t>5,383</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5"/>
              <w:jc w:val="right"/>
              <w:rPr>
                <w:rFonts w:ascii="Arial" w:hAnsi="Arial" w:cs="Arial" w:eastAsia="Arial" w:hint="default"/>
                <w:sz w:val="22"/>
                <w:szCs w:val="22"/>
              </w:rPr>
            </w:pPr>
            <w:r>
              <w:rPr>
                <w:rFonts w:ascii="Arial"/>
                <w:spacing w:val="-3"/>
                <w:sz w:val="22"/>
              </w:rPr>
              <w:t>119,363</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351,818</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476,564</w:t>
            </w:r>
          </w:p>
        </w:tc>
      </w:tr>
      <w:tr>
        <w:trPr>
          <w:trHeight w:val="271"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4"/>
                <w:sz w:val="22"/>
              </w:rPr>
              <w:t>25,111,919</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sz w:val="22"/>
              </w:rPr>
              <w:t>5,383</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5"/>
              <w:jc w:val="right"/>
              <w:rPr>
                <w:rFonts w:ascii="Arial" w:hAnsi="Arial" w:cs="Arial" w:eastAsia="Arial" w:hint="default"/>
                <w:sz w:val="22"/>
                <w:szCs w:val="22"/>
              </w:rPr>
            </w:pPr>
            <w:r>
              <w:rPr>
                <w:rFonts w:ascii="Arial"/>
                <w:spacing w:val="-3"/>
                <w:sz w:val="22"/>
              </w:rPr>
              <w:t>119,363</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5"/>
              <w:jc w:val="right"/>
              <w:rPr>
                <w:rFonts w:ascii="Arial" w:hAnsi="Arial" w:cs="Arial" w:eastAsia="Arial" w:hint="default"/>
                <w:sz w:val="22"/>
                <w:szCs w:val="22"/>
              </w:rPr>
            </w:pPr>
            <w:r>
              <w:rPr>
                <w:rFonts w:ascii="Arial"/>
                <w:spacing w:val="-1"/>
                <w:sz w:val="22"/>
              </w:rPr>
              <w:t>351,818</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5"/>
              <w:jc w:val="right"/>
              <w:rPr>
                <w:rFonts w:ascii="Arial" w:hAnsi="Arial" w:cs="Arial" w:eastAsia="Arial" w:hint="default"/>
                <w:sz w:val="22"/>
                <w:szCs w:val="22"/>
              </w:rPr>
            </w:pPr>
            <w:r>
              <w:rPr>
                <w:rFonts w:ascii="Arial"/>
                <w:spacing w:val="-1"/>
                <w:sz w:val="22"/>
              </w:rPr>
              <w:t>25,588,483</w:t>
            </w:r>
          </w:p>
        </w:tc>
      </w:tr>
      <w:tr>
        <w:trPr>
          <w:trHeight w:val="303"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84" w:lineRule="exact"/>
              <w:ind w:left="200" w:right="0"/>
              <w:jc w:val="left"/>
              <w:rPr>
                <w:rFonts w:ascii="Arial" w:hAnsi="Arial" w:cs="Arial" w:eastAsia="Arial" w:hint="default"/>
                <w:sz w:val="22"/>
                <w:szCs w:val="22"/>
              </w:rPr>
            </w:pPr>
            <w:r>
              <w:rPr>
                <w:rFonts w:ascii="宋体" w:hAnsi="宋体" w:cs="宋体" w:eastAsia="宋体" w:hint="default"/>
                <w:sz w:val="22"/>
                <w:szCs w:val="22"/>
              </w:rPr>
              <w:t>金融负债 </w:t>
            </w:r>
            <w:r>
              <w:rPr>
                <w:rFonts w:ascii="Arial" w:hAnsi="Arial" w:cs="Arial" w:eastAsia="Arial" w:hint="default"/>
                <w:sz w:val="22"/>
                <w:szCs w:val="22"/>
              </w:rPr>
              <w:t>-</w:t>
            </w:r>
          </w:p>
        </w:tc>
        <w:tc>
          <w:tcPr>
            <w:tcW w:w="1558" w:type="dxa"/>
            <w:tcBorders>
              <w:top w:val="single" w:sz="12" w:space="0" w:color="000000"/>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single" w:sz="12"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single" w:sz="12"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single" w:sz="12"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single" w:sz="12" w:space="0" w:color="000000"/>
              <w:left w:val="nil" w:sz="6" w:space="0" w:color="auto"/>
              <w:bottom w:val="nil" w:sz="6" w:space="0" w:color="auto"/>
              <w:right w:val="nil" w:sz="6" w:space="0" w:color="auto"/>
            </w:tcBorders>
          </w:tcPr>
          <w:p>
            <w:pPr/>
          </w:p>
        </w:tc>
      </w:tr>
      <w:tr>
        <w:trPr>
          <w:trHeight w:val="280"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1" w:lineRule="exact"/>
              <w:ind w:left="45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558" w:type="dxa"/>
            <w:tcBorders>
              <w:top w:val="nil" w:sz="6" w:space="0" w:color="auto"/>
              <w:left w:val="nil" w:sz="6" w:space="0" w:color="auto"/>
              <w:bottom w:val="nil" w:sz="6" w:space="0" w:color="auto"/>
              <w:right w:val="nil" w:sz="6" w:space="0" w:color="auto"/>
            </w:tcBorders>
          </w:tcPr>
          <w:p>
            <w:pPr>
              <w:pStyle w:val="TableParagraph"/>
              <w:spacing w:line="250" w:lineRule="exact"/>
              <w:ind w:right="100"/>
              <w:jc w:val="right"/>
              <w:rPr>
                <w:rFonts w:ascii="Arial" w:hAnsi="Arial" w:cs="Arial" w:eastAsia="Arial" w:hint="default"/>
                <w:sz w:val="22"/>
                <w:szCs w:val="22"/>
              </w:rPr>
            </w:pPr>
            <w:r>
              <w:rPr>
                <w:rFonts w:ascii="Arial"/>
                <w:sz w:val="22"/>
              </w:rPr>
              <w:t>1,665,686</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z w:val="22"/>
              </w:rPr>
              <w:t>1,665,686</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借款利息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16,294</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16,294</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20,617,593</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20,617,593</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2"/>
              <w:jc w:val="right"/>
              <w:rPr>
                <w:rFonts w:ascii="Arial" w:hAnsi="Arial" w:cs="Arial" w:eastAsia="Arial" w:hint="default"/>
                <w:sz w:val="22"/>
                <w:szCs w:val="22"/>
              </w:rPr>
            </w:pPr>
            <w:r>
              <w:rPr>
                <w:rFonts w:ascii="Arial"/>
                <w:sz w:val="22"/>
              </w:rPr>
              <w:t>8,525,857</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Arial" w:hAnsi="Arial" w:cs="Arial" w:eastAsia="Arial" w:hint="default"/>
                <w:sz w:val="22"/>
                <w:szCs w:val="22"/>
              </w:rPr>
            </w:pPr>
            <w:r>
              <w:rPr>
                <w:rFonts w:ascii="Arial"/>
                <w:sz w:val="22"/>
              </w:rPr>
              <w:t>8,525,857</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7"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其他应付款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2"/>
                <w:szCs w:val="22"/>
              </w:rPr>
            </w:pPr>
            <w:r>
              <w:rPr>
                <w:rFonts w:ascii="Arial"/>
                <w:sz w:val="22"/>
              </w:rPr>
              <w:t>2,743,925</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2"/>
                <w:szCs w:val="22"/>
              </w:rPr>
            </w:pPr>
            <w:r>
              <w:rPr>
                <w:rFonts w:ascii="Arial"/>
                <w:sz w:val="22"/>
              </w:rPr>
              <w:t>2,743,925</w:t>
            </w:r>
          </w:p>
        </w:tc>
      </w:tr>
      <w:tr>
        <w:trPr>
          <w:trHeight w:val="295"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z w:val="22"/>
              </w:rPr>
              <w:t>5,305</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z w:val="22"/>
              </w:rPr>
              <w:t>5,305</w:t>
            </w:r>
          </w:p>
        </w:tc>
      </w:tr>
      <w:tr>
        <w:trPr>
          <w:trHeight w:val="274"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0"/>
              <w:jc w:val="right"/>
              <w:rPr>
                <w:rFonts w:ascii="Arial" w:hAnsi="Arial" w:cs="Arial" w:eastAsia="Arial" w:hint="default"/>
                <w:sz w:val="22"/>
                <w:szCs w:val="22"/>
              </w:rPr>
            </w:pPr>
            <w:r>
              <w:rPr>
                <w:rFonts w:ascii="Arial"/>
                <w:spacing w:val="-1"/>
                <w:sz w:val="22"/>
              </w:rPr>
              <w:t>33,574,660</w:t>
            </w:r>
          </w:p>
        </w:tc>
        <w:tc>
          <w:tcPr>
            <w:tcW w:w="279"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88"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28"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5"/>
              <w:jc w:val="right"/>
              <w:rPr>
                <w:rFonts w:ascii="Arial" w:hAnsi="Arial" w:cs="Arial" w:eastAsia="Arial" w:hint="default"/>
                <w:sz w:val="22"/>
                <w:szCs w:val="22"/>
              </w:rPr>
            </w:pPr>
            <w:r>
              <w:rPr>
                <w:rFonts w:ascii="Arial"/>
                <w:spacing w:val="-1"/>
                <w:sz w:val="22"/>
              </w:rPr>
              <w:t>33,574,660</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tbl>
      <w:tblPr>
        <w:tblW w:w="0" w:type="auto"/>
        <w:jc w:val="left"/>
        <w:tblInd w:w="804" w:type="dxa"/>
        <w:tblLayout w:type="fixed"/>
        <w:tblCellMar>
          <w:top w:w="0" w:type="dxa"/>
          <w:left w:w="0" w:type="dxa"/>
          <w:bottom w:w="0" w:type="dxa"/>
          <w:right w:w="0" w:type="dxa"/>
        </w:tblCellMar>
        <w:tblLook w:val="01E0"/>
      </w:tblPr>
      <w:tblGrid>
        <w:gridCol w:w="1897"/>
        <w:gridCol w:w="1558"/>
        <w:gridCol w:w="286"/>
        <w:gridCol w:w="1133"/>
        <w:gridCol w:w="295"/>
        <w:gridCol w:w="1123"/>
        <w:gridCol w:w="235"/>
        <w:gridCol w:w="1193"/>
        <w:gridCol w:w="238"/>
        <w:gridCol w:w="1452"/>
      </w:tblGrid>
      <w:tr>
        <w:trPr>
          <w:trHeight w:val="269" w:hRule="exact"/>
        </w:trPr>
        <w:tc>
          <w:tcPr>
            <w:tcW w:w="9410"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4696" w:right="0"/>
              <w:jc w:val="left"/>
              <w:rPr>
                <w:rFonts w:ascii="宋体" w:hAnsi="宋体" w:cs="宋体" w:eastAsia="宋体" w:hint="default"/>
                <w:sz w:val="22"/>
                <w:szCs w:val="22"/>
              </w:rPr>
            </w:pPr>
            <w:r>
              <w:rPr>
                <w:rFonts w:ascii="Arial" w:hAnsi="Arial" w:cs="Arial" w:eastAsia="Arial" w:hint="default"/>
                <w:sz w:val="22"/>
                <w:szCs w:val="22"/>
              </w:rPr>
              <w:t>2010</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301"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12" w:space="0" w:color="000000"/>
              <w:left w:val="nil" w:sz="6" w:space="0" w:color="auto"/>
              <w:bottom w:val="nil" w:sz="6" w:space="0" w:color="auto"/>
              <w:right w:val="nil" w:sz="6" w:space="0" w:color="auto"/>
            </w:tcBorders>
          </w:tcPr>
          <w:p>
            <w:pPr>
              <w:pStyle w:val="TableParagraph"/>
              <w:spacing w:line="254" w:lineRule="exact"/>
              <w:ind w:right="101"/>
              <w:jc w:val="right"/>
              <w:rPr>
                <w:rFonts w:ascii="宋体" w:hAnsi="宋体" w:cs="宋体" w:eastAsia="宋体" w:hint="default"/>
                <w:sz w:val="22"/>
                <w:szCs w:val="22"/>
              </w:rPr>
            </w:pPr>
            <w:r>
              <w:rPr>
                <w:rFonts w:ascii="宋体" w:hAnsi="宋体" w:cs="宋体" w:eastAsia="宋体" w:hint="default"/>
                <w:sz w:val="22"/>
                <w:szCs w:val="22"/>
              </w:rPr>
              <w:t>一年以内</w:t>
            </w:r>
          </w:p>
        </w:tc>
        <w:tc>
          <w:tcPr>
            <w:tcW w:w="286" w:type="dxa"/>
            <w:tcBorders>
              <w:top w:val="single" w:sz="12" w:space="0" w:color="000000"/>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Style w:val="TableParagraph"/>
              <w:spacing w:line="254" w:lineRule="exact"/>
              <w:ind w:right="104"/>
              <w:jc w:val="right"/>
              <w:rPr>
                <w:rFonts w:ascii="宋体" w:hAnsi="宋体" w:cs="宋体" w:eastAsia="宋体" w:hint="default"/>
                <w:sz w:val="22"/>
                <w:szCs w:val="22"/>
              </w:rPr>
            </w:pPr>
            <w:r>
              <w:rPr>
                <w:rFonts w:ascii="宋体" w:hAnsi="宋体" w:cs="宋体" w:eastAsia="宋体" w:hint="default"/>
                <w:sz w:val="22"/>
                <w:szCs w:val="22"/>
              </w:rPr>
              <w:t>一到二年</w:t>
            </w:r>
          </w:p>
        </w:tc>
        <w:tc>
          <w:tcPr>
            <w:tcW w:w="295" w:type="dxa"/>
            <w:tcBorders>
              <w:top w:val="single" w:sz="12" w:space="0" w:color="000000"/>
              <w:left w:val="nil" w:sz="6" w:space="0" w:color="auto"/>
              <w:bottom w:val="nil" w:sz="6" w:space="0" w:color="auto"/>
              <w:right w:val="nil" w:sz="6" w:space="0" w:color="auto"/>
            </w:tcBorders>
          </w:tcPr>
          <w:p>
            <w:pPr/>
          </w:p>
        </w:tc>
        <w:tc>
          <w:tcPr>
            <w:tcW w:w="1123" w:type="dxa"/>
            <w:tcBorders>
              <w:top w:val="single" w:sz="12" w:space="0" w:color="000000"/>
              <w:left w:val="nil" w:sz="6" w:space="0" w:color="auto"/>
              <w:bottom w:val="nil" w:sz="6" w:space="0" w:color="auto"/>
              <w:right w:val="nil" w:sz="6" w:space="0" w:color="auto"/>
            </w:tcBorders>
          </w:tcPr>
          <w:p>
            <w:pPr>
              <w:pStyle w:val="TableParagraph"/>
              <w:spacing w:line="254" w:lineRule="exact"/>
              <w:ind w:right="103"/>
              <w:jc w:val="right"/>
              <w:rPr>
                <w:rFonts w:ascii="宋体" w:hAnsi="宋体" w:cs="宋体" w:eastAsia="宋体" w:hint="default"/>
                <w:sz w:val="22"/>
                <w:szCs w:val="22"/>
              </w:rPr>
            </w:pPr>
            <w:r>
              <w:rPr>
                <w:rFonts w:ascii="宋体" w:hAnsi="宋体" w:cs="宋体" w:eastAsia="宋体" w:hint="default"/>
                <w:sz w:val="22"/>
                <w:szCs w:val="22"/>
              </w:rPr>
              <w:t>二到五年</w:t>
            </w:r>
          </w:p>
        </w:tc>
        <w:tc>
          <w:tcPr>
            <w:tcW w:w="235" w:type="dxa"/>
            <w:tcBorders>
              <w:top w:val="single" w:sz="12" w:space="0" w:color="000000"/>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Style w:val="TableParagraph"/>
              <w:spacing w:line="254" w:lineRule="exact"/>
              <w:ind w:right="104"/>
              <w:jc w:val="right"/>
              <w:rPr>
                <w:rFonts w:ascii="宋体" w:hAnsi="宋体" w:cs="宋体" w:eastAsia="宋体" w:hint="default"/>
                <w:sz w:val="22"/>
                <w:szCs w:val="22"/>
              </w:rPr>
            </w:pPr>
            <w:r>
              <w:rPr>
                <w:rFonts w:ascii="宋体" w:hAnsi="宋体" w:cs="宋体" w:eastAsia="宋体" w:hint="default"/>
                <w:sz w:val="22"/>
                <w:szCs w:val="22"/>
              </w:rPr>
              <w:t>五年以上</w:t>
            </w:r>
          </w:p>
        </w:tc>
        <w:tc>
          <w:tcPr>
            <w:tcW w:w="238" w:type="dxa"/>
            <w:tcBorders>
              <w:top w:val="single" w:sz="12" w:space="0" w:color="000000"/>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54" w:lineRule="exact"/>
              <w:ind w:right="103"/>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88"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 </w:t>
            </w:r>
            <w:r>
              <w:rPr>
                <w:rFonts w:ascii="Arial" w:hAnsi="Arial" w:cs="Arial" w:eastAsia="Arial" w:hint="default"/>
                <w:sz w:val="22"/>
                <w:szCs w:val="22"/>
              </w:rPr>
              <w:t>-</w:t>
            </w:r>
          </w:p>
        </w:tc>
        <w:tc>
          <w:tcPr>
            <w:tcW w:w="155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280"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1" w:lineRule="exact"/>
              <w:ind w:left="45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558" w:type="dxa"/>
            <w:tcBorders>
              <w:top w:val="nil" w:sz="6" w:space="0" w:color="auto"/>
              <w:left w:val="nil" w:sz="6" w:space="0" w:color="auto"/>
              <w:bottom w:val="nil" w:sz="6" w:space="0" w:color="auto"/>
              <w:right w:val="nil" w:sz="6" w:space="0" w:color="auto"/>
            </w:tcBorders>
          </w:tcPr>
          <w:p>
            <w:pPr>
              <w:pStyle w:val="TableParagraph"/>
              <w:spacing w:line="250" w:lineRule="exact"/>
              <w:ind w:right="100"/>
              <w:jc w:val="right"/>
              <w:rPr>
                <w:rFonts w:ascii="Arial" w:hAnsi="Arial" w:cs="Arial" w:eastAsia="Arial" w:hint="default"/>
                <w:sz w:val="22"/>
                <w:szCs w:val="22"/>
              </w:rPr>
            </w:pPr>
            <w:r>
              <w:rPr>
                <w:rFonts w:ascii="Arial"/>
                <w:spacing w:val="-1"/>
                <w:sz w:val="22"/>
              </w:rPr>
              <w:t>19,351,838</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pacing w:val="-1"/>
                <w:sz w:val="22"/>
              </w:rPr>
              <w:t>19,351,838</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2"/>
                <w:sz w:val="22"/>
              </w:rPr>
              <w:t>1,104,611</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2"/>
                <w:sz w:val="22"/>
              </w:rPr>
              <w:t>1,104,611</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其他应收款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975,737</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975,737</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7"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2"/>
                <w:szCs w:val="22"/>
              </w:rPr>
            </w:pPr>
            <w:r>
              <w:rPr>
                <w:rFonts w:ascii="Arial"/>
                <w:sz w:val="22"/>
              </w:rPr>
              <w:t>2,505</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2"/>
                <w:szCs w:val="22"/>
              </w:rPr>
            </w:pPr>
            <w:r>
              <w:rPr>
                <w:rFonts w:ascii="Arial"/>
                <w:sz w:val="22"/>
              </w:rPr>
              <w:t>2,505</w:t>
            </w:r>
          </w:p>
        </w:tc>
      </w:tr>
      <w:tr>
        <w:trPr>
          <w:trHeight w:val="286"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pacing w:val="-1"/>
                <w:sz w:val="22"/>
              </w:rPr>
              <w:t>31,385</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31,385</w:t>
            </w:r>
          </w:p>
        </w:tc>
      </w:tr>
      <w:tr>
        <w:trPr>
          <w:trHeight w:val="295"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长期应收款</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300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8,214</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122,254</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130,768</w:t>
            </w:r>
          </w:p>
        </w:tc>
      </w:tr>
      <w:tr>
        <w:trPr>
          <w:trHeight w:val="274"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0"/>
              <w:jc w:val="right"/>
              <w:rPr>
                <w:rFonts w:ascii="Arial" w:hAnsi="Arial" w:cs="Arial" w:eastAsia="Arial" w:hint="default"/>
                <w:sz w:val="22"/>
                <w:szCs w:val="22"/>
              </w:rPr>
            </w:pPr>
            <w:r>
              <w:rPr>
                <w:rFonts w:ascii="Arial"/>
                <w:spacing w:val="-1"/>
                <w:sz w:val="22"/>
              </w:rPr>
              <w:t>21,466,376</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1"/>
                <w:sz w:val="22"/>
              </w:rPr>
              <w:t>8,214</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1"/>
                <w:sz w:val="22"/>
              </w:rPr>
              <w:t>122,254</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1"/>
                <w:sz w:val="22"/>
              </w:rPr>
              <w:t>21,596,844</w:t>
            </w:r>
          </w:p>
        </w:tc>
      </w:tr>
      <w:tr>
        <w:trPr>
          <w:trHeight w:val="301"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82" w:lineRule="exact"/>
              <w:ind w:left="200" w:right="0"/>
              <w:jc w:val="left"/>
              <w:rPr>
                <w:rFonts w:ascii="Arial" w:hAnsi="Arial" w:cs="Arial" w:eastAsia="Arial" w:hint="default"/>
                <w:sz w:val="22"/>
                <w:szCs w:val="22"/>
              </w:rPr>
            </w:pPr>
            <w:r>
              <w:rPr>
                <w:rFonts w:ascii="宋体" w:hAnsi="宋体" w:cs="宋体" w:eastAsia="宋体" w:hint="default"/>
                <w:sz w:val="22"/>
                <w:szCs w:val="22"/>
              </w:rPr>
              <w:t>金融负债 </w:t>
            </w:r>
            <w:r>
              <w:rPr>
                <w:rFonts w:ascii="Arial" w:hAnsi="Arial" w:cs="Arial" w:eastAsia="Arial" w:hint="default"/>
                <w:sz w:val="22"/>
                <w:szCs w:val="22"/>
              </w:rPr>
              <w:t>-</w:t>
            </w:r>
          </w:p>
        </w:tc>
        <w:tc>
          <w:tcPr>
            <w:tcW w:w="1558"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single" w:sz="12" w:space="0" w:color="000000"/>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
        </w:tc>
      </w:tr>
      <w:tr>
        <w:trPr>
          <w:trHeight w:val="280"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1" w:lineRule="exact"/>
              <w:ind w:left="454"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558" w:type="dxa"/>
            <w:tcBorders>
              <w:top w:val="nil" w:sz="6" w:space="0" w:color="auto"/>
              <w:left w:val="nil" w:sz="6" w:space="0" w:color="auto"/>
              <w:bottom w:val="nil" w:sz="6" w:space="0" w:color="auto"/>
              <w:right w:val="nil" w:sz="6" w:space="0" w:color="auto"/>
            </w:tcBorders>
          </w:tcPr>
          <w:p>
            <w:pPr>
              <w:pStyle w:val="TableParagraph"/>
              <w:spacing w:line="250" w:lineRule="exact"/>
              <w:ind w:right="100"/>
              <w:jc w:val="right"/>
              <w:rPr>
                <w:rFonts w:ascii="Arial" w:hAnsi="Arial" w:cs="Arial" w:eastAsia="Arial" w:hint="default"/>
                <w:sz w:val="22"/>
                <w:szCs w:val="22"/>
              </w:rPr>
            </w:pPr>
            <w:r>
              <w:rPr>
                <w:rFonts w:ascii="Arial"/>
                <w:spacing w:val="-1"/>
                <w:sz w:val="22"/>
              </w:rPr>
              <w:t>317,789</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pacing w:val="-1"/>
                <w:sz w:val="22"/>
              </w:rPr>
              <w:t>317,789</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left="454"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pacing w:val="-1"/>
                <w:sz w:val="22"/>
              </w:rPr>
              <w:t>14,277,320</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Arial" w:hAnsi="Arial" w:cs="Arial" w:eastAsia="Arial" w:hint="default"/>
                <w:sz w:val="22"/>
                <w:szCs w:val="22"/>
              </w:rPr>
            </w:pPr>
            <w:r>
              <w:rPr>
                <w:rFonts w:ascii="Arial"/>
                <w:spacing w:val="-1"/>
                <w:sz w:val="22"/>
              </w:rPr>
              <w:t>14,277,320</w:t>
            </w:r>
          </w:p>
        </w:tc>
      </w:tr>
      <w:tr>
        <w:trPr>
          <w:trHeight w:val="287"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7" w:lineRule="exact"/>
              <w:ind w:left="454"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w:hAnsi="Arial" w:cs="Arial" w:eastAsia="Arial" w:hint="default"/>
                <w:sz w:val="22"/>
                <w:szCs w:val="22"/>
              </w:rPr>
            </w:pPr>
            <w:r>
              <w:rPr>
                <w:rFonts w:ascii="Arial"/>
                <w:sz w:val="22"/>
              </w:rPr>
              <w:t>6,839,024</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Arial" w:hAnsi="Arial" w:cs="Arial" w:eastAsia="Arial" w:hint="default"/>
                <w:sz w:val="22"/>
                <w:szCs w:val="22"/>
              </w:rPr>
            </w:pPr>
            <w:r>
              <w:rPr>
                <w:rFonts w:ascii="Arial"/>
                <w:sz w:val="22"/>
              </w:rPr>
              <w:t>6,839,024</w:t>
            </w:r>
          </w:p>
        </w:tc>
      </w:tr>
      <w:tr>
        <w:trPr>
          <w:trHeight w:val="295" w:hRule="exact"/>
        </w:trPr>
        <w:tc>
          <w:tcPr>
            <w:tcW w:w="1897" w:type="dxa"/>
            <w:tcBorders>
              <w:top w:val="nil" w:sz="6" w:space="0" w:color="auto"/>
              <w:left w:val="nil" w:sz="6" w:space="0" w:color="auto"/>
              <w:bottom w:val="nil" w:sz="6" w:space="0" w:color="auto"/>
              <w:right w:val="nil" w:sz="6" w:space="0" w:color="auto"/>
            </w:tcBorders>
          </w:tcPr>
          <w:p>
            <w:pPr>
              <w:pStyle w:val="TableParagraph"/>
              <w:spacing w:line="256" w:lineRule="exact"/>
              <w:ind w:right="338"/>
              <w:jc w:val="right"/>
              <w:rPr>
                <w:rFonts w:ascii="宋体" w:hAnsi="宋体" w:cs="宋体" w:eastAsia="宋体" w:hint="default"/>
                <w:sz w:val="22"/>
                <w:szCs w:val="22"/>
              </w:rPr>
            </w:pPr>
            <w:r>
              <w:rPr>
                <w:rFonts w:ascii="宋体" w:hAnsi="宋体" w:cs="宋体" w:eastAsia="宋体" w:hint="default"/>
                <w:spacing w:val="-1"/>
                <w:sz w:val="22"/>
                <w:szCs w:val="22"/>
              </w:rPr>
              <w:t>其他应付款</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Arial" w:hAnsi="Arial" w:cs="Arial" w:eastAsia="Arial" w:hint="default"/>
                <w:sz w:val="22"/>
                <w:szCs w:val="22"/>
              </w:rPr>
            </w:pPr>
            <w:r>
              <w:rPr>
                <w:rFonts w:ascii="Arial"/>
                <w:sz w:val="22"/>
              </w:rPr>
              <w:t>1,539,020</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Arial" w:hAnsi="Arial" w:cs="Arial" w:eastAsia="Arial" w:hint="default"/>
                <w:sz w:val="22"/>
                <w:szCs w:val="22"/>
              </w:rPr>
            </w:pPr>
            <w:r>
              <w:rPr>
                <w:rFonts w:ascii="Arial"/>
                <w:sz w:val="22"/>
              </w:rPr>
              <w:t>1,539,020</w:t>
            </w:r>
          </w:p>
        </w:tc>
      </w:tr>
      <w:tr>
        <w:trPr>
          <w:trHeight w:val="274" w:hRule="exact"/>
        </w:trPr>
        <w:tc>
          <w:tcPr>
            <w:tcW w:w="1897"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0"/>
              <w:jc w:val="right"/>
              <w:rPr>
                <w:rFonts w:ascii="Arial" w:hAnsi="Arial" w:cs="Arial" w:eastAsia="Arial" w:hint="default"/>
                <w:sz w:val="22"/>
                <w:szCs w:val="22"/>
              </w:rPr>
            </w:pPr>
            <w:r>
              <w:rPr>
                <w:rFonts w:ascii="Arial"/>
                <w:spacing w:val="-1"/>
                <w:sz w:val="22"/>
              </w:rPr>
              <w:t>22,973,153</w:t>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95"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6"/>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51" w:lineRule="exact"/>
              <w:ind w:right="103"/>
              <w:jc w:val="right"/>
              <w:rPr>
                <w:rFonts w:ascii="Arial" w:hAnsi="Arial" w:cs="Arial" w:eastAsia="Arial" w:hint="default"/>
                <w:sz w:val="22"/>
                <w:szCs w:val="22"/>
              </w:rPr>
            </w:pPr>
            <w:r>
              <w:rPr>
                <w:rFonts w:ascii="Arial"/>
                <w:spacing w:val="-1"/>
                <w:sz w:val="22"/>
              </w:rPr>
              <w:t>22,973,153</w:t>
            </w:r>
          </w:p>
        </w:tc>
      </w:tr>
    </w:tbl>
    <w:p>
      <w:pPr>
        <w:spacing w:after="0" w:line="251" w:lineRule="exact"/>
        <w:jc w:val="right"/>
        <w:rPr>
          <w:rFonts w:ascii="Arial" w:hAnsi="Arial" w:cs="Arial" w:eastAsia="Arial" w:hint="default"/>
          <w:sz w:val="22"/>
          <w:szCs w:val="22"/>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762"/>
        <w:gridCol w:w="2833"/>
        <w:gridCol w:w="1274"/>
        <w:gridCol w:w="286"/>
        <w:gridCol w:w="1457"/>
        <w:gridCol w:w="283"/>
        <w:gridCol w:w="1436"/>
        <w:gridCol w:w="286"/>
        <w:gridCol w:w="1310"/>
      </w:tblGrid>
      <w:tr>
        <w:trPr>
          <w:trHeight w:val="698"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sz w:val="24"/>
                <w:szCs w:val="24"/>
              </w:rPr>
            </w:r>
          </w:p>
        </w:tc>
        <w:tc>
          <w:tcPr>
            <w:tcW w:w="4107"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44" w:right="0"/>
              <w:jc w:val="left"/>
              <w:rPr>
                <w:rFonts w:ascii="Arial" w:hAnsi="Arial" w:cs="Arial" w:eastAsia="Arial" w:hint="default"/>
                <w:sz w:val="24"/>
                <w:szCs w:val="24"/>
              </w:rPr>
            </w:pPr>
            <w:r>
              <w:rPr>
                <w:rFonts w:ascii="宋体" w:hAnsi="宋体" w:cs="宋体" w:eastAsia="宋体" w:hint="default"/>
                <w:b/>
                <w:bCs/>
                <w:sz w:val="24"/>
                <w:szCs w:val="24"/>
              </w:rPr>
              <w:t>金融工具及其风险</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86" w:type="dxa"/>
            <w:tcBorders>
              <w:top w:val="single" w:sz="6" w:space="0" w:color="000000"/>
              <w:left w:val="nil" w:sz="6" w:space="0" w:color="auto"/>
              <w:bottom w:val="nil" w:sz="6" w:space="0" w:color="auto"/>
              <w:right w:val="nil" w:sz="6" w:space="0" w:color="auto"/>
            </w:tcBorders>
          </w:tcPr>
          <w:p>
            <w:pPr/>
          </w:p>
        </w:tc>
        <w:tc>
          <w:tcPr>
            <w:tcW w:w="1457"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1436" w:type="dxa"/>
            <w:tcBorders>
              <w:top w:val="single" w:sz="6" w:space="0" w:color="000000"/>
              <w:left w:val="nil" w:sz="6" w:space="0" w:color="auto"/>
              <w:bottom w:val="nil" w:sz="6" w:space="0" w:color="auto"/>
              <w:right w:val="nil" w:sz="6" w:space="0" w:color="auto"/>
            </w:tcBorders>
          </w:tcPr>
          <w:p>
            <w:pPr/>
          </w:p>
        </w:tc>
        <w:tc>
          <w:tcPr>
            <w:tcW w:w="286" w:type="dxa"/>
            <w:tcBorders>
              <w:top w:val="single" w:sz="6" w:space="0" w:color="000000"/>
              <w:left w:val="nil" w:sz="6" w:space="0" w:color="auto"/>
              <w:bottom w:val="nil" w:sz="6" w:space="0" w:color="auto"/>
              <w:right w:val="nil" w:sz="6" w:space="0" w:color="auto"/>
            </w:tcBorders>
          </w:tcPr>
          <w:p>
            <w:pPr/>
          </w:p>
        </w:tc>
        <w:tc>
          <w:tcPr>
            <w:tcW w:w="1310" w:type="dxa"/>
            <w:tcBorders>
              <w:top w:val="single" w:sz="6" w:space="0" w:color="000000"/>
              <w:left w:val="nil" w:sz="6" w:space="0" w:color="auto"/>
              <w:bottom w:val="nil" w:sz="6" w:space="0" w:color="auto"/>
              <w:right w:val="nil" w:sz="6" w:space="0" w:color="auto"/>
            </w:tcBorders>
          </w:tcPr>
          <w:p>
            <w:pPr/>
          </w:p>
        </w:tc>
      </w:tr>
      <w:tr>
        <w:trPr>
          <w:trHeight w:val="582"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4"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127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r>
        <w:trPr>
          <w:trHeight w:val="591"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4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44" w:right="0"/>
              <w:jc w:val="left"/>
              <w:rPr>
                <w:rFonts w:ascii="宋体" w:hAnsi="宋体" w:cs="宋体" w:eastAsia="宋体" w:hint="default"/>
                <w:sz w:val="24"/>
                <w:szCs w:val="24"/>
              </w:rPr>
            </w:pPr>
            <w:r>
              <w:rPr>
                <w:rFonts w:ascii="宋体" w:hAnsi="宋体" w:cs="宋体" w:eastAsia="宋体" w:hint="default"/>
                <w:sz w:val="24"/>
                <w:szCs w:val="24"/>
              </w:rPr>
              <w:t>不以公允价值计量的金融工具</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r>
        <w:trPr>
          <w:trHeight w:val="900" w:hRule="exact"/>
        </w:trPr>
        <w:tc>
          <w:tcPr>
            <w:tcW w:w="9927"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130"/>
              <w:ind w:left="906" w:right="132"/>
              <w:jc w:val="left"/>
              <w:rPr>
                <w:rFonts w:ascii="宋体" w:hAnsi="宋体" w:cs="宋体" w:eastAsia="宋体" w:hint="default"/>
                <w:sz w:val="24"/>
                <w:szCs w:val="24"/>
              </w:rPr>
            </w:pPr>
            <w:r>
              <w:rPr>
                <w:rFonts w:ascii="宋体" w:hAnsi="宋体" w:cs="宋体" w:eastAsia="宋体" w:hint="default"/>
                <w:sz w:val="24"/>
                <w:szCs w:val="24"/>
              </w:rPr>
              <w:t>不以公允价值计量的金融资产和负债主要包括：应收账款、其他应收款、应收票据、</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应收利息、长期应收款、应付票据、短期借款、应付账款、其他应付款。</w:t>
            </w:r>
          </w:p>
        </w:tc>
      </w:tr>
      <w:tr>
        <w:trPr>
          <w:trHeight w:val="588" w:hRule="exact"/>
        </w:trPr>
        <w:tc>
          <w:tcPr>
            <w:tcW w:w="992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0"/>
              <w:ind w:left="906" w:right="0"/>
              <w:jc w:val="left"/>
              <w:rPr>
                <w:rFonts w:ascii="宋体" w:hAnsi="宋体" w:cs="宋体" w:eastAsia="宋体" w:hint="default"/>
                <w:sz w:val="24"/>
                <w:szCs w:val="24"/>
              </w:rPr>
            </w:pPr>
            <w:r>
              <w:rPr>
                <w:rFonts w:ascii="宋体" w:hAnsi="宋体" w:cs="宋体" w:eastAsia="宋体" w:hint="default"/>
                <w:sz w:val="24"/>
                <w:szCs w:val="24"/>
              </w:rPr>
              <w:t>本集团不以公允价值计量的金融资产和负债的账面价值与公允价值差异不重大。</w:t>
            </w:r>
          </w:p>
        </w:tc>
      </w:tr>
      <w:tr>
        <w:trPr>
          <w:trHeight w:val="897" w:hRule="exact"/>
        </w:trPr>
        <w:tc>
          <w:tcPr>
            <w:tcW w:w="9927"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130"/>
              <w:ind w:left="891" w:right="112"/>
              <w:jc w:val="left"/>
              <w:rPr>
                <w:rFonts w:ascii="宋体" w:hAnsi="宋体" w:cs="宋体" w:eastAsia="宋体" w:hint="default"/>
                <w:sz w:val="24"/>
                <w:szCs w:val="24"/>
              </w:rPr>
            </w:pPr>
            <w:r>
              <w:rPr>
                <w:rFonts w:ascii="宋体" w:hAnsi="宋体" w:cs="宋体" w:eastAsia="宋体" w:hint="default"/>
                <w:sz w:val="24"/>
                <w:szCs w:val="24"/>
              </w:rPr>
              <w:t>长期应收款以合同规定的未来现金流量按照市场上具有可比信用等级并在相同条件下</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提供几乎相同现金流量的利率进行折现后的现值确定其公允价值。</w:t>
            </w:r>
          </w:p>
        </w:tc>
      </w:tr>
      <w:tr>
        <w:trPr>
          <w:trHeight w:val="591"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4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129" w:right="0"/>
              <w:jc w:val="left"/>
              <w:rPr>
                <w:rFonts w:ascii="宋体" w:hAnsi="宋体" w:cs="宋体" w:eastAsia="宋体" w:hint="default"/>
                <w:sz w:val="24"/>
                <w:szCs w:val="24"/>
              </w:rPr>
            </w:pPr>
            <w:r>
              <w:rPr>
                <w:rFonts w:ascii="宋体" w:hAnsi="宋体" w:cs="宋体" w:eastAsia="宋体" w:hint="default"/>
                <w:sz w:val="24"/>
                <w:szCs w:val="24"/>
              </w:rPr>
              <w:t>以公允价值计量的金融工具</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r>
        <w:trPr>
          <w:trHeight w:val="900" w:hRule="exact"/>
        </w:trPr>
        <w:tc>
          <w:tcPr>
            <w:tcW w:w="762" w:type="dxa"/>
            <w:tcBorders>
              <w:top w:val="nil" w:sz="6" w:space="0" w:color="auto"/>
              <w:left w:val="nil" w:sz="6" w:space="0" w:color="auto"/>
              <w:bottom w:val="nil" w:sz="6" w:space="0" w:color="auto"/>
              <w:right w:val="nil" w:sz="6" w:space="0" w:color="auto"/>
            </w:tcBorders>
          </w:tcPr>
          <w:p>
            <w:pPr/>
          </w:p>
        </w:tc>
        <w:tc>
          <w:tcPr>
            <w:tcW w:w="9165"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30"/>
              <w:ind w:left="129" w:right="108"/>
              <w:jc w:val="left"/>
              <w:rPr>
                <w:rFonts w:ascii="宋体" w:hAnsi="宋体" w:cs="宋体" w:eastAsia="宋体" w:hint="default"/>
                <w:sz w:val="24"/>
                <w:szCs w:val="24"/>
              </w:rPr>
            </w:pPr>
            <w:r>
              <w:rPr>
                <w:rFonts w:ascii="宋体" w:hAnsi="宋体" w:cs="宋体" w:eastAsia="宋体" w:hint="default"/>
                <w:sz w:val="24"/>
                <w:szCs w:val="24"/>
              </w:rPr>
              <w:t>根据在公允价值计量中对计量整体具有重大意义的最低层级的输入值，公允价值层级</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可分为：</w:t>
            </w:r>
          </w:p>
        </w:tc>
      </w:tr>
      <w:tr>
        <w:trPr>
          <w:trHeight w:val="594" w:hRule="exact"/>
        </w:trPr>
        <w:tc>
          <w:tcPr>
            <w:tcW w:w="762" w:type="dxa"/>
            <w:tcBorders>
              <w:top w:val="nil" w:sz="6" w:space="0" w:color="auto"/>
              <w:left w:val="nil" w:sz="6" w:space="0" w:color="auto"/>
              <w:bottom w:val="nil" w:sz="6" w:space="0" w:color="auto"/>
              <w:right w:val="nil" w:sz="6" w:space="0" w:color="auto"/>
            </w:tcBorders>
          </w:tcPr>
          <w:p>
            <w:pPr/>
          </w:p>
        </w:tc>
        <w:tc>
          <w:tcPr>
            <w:tcW w:w="756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0"/>
              <w:ind w:left="129" w:right="0"/>
              <w:jc w:val="left"/>
              <w:rPr>
                <w:rFonts w:ascii="宋体" w:hAnsi="宋体" w:cs="宋体" w:eastAsia="宋体" w:hint="default"/>
                <w:sz w:val="24"/>
                <w:szCs w:val="24"/>
              </w:rPr>
            </w:pPr>
            <w:r>
              <w:rPr>
                <w:rFonts w:ascii="宋体" w:hAnsi="宋体" w:cs="宋体" w:eastAsia="宋体" w:hint="default"/>
                <w:sz w:val="24"/>
                <w:szCs w:val="24"/>
              </w:rPr>
              <w:t>第一层级：相同资产或负债在活跃市场上</w:t>
            </w:r>
            <w:r>
              <w:rPr>
                <w:rFonts w:ascii="Arial" w:hAnsi="Arial" w:cs="Arial" w:eastAsia="Arial" w:hint="default"/>
                <w:sz w:val="24"/>
                <w:szCs w:val="24"/>
              </w:rPr>
              <w:t>(</w:t>
            </w:r>
            <w:r>
              <w:rPr>
                <w:rFonts w:ascii="宋体" w:hAnsi="宋体" w:cs="宋体" w:eastAsia="宋体" w:hint="default"/>
                <w:sz w:val="24"/>
                <w:szCs w:val="24"/>
              </w:rPr>
              <w:t>未经调整</w:t>
            </w:r>
            <w:r>
              <w:rPr>
                <w:rFonts w:ascii="Arial" w:hAnsi="Arial" w:cs="Arial" w:eastAsia="Arial" w:hint="default"/>
                <w:sz w:val="24"/>
                <w:szCs w:val="24"/>
              </w:rPr>
              <w:t>)</w:t>
            </w:r>
            <w:r>
              <w:rPr>
                <w:rFonts w:ascii="宋体" w:hAnsi="宋体" w:cs="宋体" w:eastAsia="宋体" w:hint="default"/>
                <w:sz w:val="24"/>
                <w:szCs w:val="24"/>
              </w:rPr>
              <w:t>的报价。</w:t>
            </w: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r>
        <w:trPr>
          <w:trHeight w:val="894" w:hRule="exact"/>
        </w:trPr>
        <w:tc>
          <w:tcPr>
            <w:tcW w:w="762" w:type="dxa"/>
            <w:tcBorders>
              <w:top w:val="nil" w:sz="6" w:space="0" w:color="auto"/>
              <w:left w:val="nil" w:sz="6" w:space="0" w:color="auto"/>
              <w:bottom w:val="nil" w:sz="6" w:space="0" w:color="auto"/>
              <w:right w:val="nil" w:sz="6" w:space="0" w:color="auto"/>
            </w:tcBorders>
          </w:tcPr>
          <w:p>
            <w:pPr/>
          </w:p>
        </w:tc>
        <w:tc>
          <w:tcPr>
            <w:tcW w:w="9165"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24"/>
              <w:ind w:left="129" w:right="106"/>
              <w:jc w:val="left"/>
              <w:rPr>
                <w:rFonts w:ascii="宋体" w:hAnsi="宋体" w:cs="宋体" w:eastAsia="宋体" w:hint="default"/>
                <w:sz w:val="24"/>
                <w:szCs w:val="24"/>
              </w:rPr>
            </w:pPr>
            <w:r>
              <w:rPr>
                <w:rFonts w:ascii="宋体" w:hAnsi="宋体" w:cs="宋体" w:eastAsia="宋体" w:hint="default"/>
                <w:spacing w:val="-1"/>
                <w:sz w:val="24"/>
                <w:szCs w:val="24"/>
              </w:rPr>
              <w:t>第二层级：直接</w:t>
            </w:r>
            <w:r>
              <w:rPr>
                <w:rFonts w:ascii="Arial" w:hAnsi="Arial" w:cs="Arial" w:eastAsia="Arial" w:hint="default"/>
                <w:spacing w:val="-1"/>
                <w:sz w:val="24"/>
                <w:szCs w:val="24"/>
              </w:rPr>
              <w:t>(</w:t>
            </w:r>
            <w:r>
              <w:rPr>
                <w:rFonts w:ascii="宋体" w:hAnsi="宋体" w:cs="宋体" w:eastAsia="宋体" w:hint="default"/>
                <w:spacing w:val="-1"/>
                <w:sz w:val="24"/>
                <w:szCs w:val="24"/>
              </w:rPr>
              <w:t>比如取自价格</w:t>
            </w:r>
            <w:r>
              <w:rPr>
                <w:rFonts w:ascii="Arial" w:hAnsi="Arial" w:cs="Arial" w:eastAsia="Arial" w:hint="default"/>
                <w:spacing w:val="-1"/>
                <w:sz w:val="24"/>
                <w:szCs w:val="24"/>
              </w:rPr>
              <w:t>)</w:t>
            </w:r>
            <w:r>
              <w:rPr>
                <w:rFonts w:ascii="宋体" w:hAnsi="宋体" w:cs="宋体" w:eastAsia="宋体" w:hint="default"/>
                <w:spacing w:val="-1"/>
                <w:sz w:val="24"/>
                <w:szCs w:val="24"/>
              </w:rPr>
              <w:t>或间接</w:t>
            </w:r>
            <w:r>
              <w:rPr>
                <w:rFonts w:ascii="Arial" w:hAnsi="Arial" w:cs="Arial" w:eastAsia="Arial" w:hint="default"/>
                <w:spacing w:val="-1"/>
                <w:sz w:val="24"/>
                <w:szCs w:val="24"/>
              </w:rPr>
              <w:t>(</w:t>
            </w:r>
            <w:r>
              <w:rPr>
                <w:rFonts w:ascii="宋体" w:hAnsi="宋体" w:cs="宋体" w:eastAsia="宋体" w:hint="default"/>
                <w:spacing w:val="-1"/>
                <w:sz w:val="24"/>
                <w:szCs w:val="24"/>
              </w:rPr>
              <w:t>比如根据价格推算的</w:t>
            </w:r>
            <w:r>
              <w:rPr>
                <w:rFonts w:ascii="Arial" w:hAnsi="Arial" w:cs="Arial" w:eastAsia="Arial" w:hint="default"/>
                <w:spacing w:val="-1"/>
                <w:sz w:val="24"/>
                <w:szCs w:val="24"/>
              </w:rPr>
              <w:t>)</w:t>
            </w:r>
            <w:r>
              <w:rPr>
                <w:rFonts w:ascii="宋体" w:hAnsi="宋体" w:cs="宋体" w:eastAsia="宋体" w:hint="default"/>
                <w:spacing w:val="-1"/>
                <w:sz w:val="24"/>
                <w:szCs w:val="24"/>
              </w:rPr>
              <w:t>可观察到的、除第一层级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中的市场报价以外的资产或负债的输入值。</w:t>
            </w:r>
          </w:p>
        </w:tc>
      </w:tr>
      <w:tr>
        <w:trPr>
          <w:trHeight w:val="906" w:hRule="exact"/>
        </w:trPr>
        <w:tc>
          <w:tcPr>
            <w:tcW w:w="762" w:type="dxa"/>
            <w:tcBorders>
              <w:top w:val="nil" w:sz="6" w:space="0" w:color="auto"/>
              <w:left w:val="nil" w:sz="6" w:space="0" w:color="auto"/>
              <w:bottom w:val="nil" w:sz="6" w:space="0" w:color="auto"/>
              <w:right w:val="nil" w:sz="6" w:space="0" w:color="auto"/>
            </w:tcBorders>
          </w:tcPr>
          <w:p>
            <w:pPr/>
          </w:p>
        </w:tc>
        <w:tc>
          <w:tcPr>
            <w:tcW w:w="9165"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30"/>
              <w:ind w:left="129" w:right="107"/>
              <w:jc w:val="left"/>
              <w:rPr>
                <w:rFonts w:ascii="宋体" w:hAnsi="宋体" w:cs="宋体" w:eastAsia="宋体" w:hint="default"/>
                <w:sz w:val="24"/>
                <w:szCs w:val="24"/>
              </w:rPr>
            </w:pPr>
            <w:r>
              <w:rPr>
                <w:rFonts w:ascii="宋体" w:hAnsi="宋体" w:cs="宋体" w:eastAsia="宋体" w:hint="default"/>
                <w:spacing w:val="-1"/>
                <w:sz w:val="24"/>
                <w:szCs w:val="24"/>
              </w:rPr>
              <w:t>第三层级：以可观察到的市场数据以外的变量为基础确定的资产或负债的输入值</w:t>
            </w:r>
            <w:r>
              <w:rPr>
                <w:rFonts w:ascii="Arial" w:hAnsi="Arial" w:cs="Arial" w:eastAsia="Arial" w:hint="default"/>
                <w:spacing w:val="-1"/>
                <w:sz w:val="24"/>
                <w:szCs w:val="24"/>
              </w:rPr>
              <w:t>(</w:t>
            </w:r>
            <w:r>
              <w:rPr>
                <w:rFonts w:ascii="宋体" w:hAnsi="宋体" w:cs="宋体" w:eastAsia="宋体" w:hint="default"/>
                <w:spacing w:val="-1"/>
                <w:sz w:val="24"/>
                <w:szCs w:val="24"/>
              </w:rPr>
              <w:t>不可</w:t>
            </w:r>
            <w:r>
              <w:rPr>
                <w:rFonts w:ascii="宋体" w:hAnsi="宋体" w:cs="宋体" w:eastAsia="宋体" w:hint="default"/>
                <w:spacing w:val="-117"/>
                <w:sz w:val="24"/>
                <w:szCs w:val="24"/>
              </w:rPr>
              <w:t> </w:t>
            </w:r>
            <w:r>
              <w:rPr>
                <w:rFonts w:ascii="宋体" w:hAnsi="宋体" w:cs="宋体" w:eastAsia="宋体" w:hint="default"/>
                <w:sz w:val="24"/>
                <w:szCs w:val="24"/>
              </w:rPr>
              <w:t>观察输入值</w:t>
            </w:r>
            <w:r>
              <w:rPr>
                <w:rFonts w:ascii="Arial" w:hAnsi="Arial" w:cs="Arial" w:eastAsia="Arial" w:hint="default"/>
                <w:sz w:val="24"/>
                <w:szCs w:val="24"/>
              </w:rPr>
              <w:t>)</w:t>
            </w:r>
            <w:r>
              <w:rPr>
                <w:rFonts w:ascii="宋体" w:hAnsi="宋体" w:cs="宋体" w:eastAsia="宋体" w:hint="default"/>
                <w:sz w:val="24"/>
                <w:szCs w:val="24"/>
              </w:rPr>
              <w:t>。</w:t>
            </w:r>
          </w:p>
        </w:tc>
      </w:tr>
      <w:tr>
        <w:trPr>
          <w:trHeight w:val="588" w:hRule="exact"/>
        </w:trPr>
        <w:tc>
          <w:tcPr>
            <w:tcW w:w="762" w:type="dxa"/>
            <w:tcBorders>
              <w:top w:val="nil" w:sz="6" w:space="0" w:color="auto"/>
              <w:left w:val="nil" w:sz="6" w:space="0" w:color="auto"/>
              <w:bottom w:val="nil" w:sz="6" w:space="0" w:color="auto"/>
              <w:right w:val="nil" w:sz="6" w:space="0" w:color="auto"/>
            </w:tcBorders>
          </w:tcPr>
          <w:p>
            <w:pPr/>
          </w:p>
        </w:tc>
        <w:tc>
          <w:tcPr>
            <w:tcW w:w="916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4"/>
              <w:ind w:left="129"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日，以公允价值计量的金融资产按上述三个层级列示如下：</w:t>
            </w:r>
          </w:p>
        </w:tc>
      </w:tr>
      <w:tr>
        <w:trPr>
          <w:trHeight w:val="444" w:hRule="exact"/>
        </w:trPr>
        <w:tc>
          <w:tcPr>
            <w:tcW w:w="762"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6" w:hRule="exact"/>
        </w:trPr>
        <w:tc>
          <w:tcPr>
            <w:tcW w:w="762"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293" w:lineRule="exact"/>
              <w:ind w:left="129" w:right="0"/>
              <w:jc w:val="left"/>
              <w:rPr>
                <w:rFonts w:ascii="Arial" w:hAnsi="Arial" w:cs="Arial" w:eastAsia="Arial" w:hint="default"/>
                <w:sz w:val="24"/>
                <w:szCs w:val="24"/>
              </w:rPr>
            </w:pPr>
            <w:r>
              <w:rPr>
                <w:rFonts w:ascii="宋体" w:hAnsi="宋体" w:cs="宋体" w:eastAsia="宋体" w:hint="default"/>
                <w:sz w:val="24"/>
                <w:szCs w:val="24"/>
              </w:rPr>
              <w:t>可供出售金融资产 </w:t>
            </w:r>
            <w:r>
              <w:rPr>
                <w:rFonts w:ascii="Arial" w:hAnsi="Arial" w:cs="Arial" w:eastAsia="Arial" w:hint="default"/>
                <w:sz w:val="24"/>
                <w:szCs w:val="24"/>
              </w:rPr>
              <w:t>-</w:t>
            </w:r>
          </w:p>
        </w:tc>
        <w:tc>
          <w:tcPr>
            <w:tcW w:w="127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r>
      <w:tr>
        <w:trPr>
          <w:trHeight w:val="326" w:hRule="exact"/>
        </w:trPr>
        <w:tc>
          <w:tcPr>
            <w:tcW w:w="762"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Style w:val="TableParagraph"/>
              <w:spacing w:line="273" w:lineRule="exact"/>
              <w:ind w:left="307" w:right="0"/>
              <w:jc w:val="left"/>
              <w:rPr>
                <w:rFonts w:ascii="宋体" w:hAnsi="宋体" w:cs="宋体" w:eastAsia="宋体" w:hint="default"/>
                <w:sz w:val="24"/>
                <w:szCs w:val="24"/>
              </w:rPr>
            </w:pPr>
            <w:r>
              <w:rPr>
                <w:rFonts w:ascii="宋体" w:hAnsi="宋体" w:cs="宋体" w:eastAsia="宋体" w:hint="default"/>
                <w:sz w:val="24"/>
                <w:szCs w:val="24"/>
              </w:rPr>
              <w:t>股票投资</w:t>
            </w:r>
          </w:p>
        </w:tc>
        <w:tc>
          <w:tcPr>
            <w:tcW w:w="1274" w:type="dxa"/>
            <w:tcBorders>
              <w:top w:val="nil" w:sz="6" w:space="0" w:color="auto"/>
              <w:left w:val="nil" w:sz="6" w:space="0" w:color="auto"/>
              <w:bottom w:val="single" w:sz="12" w:space="0" w:color="000000"/>
              <w:right w:val="nil" w:sz="6" w:space="0" w:color="auto"/>
            </w:tcBorders>
          </w:tcPr>
          <w:p>
            <w:pPr>
              <w:pStyle w:val="TableParagraph"/>
              <w:spacing w:line="273" w:lineRule="exact"/>
              <w:ind w:right="102"/>
              <w:jc w:val="right"/>
              <w:rPr>
                <w:rFonts w:ascii="Arial" w:hAnsi="Arial" w:cs="Arial" w:eastAsia="Arial" w:hint="default"/>
                <w:sz w:val="24"/>
                <w:szCs w:val="24"/>
              </w:rPr>
            </w:pPr>
            <w:r>
              <w:rPr>
                <w:rFonts w:ascii="Arial"/>
                <w:spacing w:val="-1"/>
                <w:sz w:val="24"/>
              </w:rPr>
              <w:t>1,764</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2" w:space="0" w:color="000000"/>
              <w:right w:val="nil" w:sz="6" w:space="0" w:color="auto"/>
            </w:tcBorders>
          </w:tcPr>
          <w:p>
            <w:pPr>
              <w:pStyle w:val="TableParagraph"/>
              <w:spacing w:line="273" w:lineRule="exact"/>
              <w:ind w:right="102"/>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12" w:space="0" w:color="000000"/>
              <w:right w:val="nil" w:sz="6" w:space="0" w:color="auto"/>
            </w:tcBorders>
          </w:tcPr>
          <w:p>
            <w:pPr>
              <w:pStyle w:val="TableParagraph"/>
              <w:spacing w:line="273" w:lineRule="exact"/>
              <w:ind w:right="105"/>
              <w:jc w:val="right"/>
              <w:rPr>
                <w:rFonts w:ascii="Arial" w:hAnsi="Arial" w:cs="Arial" w:eastAsia="Arial" w:hint="default"/>
                <w:sz w:val="24"/>
                <w:szCs w:val="24"/>
              </w:rPr>
            </w:pPr>
            <w:r>
              <w:rPr>
                <w:rFonts w:ascii="Arial"/>
                <w:w w:val="99"/>
                <w:sz w:val="24"/>
              </w:rPr>
              <w:t>-</w:t>
            </w:r>
            <w:r>
              <w:rPr>
                <w:rFonts w:ascii="Arial"/>
                <w:sz w:val="24"/>
              </w:rPr>
            </w: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12" w:space="0" w:color="000000"/>
              <w:right w:val="nil" w:sz="6" w:space="0" w:color="auto"/>
            </w:tcBorders>
          </w:tcPr>
          <w:p>
            <w:pPr>
              <w:pStyle w:val="TableParagraph"/>
              <w:spacing w:line="273" w:lineRule="exact"/>
              <w:ind w:right="102"/>
              <w:jc w:val="right"/>
              <w:rPr>
                <w:rFonts w:ascii="Arial" w:hAnsi="Arial" w:cs="Arial" w:eastAsia="Arial" w:hint="default"/>
                <w:sz w:val="24"/>
                <w:szCs w:val="24"/>
              </w:rPr>
            </w:pPr>
            <w:r>
              <w:rPr>
                <w:rFonts w:ascii="Arial"/>
                <w:spacing w:val="-1"/>
                <w:sz w:val="24"/>
              </w:rPr>
              <w:t>1,764</w:t>
            </w:r>
          </w:p>
        </w:tc>
      </w:tr>
      <w:tr>
        <w:trPr>
          <w:trHeight w:val="746" w:hRule="exact"/>
        </w:trPr>
        <w:tc>
          <w:tcPr>
            <w:tcW w:w="762" w:type="dxa"/>
            <w:tcBorders>
              <w:top w:val="nil" w:sz="6" w:space="0" w:color="auto"/>
              <w:left w:val="nil" w:sz="6" w:space="0" w:color="auto"/>
              <w:bottom w:val="nil" w:sz="6" w:space="0" w:color="auto"/>
              <w:right w:val="nil" w:sz="6" w:space="0" w:color="auto"/>
            </w:tcBorders>
          </w:tcPr>
          <w:p>
            <w:pPr/>
          </w:p>
        </w:tc>
        <w:tc>
          <w:tcPr>
            <w:tcW w:w="585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9" w:right="-2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日，无以公允价值计量的金融资产</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w:t>
            </w:r>
          </w:p>
        </w:tc>
        <w:tc>
          <w:tcPr>
            <w:tcW w:w="1436"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nil" w:sz="6" w:space="0" w:color="auto"/>
              <w:right w:val="nil" w:sz="6" w:space="0" w:color="auto"/>
            </w:tcBorders>
          </w:tcPr>
          <w:p>
            <w:pPr/>
          </w:p>
        </w:tc>
      </w:tr>
      <w:tr>
        <w:trPr>
          <w:trHeight w:val="1032" w:hRule="exact"/>
        </w:trPr>
        <w:tc>
          <w:tcPr>
            <w:tcW w:w="762" w:type="dxa"/>
            <w:tcBorders>
              <w:top w:val="nil" w:sz="6" w:space="0" w:color="auto"/>
              <w:left w:val="nil" w:sz="6" w:space="0" w:color="auto"/>
              <w:bottom w:val="nil" w:sz="6" w:space="0" w:color="auto"/>
              <w:right w:val="nil" w:sz="6" w:space="0" w:color="auto"/>
            </w:tcBorders>
          </w:tcPr>
          <w:p>
            <w:pPr/>
          </w:p>
        </w:tc>
        <w:tc>
          <w:tcPr>
            <w:tcW w:w="9165"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24"/>
              <w:ind w:left="129" w:right="107"/>
              <w:jc w:val="both"/>
              <w:rPr>
                <w:rFonts w:ascii="宋体" w:hAnsi="宋体" w:cs="宋体" w:eastAsia="宋体" w:hint="default"/>
                <w:sz w:val="24"/>
                <w:szCs w:val="24"/>
              </w:rPr>
            </w:pPr>
            <w:r>
              <w:rPr>
                <w:rFonts w:ascii="宋体" w:hAnsi="宋体" w:cs="宋体" w:eastAsia="宋体" w:hint="default"/>
                <w:sz w:val="24"/>
                <w:szCs w:val="24"/>
              </w:rPr>
              <w:t>该金融资产为本集团 </w:t>
            </w:r>
            <w:r>
              <w:rPr>
                <w:rFonts w:ascii="Arial" w:hAnsi="Arial" w:cs="Arial" w:eastAsia="Arial" w:hint="default"/>
                <w:spacing w:val="-4"/>
                <w:sz w:val="24"/>
                <w:szCs w:val="24"/>
              </w:rPr>
              <w:t>2011</w:t>
            </w:r>
            <w:r>
              <w:rPr>
                <w:rFonts w:ascii="Arial" w:hAnsi="Arial" w:cs="Arial" w:eastAsia="Arial" w:hint="default"/>
                <w:spacing w:val="58"/>
                <w:sz w:val="24"/>
                <w:szCs w:val="24"/>
              </w:rPr>
              <w:t> </w:t>
            </w:r>
            <w:r>
              <w:rPr>
                <w:rFonts w:ascii="宋体" w:hAnsi="宋体" w:cs="宋体" w:eastAsia="宋体" w:hint="default"/>
                <w:sz w:val="24"/>
                <w:szCs w:val="24"/>
              </w:rPr>
              <w:t>年度通过非同一控制下企业合并新纳入合并范围内的子公 司，</w:t>
            </w:r>
            <w:r>
              <w:rPr>
                <w:rFonts w:ascii="Arial" w:hAnsi="Arial" w:cs="Arial" w:eastAsia="Arial" w:hint="default"/>
                <w:sz w:val="24"/>
                <w:szCs w:val="24"/>
              </w:rPr>
              <w:t>LAOX</w:t>
            </w:r>
            <w:r>
              <w:rPr>
                <w:rFonts w:ascii="Arial" w:hAnsi="Arial" w:cs="Arial" w:eastAsia="Arial" w:hint="default"/>
                <w:spacing w:val="54"/>
                <w:sz w:val="24"/>
                <w:szCs w:val="24"/>
              </w:rPr>
              <w:t> </w:t>
            </w:r>
            <w:r>
              <w:rPr>
                <w:rFonts w:ascii="宋体" w:hAnsi="宋体" w:cs="宋体" w:eastAsia="宋体" w:hint="default"/>
                <w:sz w:val="24"/>
                <w:szCs w:val="24"/>
              </w:rPr>
              <w:t>株式会社购买的股票投资，该股票投资存在活跃的市场，以活跃市场中的 报价确定其公允价值。</w:t>
            </w:r>
          </w:p>
        </w:tc>
      </w:tr>
    </w:tbl>
    <w:p>
      <w:pPr>
        <w:spacing w:after="0" w:line="312" w:lineRule="exact"/>
        <w:jc w:val="both"/>
        <w:rPr>
          <w:rFonts w:ascii="宋体" w:hAnsi="宋体" w:cs="宋体" w:eastAsia="宋体"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76"/>
        <w:gridCol w:w="1985"/>
        <w:gridCol w:w="1135"/>
        <w:gridCol w:w="455"/>
        <w:gridCol w:w="337"/>
        <w:gridCol w:w="238"/>
        <w:gridCol w:w="908"/>
        <w:gridCol w:w="660"/>
        <w:gridCol w:w="238"/>
        <w:gridCol w:w="454"/>
        <w:gridCol w:w="538"/>
        <w:gridCol w:w="872"/>
        <w:gridCol w:w="136"/>
        <w:gridCol w:w="842"/>
        <w:gridCol w:w="708"/>
      </w:tblGrid>
      <w:tr>
        <w:trPr>
          <w:trHeight w:val="69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十二</w:t>
            </w:r>
            <w:r>
              <w:rPr>
                <w:rFonts w:ascii="宋体" w:hAnsi="宋体" w:cs="宋体" w:eastAsia="宋体" w:hint="default"/>
                <w:sz w:val="24"/>
                <w:szCs w:val="24"/>
              </w:rPr>
            </w:r>
          </w:p>
        </w:tc>
        <w:tc>
          <w:tcPr>
            <w:tcW w:w="3575"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124" w:right="0"/>
              <w:jc w:val="left"/>
              <w:rPr>
                <w:rFonts w:ascii="宋体" w:hAnsi="宋体" w:cs="宋体" w:eastAsia="宋体" w:hint="default"/>
                <w:sz w:val="24"/>
                <w:szCs w:val="24"/>
              </w:rPr>
            </w:pPr>
            <w:r>
              <w:rPr>
                <w:rFonts w:ascii="宋体" w:hAnsi="宋体" w:cs="宋体" w:eastAsia="宋体" w:hint="default"/>
                <w:b/>
                <w:bCs/>
                <w:sz w:val="24"/>
                <w:szCs w:val="24"/>
              </w:rPr>
              <w:t>以公允价值计量的资产和负债</w:t>
            </w:r>
            <w:r>
              <w:rPr>
                <w:rFonts w:ascii="宋体" w:hAnsi="宋体" w:cs="宋体" w:eastAsia="宋体" w:hint="default"/>
                <w:sz w:val="24"/>
                <w:szCs w:val="24"/>
              </w:rPr>
            </w:r>
          </w:p>
        </w:tc>
        <w:tc>
          <w:tcPr>
            <w:tcW w:w="337"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908" w:type="dxa"/>
            <w:tcBorders>
              <w:top w:val="single" w:sz="6" w:space="0" w:color="000000"/>
              <w:left w:val="nil" w:sz="6" w:space="0" w:color="auto"/>
              <w:bottom w:val="nil" w:sz="6" w:space="0" w:color="auto"/>
              <w:right w:val="nil" w:sz="6" w:space="0" w:color="auto"/>
            </w:tcBorders>
          </w:tcPr>
          <w:p>
            <w:pPr/>
          </w:p>
        </w:tc>
        <w:tc>
          <w:tcPr>
            <w:tcW w:w="660" w:type="dxa"/>
            <w:tcBorders>
              <w:top w:val="single" w:sz="6" w:space="0" w:color="000000"/>
              <w:left w:val="nil" w:sz="6" w:space="0" w:color="auto"/>
              <w:bottom w:val="nil" w:sz="6" w:space="0" w:color="auto"/>
              <w:right w:val="nil" w:sz="6" w:space="0" w:color="auto"/>
            </w:tcBorders>
          </w:tcPr>
          <w:p>
            <w:pPr/>
          </w:p>
        </w:tc>
        <w:tc>
          <w:tcPr>
            <w:tcW w:w="238" w:type="dxa"/>
            <w:tcBorders>
              <w:top w:val="single" w:sz="6" w:space="0" w:color="000000"/>
              <w:left w:val="nil" w:sz="6" w:space="0" w:color="auto"/>
              <w:bottom w:val="nil" w:sz="6" w:space="0" w:color="auto"/>
              <w:right w:val="nil" w:sz="6" w:space="0" w:color="auto"/>
            </w:tcBorders>
          </w:tcPr>
          <w:p>
            <w:pPr/>
          </w:p>
        </w:tc>
        <w:tc>
          <w:tcPr>
            <w:tcW w:w="454" w:type="dxa"/>
            <w:tcBorders>
              <w:top w:val="single" w:sz="6" w:space="0" w:color="000000"/>
              <w:left w:val="nil" w:sz="6" w:space="0" w:color="auto"/>
              <w:bottom w:val="nil" w:sz="6" w:space="0" w:color="auto"/>
              <w:right w:val="nil" w:sz="6" w:space="0" w:color="auto"/>
            </w:tcBorders>
          </w:tcPr>
          <w:p>
            <w:pPr/>
          </w:p>
        </w:tc>
        <w:tc>
          <w:tcPr>
            <w:tcW w:w="538" w:type="dxa"/>
            <w:tcBorders>
              <w:top w:val="single" w:sz="6" w:space="0" w:color="000000"/>
              <w:left w:val="nil" w:sz="6" w:space="0" w:color="auto"/>
              <w:bottom w:val="nil" w:sz="6" w:space="0" w:color="auto"/>
              <w:right w:val="nil" w:sz="6" w:space="0" w:color="auto"/>
            </w:tcBorders>
          </w:tcPr>
          <w:p>
            <w:pPr/>
          </w:p>
        </w:tc>
        <w:tc>
          <w:tcPr>
            <w:tcW w:w="872" w:type="dxa"/>
            <w:tcBorders>
              <w:top w:val="single" w:sz="6" w:space="0" w:color="000000"/>
              <w:left w:val="nil" w:sz="6" w:space="0" w:color="auto"/>
              <w:bottom w:val="nil" w:sz="6" w:space="0" w:color="auto"/>
              <w:right w:val="nil" w:sz="6" w:space="0" w:color="auto"/>
            </w:tcBorders>
          </w:tcPr>
          <w:p>
            <w:pPr/>
          </w:p>
        </w:tc>
        <w:tc>
          <w:tcPr>
            <w:tcW w:w="136" w:type="dxa"/>
            <w:tcBorders>
              <w:top w:val="single" w:sz="6" w:space="0" w:color="000000"/>
              <w:left w:val="nil" w:sz="6" w:space="0" w:color="auto"/>
              <w:bottom w:val="nil" w:sz="6" w:space="0" w:color="auto"/>
              <w:right w:val="nil" w:sz="6" w:space="0" w:color="auto"/>
            </w:tcBorders>
          </w:tcPr>
          <w:p>
            <w:pPr/>
          </w:p>
        </w:tc>
        <w:tc>
          <w:tcPr>
            <w:tcW w:w="842" w:type="dxa"/>
            <w:tcBorders>
              <w:top w:val="single" w:sz="6" w:space="0" w:color="000000"/>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1080"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322" w:lineRule="exact"/>
              <w:ind w:left="57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p>
          <w:p>
            <w:pPr>
              <w:pStyle w:val="TableParagraph"/>
              <w:spacing w:line="322" w:lineRule="exact"/>
              <w:ind w:left="21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1483"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66"/>
              <w:ind w:left="178" w:right="101" w:firstLine="240"/>
              <w:jc w:val="left"/>
              <w:rPr>
                <w:rFonts w:ascii="宋体" w:hAnsi="宋体" w:cs="宋体" w:eastAsia="宋体" w:hint="default"/>
                <w:sz w:val="24"/>
                <w:szCs w:val="24"/>
              </w:rPr>
            </w:pPr>
            <w:r>
              <w:rPr>
                <w:rFonts w:ascii="宋体" w:hAnsi="宋体" w:cs="宋体" w:eastAsia="宋体" w:hint="default"/>
                <w:sz w:val="24"/>
                <w:szCs w:val="24"/>
              </w:rPr>
              <w:t>本年收购 子公司带入</w:t>
            </w:r>
          </w:p>
        </w:tc>
        <w:tc>
          <w:tcPr>
            <w:tcW w:w="1351"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0"/>
              <w:ind w:left="114" w:right="35" w:firstLine="240"/>
              <w:jc w:val="left"/>
              <w:rPr>
                <w:rFonts w:ascii="宋体" w:hAnsi="宋体" w:cs="宋体" w:eastAsia="宋体" w:hint="default"/>
                <w:sz w:val="24"/>
                <w:szCs w:val="24"/>
              </w:rPr>
            </w:pPr>
            <w:r>
              <w:rPr>
                <w:rFonts w:ascii="宋体" w:hAnsi="宋体" w:cs="宋体" w:eastAsia="宋体" w:hint="default"/>
                <w:sz w:val="24"/>
                <w:szCs w:val="24"/>
              </w:rPr>
              <w:t>计入权益 的公允价值</w:t>
            </w:r>
          </w:p>
          <w:p>
            <w:pPr>
              <w:pStyle w:val="TableParagraph"/>
              <w:spacing w:line="283" w:lineRule="exact"/>
              <w:ind w:left="834" w:right="0"/>
              <w:jc w:val="left"/>
              <w:rPr>
                <w:rFonts w:ascii="宋体" w:hAnsi="宋体" w:cs="宋体" w:eastAsia="宋体" w:hint="default"/>
                <w:sz w:val="24"/>
                <w:szCs w:val="24"/>
              </w:rPr>
            </w:pPr>
            <w:r>
              <w:rPr>
                <w:rFonts w:ascii="宋体" w:hAnsi="宋体" w:cs="宋体" w:eastAsia="宋体" w:hint="default"/>
                <w:sz w:val="24"/>
                <w:szCs w:val="24"/>
              </w:rPr>
              <w:t>变动</w:t>
            </w:r>
          </w:p>
        </w:tc>
        <w:tc>
          <w:tcPr>
            <w:tcW w:w="15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313" w:lineRule="exact"/>
              <w:ind w:left="208" w:right="0"/>
              <w:jc w:val="left"/>
              <w:rPr>
                <w:rFonts w:ascii="宋体" w:hAnsi="宋体" w:cs="宋体" w:eastAsia="宋体" w:hint="default"/>
                <w:sz w:val="24"/>
                <w:szCs w:val="24"/>
              </w:rPr>
            </w:pPr>
            <w:r>
              <w:rPr>
                <w:rFonts w:ascii="宋体" w:hAnsi="宋体" w:cs="宋体" w:eastAsia="宋体" w:hint="default"/>
                <w:sz w:val="24"/>
                <w:szCs w:val="24"/>
              </w:rPr>
              <w:t>本年度计提</w:t>
            </w:r>
          </w:p>
          <w:p>
            <w:pPr>
              <w:pStyle w:val="TableParagraph"/>
              <w:spacing w:line="313" w:lineRule="exact"/>
              <w:ind w:left="688" w:right="0"/>
              <w:jc w:val="left"/>
              <w:rPr>
                <w:rFonts w:ascii="宋体" w:hAnsi="宋体" w:cs="宋体" w:eastAsia="宋体" w:hint="default"/>
                <w:sz w:val="24"/>
                <w:szCs w:val="24"/>
              </w:rPr>
            </w:pPr>
            <w:r>
              <w:rPr>
                <w:rFonts w:ascii="宋体" w:hAnsi="宋体" w:cs="宋体" w:eastAsia="宋体" w:hint="default"/>
                <w:sz w:val="24"/>
                <w:szCs w:val="24"/>
              </w:rPr>
              <w:t>的减值</w:t>
            </w: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322" w:lineRule="exact"/>
              <w:ind w:left="609"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w:t>
            </w:r>
          </w:p>
          <w:p>
            <w:pPr>
              <w:pStyle w:val="TableParagraph"/>
              <w:spacing w:line="322" w:lineRule="exact"/>
              <w:ind w:left="23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635" w:hRule="exact"/>
        </w:trPr>
        <w:tc>
          <w:tcPr>
            <w:tcW w:w="776" w:type="dxa"/>
            <w:tcBorders>
              <w:top w:val="nil" w:sz="6" w:space="0" w:color="auto"/>
              <w:left w:val="nil" w:sz="6" w:space="0" w:color="auto"/>
              <w:bottom w:val="nil" w:sz="6" w:space="0" w:color="auto"/>
              <w:right w:val="nil" w:sz="6" w:space="0" w:color="auto"/>
            </w:tcBorders>
          </w:tcPr>
          <w:p>
            <w:pPr/>
          </w:p>
        </w:tc>
        <w:tc>
          <w:tcPr>
            <w:tcW w:w="3120"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28" w:right="0"/>
              <w:jc w:val="left"/>
              <w:rPr>
                <w:rFonts w:ascii="宋体" w:hAnsi="宋体" w:cs="宋体" w:eastAsia="宋体" w:hint="default"/>
                <w:sz w:val="24"/>
                <w:szCs w:val="24"/>
              </w:rPr>
            </w:pPr>
            <w:r>
              <w:rPr>
                <w:rFonts w:ascii="宋体" w:hAnsi="宋体" w:cs="宋体" w:eastAsia="宋体" w:hint="default"/>
                <w:spacing w:val="9"/>
                <w:sz w:val="24"/>
                <w:szCs w:val="24"/>
              </w:rPr>
              <w:t>可供出售金融资产</w:t>
            </w:r>
            <w:r>
              <w:rPr>
                <w:rFonts w:ascii="宋体" w:hAnsi="宋体" w:cs="宋体" w:eastAsia="宋体" w:hint="default"/>
                <w:sz w:val="24"/>
                <w:szCs w:val="24"/>
              </w:rPr>
            </w:r>
          </w:p>
          <w:p>
            <w:pPr>
              <w:pStyle w:val="TableParagraph"/>
              <w:spacing w:line="331" w:lineRule="exact"/>
              <w:ind w:left="32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股票投资</w:t>
            </w:r>
          </w:p>
        </w:tc>
        <w:tc>
          <w:tcPr>
            <w:tcW w:w="45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4" w:right="0"/>
              <w:jc w:val="center"/>
              <w:rPr>
                <w:rFonts w:ascii="Arial" w:hAnsi="Arial" w:cs="Arial" w:eastAsia="Arial" w:hint="default"/>
                <w:sz w:val="24"/>
                <w:szCs w:val="24"/>
              </w:rPr>
            </w:pPr>
            <w:r>
              <w:rPr>
                <w:rFonts w:ascii="Arial"/>
                <w:w w:val="99"/>
                <w:sz w:val="24"/>
              </w:rPr>
              <w:t>-</w:t>
            </w:r>
            <w:r>
              <w:rPr>
                <w:rFonts w:ascii="Arial"/>
                <w:sz w:val="24"/>
              </w:rPr>
            </w:r>
          </w:p>
        </w:tc>
        <w:tc>
          <w:tcPr>
            <w:tcW w:w="337" w:type="dxa"/>
            <w:tcBorders>
              <w:top w:val="nil" w:sz="6" w:space="0" w:color="auto"/>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single" w:sz="12" w:space="0" w:color="000000"/>
              <w:right w:val="nil" w:sz="6" w:space="0" w:color="auto"/>
            </w:tcBorders>
          </w:tcPr>
          <w:p>
            <w:pPr/>
          </w:p>
        </w:tc>
        <w:tc>
          <w:tcPr>
            <w:tcW w:w="908"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03" w:right="0"/>
              <w:jc w:val="left"/>
              <w:rPr>
                <w:rFonts w:ascii="Arial" w:hAnsi="Arial" w:cs="Arial" w:eastAsia="Arial" w:hint="default"/>
                <w:sz w:val="24"/>
                <w:szCs w:val="24"/>
              </w:rPr>
            </w:pPr>
            <w:r>
              <w:rPr>
                <w:rFonts w:ascii="Arial"/>
                <w:sz w:val="24"/>
              </w:rPr>
              <w:t>1,004</w:t>
            </w:r>
          </w:p>
        </w:tc>
        <w:tc>
          <w:tcPr>
            <w:tcW w:w="660" w:type="dxa"/>
            <w:tcBorders>
              <w:top w:val="nil" w:sz="6" w:space="0" w:color="auto"/>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single" w:sz="12" w:space="0" w:color="000000"/>
              <w:right w:val="nil" w:sz="6" w:space="0" w:color="auto"/>
            </w:tcBorders>
          </w:tcPr>
          <w:p>
            <w:pPr/>
          </w:p>
        </w:tc>
        <w:tc>
          <w:tcPr>
            <w:tcW w:w="45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6" w:right="0"/>
              <w:jc w:val="left"/>
              <w:rPr>
                <w:rFonts w:ascii="Arial" w:hAnsi="Arial" w:cs="Arial" w:eastAsia="Arial" w:hint="default"/>
                <w:sz w:val="24"/>
                <w:szCs w:val="24"/>
              </w:rPr>
            </w:pPr>
            <w:r>
              <w:rPr>
                <w:rFonts w:ascii="Arial"/>
                <w:sz w:val="24"/>
              </w:rPr>
              <w:t>760</w:t>
            </w:r>
          </w:p>
        </w:tc>
        <w:tc>
          <w:tcPr>
            <w:tcW w:w="538" w:type="dxa"/>
            <w:tcBorders>
              <w:top w:val="nil" w:sz="6" w:space="0" w:color="auto"/>
              <w:left w:val="nil" w:sz="6" w:space="0" w:color="auto"/>
              <w:bottom w:val="single" w:sz="12" w:space="0" w:color="000000"/>
              <w:right w:val="nil" w:sz="6" w:space="0" w:color="auto"/>
            </w:tcBorders>
          </w:tcPr>
          <w:p>
            <w:pPr/>
          </w:p>
        </w:tc>
        <w:tc>
          <w:tcPr>
            <w:tcW w:w="87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0"/>
              <w:jc w:val="right"/>
              <w:rPr>
                <w:rFonts w:ascii="Arial" w:hAnsi="Arial" w:cs="Arial" w:eastAsia="Arial" w:hint="default"/>
                <w:sz w:val="24"/>
                <w:szCs w:val="24"/>
              </w:rPr>
            </w:pPr>
            <w:r>
              <w:rPr>
                <w:rFonts w:ascii="Arial"/>
                <w:w w:val="99"/>
                <w:sz w:val="24"/>
              </w:rPr>
              <w:t>-</w:t>
            </w:r>
            <w:r>
              <w:rPr>
                <w:rFonts w:ascii="Arial"/>
                <w:sz w:val="24"/>
              </w:rPr>
            </w:r>
          </w:p>
        </w:tc>
        <w:tc>
          <w:tcPr>
            <w:tcW w:w="136" w:type="dxa"/>
            <w:tcBorders>
              <w:top w:val="nil" w:sz="6" w:space="0" w:color="auto"/>
              <w:left w:val="nil" w:sz="6" w:space="0" w:color="auto"/>
              <w:bottom w:val="single" w:sz="12" w:space="0" w:color="000000"/>
              <w:right w:val="nil" w:sz="6" w:space="0" w:color="auto"/>
            </w:tcBorders>
          </w:tcPr>
          <w:p>
            <w:pPr/>
          </w:p>
        </w:tc>
        <w:tc>
          <w:tcPr>
            <w:tcW w:w="1550"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825" w:right="0"/>
              <w:jc w:val="left"/>
              <w:rPr>
                <w:rFonts w:ascii="Arial" w:hAnsi="Arial" w:cs="Arial" w:eastAsia="Arial" w:hint="default"/>
                <w:sz w:val="24"/>
                <w:szCs w:val="24"/>
              </w:rPr>
            </w:pPr>
            <w:r>
              <w:rPr>
                <w:rFonts w:ascii="Arial"/>
                <w:sz w:val="24"/>
              </w:rPr>
              <w:t>1,764</w:t>
            </w:r>
          </w:p>
        </w:tc>
      </w:tr>
      <w:tr>
        <w:trPr>
          <w:trHeight w:val="73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312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宋体" w:hAnsi="宋体" w:cs="宋体" w:eastAsia="宋体" w:hint="default"/>
                <w:sz w:val="24"/>
                <w:szCs w:val="24"/>
              </w:rPr>
            </w:pPr>
            <w:r>
              <w:rPr>
                <w:rFonts w:ascii="宋体" w:hAnsi="宋体" w:cs="宋体" w:eastAsia="宋体" w:hint="default"/>
                <w:b/>
                <w:bCs/>
                <w:sz w:val="24"/>
                <w:szCs w:val="24"/>
              </w:rPr>
              <w:t>公司财务报表附注</w:t>
            </w:r>
            <w:r>
              <w:rPr>
                <w:rFonts w:ascii="宋体" w:hAnsi="宋体" w:cs="宋体" w:eastAsia="宋体" w:hint="default"/>
                <w:sz w:val="24"/>
                <w:szCs w:val="24"/>
              </w:rPr>
            </w:r>
          </w:p>
        </w:tc>
        <w:tc>
          <w:tcPr>
            <w:tcW w:w="455" w:type="dxa"/>
            <w:tcBorders>
              <w:top w:val="single" w:sz="12" w:space="0" w:color="000000"/>
              <w:left w:val="nil" w:sz="6" w:space="0" w:color="auto"/>
              <w:bottom w:val="nil" w:sz="6" w:space="0" w:color="auto"/>
              <w:right w:val="nil" w:sz="6" w:space="0" w:color="auto"/>
            </w:tcBorders>
          </w:tcPr>
          <w:p>
            <w:pPr/>
          </w:p>
        </w:tc>
        <w:tc>
          <w:tcPr>
            <w:tcW w:w="337"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908" w:type="dxa"/>
            <w:tcBorders>
              <w:top w:val="single" w:sz="12" w:space="0" w:color="000000"/>
              <w:left w:val="nil" w:sz="6" w:space="0" w:color="auto"/>
              <w:bottom w:val="nil" w:sz="6" w:space="0" w:color="auto"/>
              <w:right w:val="nil" w:sz="6" w:space="0" w:color="auto"/>
            </w:tcBorders>
          </w:tcPr>
          <w:p>
            <w:pPr/>
          </w:p>
        </w:tc>
        <w:tc>
          <w:tcPr>
            <w:tcW w:w="660"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454" w:type="dxa"/>
            <w:tcBorders>
              <w:top w:val="single" w:sz="12" w:space="0" w:color="000000"/>
              <w:left w:val="nil" w:sz="6" w:space="0" w:color="auto"/>
              <w:bottom w:val="nil" w:sz="6" w:space="0" w:color="auto"/>
              <w:right w:val="nil" w:sz="6" w:space="0" w:color="auto"/>
            </w:tcBorders>
          </w:tcPr>
          <w:p>
            <w:pPr/>
          </w:p>
        </w:tc>
        <w:tc>
          <w:tcPr>
            <w:tcW w:w="538" w:type="dxa"/>
            <w:tcBorders>
              <w:top w:val="single" w:sz="12" w:space="0" w:color="000000"/>
              <w:left w:val="nil" w:sz="6" w:space="0" w:color="auto"/>
              <w:bottom w:val="nil" w:sz="6" w:space="0" w:color="auto"/>
              <w:right w:val="nil" w:sz="6" w:space="0" w:color="auto"/>
            </w:tcBorders>
          </w:tcPr>
          <w:p>
            <w:pPr/>
          </w:p>
        </w:tc>
        <w:tc>
          <w:tcPr>
            <w:tcW w:w="872"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842" w:type="dxa"/>
            <w:tcBorders>
              <w:top w:val="single" w:sz="12" w:space="0" w:color="000000"/>
              <w:left w:val="nil" w:sz="6" w:space="0" w:color="auto"/>
              <w:bottom w:val="nil" w:sz="6" w:space="0" w:color="auto"/>
              <w:right w:val="nil" w:sz="6" w:space="0" w:color="auto"/>
            </w:tcBorders>
          </w:tcPr>
          <w:p>
            <w:pPr/>
          </w:p>
        </w:tc>
        <w:tc>
          <w:tcPr>
            <w:tcW w:w="708" w:type="dxa"/>
            <w:tcBorders>
              <w:top w:val="single" w:sz="12" w:space="0" w:color="000000"/>
              <w:left w:val="nil" w:sz="6" w:space="0" w:color="auto"/>
              <w:bottom w:val="nil" w:sz="6" w:space="0" w:color="auto"/>
              <w:right w:val="nil" w:sz="6" w:space="0" w:color="auto"/>
            </w:tcBorders>
          </w:tcPr>
          <w:p>
            <w:pPr/>
          </w:p>
        </w:tc>
      </w:tr>
      <w:tr>
        <w:trPr>
          <w:trHeight w:val="5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4" w:right="0"/>
              <w:jc w:val="left"/>
              <w:rPr>
                <w:rFonts w:ascii="宋体" w:hAnsi="宋体" w:cs="宋体" w:eastAsia="宋体" w:hint="default"/>
                <w:sz w:val="24"/>
                <w:szCs w:val="24"/>
              </w:rPr>
            </w:pPr>
            <w:r>
              <w:rPr>
                <w:rFonts w:ascii="宋体" w:hAnsi="宋体" w:cs="宋体" w:eastAsia="宋体" w:hint="default"/>
                <w:b/>
                <w:bCs/>
                <w:sz w:val="24"/>
                <w:szCs w:val="24"/>
              </w:rPr>
              <w:t>应收账款</w:t>
            </w:r>
            <w:r>
              <w:rPr>
                <w:rFonts w:ascii="宋体" w:hAnsi="宋体" w:cs="宋体" w:eastAsia="宋体" w:hint="default"/>
                <w:sz w:val="24"/>
                <w:szCs w:val="24"/>
              </w:rPr>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94"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0"/>
              <w:ind w:left="345"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255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33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80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379" w:right="0"/>
              <w:jc w:val="left"/>
              <w:rPr>
                <w:rFonts w:ascii="Arial" w:hAnsi="Arial" w:cs="Arial" w:eastAsia="Arial" w:hint="default"/>
                <w:sz w:val="24"/>
                <w:szCs w:val="24"/>
              </w:rPr>
            </w:pPr>
            <w:r>
              <w:rPr>
                <w:rFonts w:ascii="Arial"/>
                <w:sz w:val="24"/>
              </w:rPr>
              <w:t>10,774,446</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8"/>
              <w:ind w:left="307" w:right="0"/>
              <w:jc w:val="left"/>
              <w:rPr>
                <w:rFonts w:ascii="Arial" w:hAnsi="Arial" w:cs="Arial" w:eastAsia="Arial" w:hint="default"/>
                <w:sz w:val="24"/>
                <w:szCs w:val="24"/>
              </w:rPr>
            </w:pPr>
            <w:r>
              <w:rPr>
                <w:rFonts w:ascii="Arial"/>
                <w:sz w:val="24"/>
              </w:rPr>
              <w:t>2,583,983</w:t>
            </w:r>
          </w:p>
        </w:tc>
      </w:tr>
      <w:tr>
        <w:trPr>
          <w:trHeight w:val="314"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tabs>
                <w:tab w:pos="1690" w:val="left" w:leader="none"/>
                <w:tab w:pos="2523" w:val="left" w:leader="none"/>
              </w:tabs>
              <w:spacing w:line="240" w:lineRule="auto" w:before="21"/>
              <w:ind w:left="11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(6,991)</w:t>
              <w:tab/>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3097" w:type="dxa"/>
            <w:gridSpan w:val="5"/>
            <w:tcBorders>
              <w:top w:val="nil" w:sz="6" w:space="0" w:color="auto"/>
              <w:left w:val="nil" w:sz="6" w:space="0" w:color="auto"/>
              <w:bottom w:val="nil" w:sz="6" w:space="0" w:color="auto"/>
              <w:right w:val="nil" w:sz="6" w:space="0" w:color="auto"/>
            </w:tcBorders>
          </w:tcPr>
          <w:p>
            <w:pPr>
              <w:pStyle w:val="TableParagraph"/>
              <w:tabs>
                <w:tab w:pos="2237" w:val="left" w:leader="none"/>
                <w:tab w:pos="3067" w:val="left" w:leader="none"/>
              </w:tabs>
              <w:spacing w:line="240" w:lineRule="auto" w:before="21"/>
              <w:ind w:left="51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(5,096)</w:t>
              <w:tab/>
            </w:r>
            <w:r>
              <w:rPr>
                <w:rFonts w:ascii="Arial"/>
                <w:sz w:val="24"/>
              </w:rPr>
            </w:r>
          </w:p>
        </w:tc>
      </w:tr>
      <w:tr>
        <w:trPr>
          <w:trHeight w:val="433"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tabs>
                <w:tab w:pos="1171" w:val="left" w:leader="none"/>
                <w:tab w:pos="2523" w:val="left" w:leader="none"/>
              </w:tabs>
              <w:spacing w:line="268" w:lineRule="exact"/>
              <w:ind w:left="11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10,767,455</w:t>
              <w:tab/>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3097" w:type="dxa"/>
            <w:gridSpan w:val="5"/>
            <w:tcBorders>
              <w:top w:val="nil" w:sz="6" w:space="0" w:color="auto"/>
              <w:left w:val="nil" w:sz="6" w:space="0" w:color="auto"/>
              <w:bottom w:val="nil" w:sz="6" w:space="0" w:color="auto"/>
              <w:right w:val="nil" w:sz="6" w:space="0" w:color="auto"/>
            </w:tcBorders>
          </w:tcPr>
          <w:p>
            <w:pPr>
              <w:pStyle w:val="TableParagraph"/>
              <w:tabs>
                <w:tab w:pos="1853" w:val="left" w:leader="none"/>
                <w:tab w:pos="3067" w:val="left" w:leader="none"/>
              </w:tabs>
              <w:spacing w:line="268" w:lineRule="exact"/>
              <w:ind w:left="51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2,578,887</w:t>
              <w:tab/>
            </w:r>
            <w:r>
              <w:rPr>
                <w:rFonts w:ascii="Arial"/>
                <w:sz w:val="24"/>
              </w:rPr>
            </w:r>
          </w:p>
        </w:tc>
      </w:tr>
      <w:tr>
        <w:trPr>
          <w:trHeight w:val="590"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36"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594"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0"/>
              <w:ind w:left="348"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255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336"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80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381" w:right="0"/>
              <w:jc w:val="left"/>
              <w:rPr>
                <w:rFonts w:ascii="Arial" w:hAnsi="Arial" w:cs="Arial" w:eastAsia="Arial" w:hint="default"/>
                <w:sz w:val="24"/>
                <w:szCs w:val="24"/>
              </w:rPr>
            </w:pPr>
            <w:r>
              <w:rPr>
                <w:rFonts w:ascii="Arial"/>
                <w:sz w:val="24"/>
              </w:rPr>
              <w:t>10,764,567</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8"/>
              <w:ind w:left="295" w:right="0"/>
              <w:jc w:val="left"/>
              <w:rPr>
                <w:rFonts w:ascii="Arial" w:hAnsi="Arial" w:cs="Arial" w:eastAsia="Arial" w:hint="default"/>
                <w:sz w:val="24"/>
                <w:szCs w:val="24"/>
              </w:rPr>
            </w:pPr>
            <w:r>
              <w:rPr>
                <w:rFonts w:ascii="Arial"/>
                <w:sz w:val="24"/>
              </w:rPr>
              <w:t>2,581,261</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80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981" w:right="0"/>
              <w:jc w:val="left"/>
              <w:rPr>
                <w:rFonts w:ascii="Arial" w:hAnsi="Arial" w:cs="Arial" w:eastAsia="Arial" w:hint="default"/>
                <w:sz w:val="24"/>
                <w:szCs w:val="24"/>
              </w:rPr>
            </w:pPr>
            <w:r>
              <w:rPr>
                <w:rFonts w:ascii="Arial"/>
                <w:sz w:val="24"/>
              </w:rPr>
              <w:t>8,197</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0" w:right="0"/>
              <w:jc w:val="left"/>
              <w:rPr>
                <w:rFonts w:ascii="Arial" w:hAnsi="Arial" w:cs="Arial" w:eastAsia="Arial" w:hint="default"/>
                <w:sz w:val="24"/>
                <w:szCs w:val="24"/>
              </w:rPr>
            </w:pPr>
            <w:r>
              <w:rPr>
                <w:rFonts w:ascii="Arial"/>
                <w:sz w:val="24"/>
              </w:rPr>
              <w:t>676</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Arial" w:hAnsi="Arial" w:cs="Arial" w:eastAsia="Arial" w:hint="default"/>
                <w:sz w:val="24"/>
                <w:szCs w:val="24"/>
              </w:rPr>
            </w:pPr>
            <w:r>
              <w:rPr>
                <w:rFonts w:ascii="Arial"/>
                <w:sz w:val="24"/>
              </w:rPr>
              <w:t>614</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763" w:right="0"/>
              <w:jc w:val="left"/>
              <w:rPr>
                <w:rFonts w:ascii="Arial" w:hAnsi="Arial" w:cs="Arial" w:eastAsia="Arial" w:hint="default"/>
                <w:sz w:val="24"/>
                <w:szCs w:val="24"/>
              </w:rPr>
            </w:pPr>
            <w:r>
              <w:rPr>
                <w:rFonts w:ascii="Arial"/>
                <w:sz w:val="24"/>
              </w:rPr>
              <w:t>1,350</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Arial" w:hAnsi="Arial" w:cs="Arial" w:eastAsia="Arial" w:hint="default"/>
                <w:sz w:val="24"/>
                <w:szCs w:val="24"/>
              </w:rPr>
            </w:pPr>
            <w:r>
              <w:rPr>
                <w:rFonts w:ascii="Arial"/>
                <w:sz w:val="24"/>
              </w:rPr>
              <w:t>549</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0" w:right="0"/>
              <w:jc w:val="left"/>
              <w:rPr>
                <w:rFonts w:ascii="Arial" w:hAnsi="Arial" w:cs="Arial" w:eastAsia="Arial" w:hint="default"/>
                <w:sz w:val="24"/>
                <w:szCs w:val="24"/>
              </w:rPr>
            </w:pPr>
            <w:r>
              <w:rPr>
                <w:rFonts w:ascii="Arial"/>
                <w:sz w:val="24"/>
              </w:rPr>
              <w:t>159</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Arial" w:hAnsi="Arial" w:cs="Arial" w:eastAsia="Arial" w:hint="default"/>
                <w:sz w:val="24"/>
                <w:szCs w:val="24"/>
              </w:rPr>
            </w:pPr>
            <w:r>
              <w:rPr>
                <w:rFonts w:ascii="Arial"/>
                <w:sz w:val="24"/>
              </w:rPr>
              <w:t>121</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0" w:right="0"/>
              <w:jc w:val="left"/>
              <w:rPr>
                <w:rFonts w:ascii="Arial" w:hAnsi="Arial" w:cs="Arial" w:eastAsia="Arial" w:hint="default"/>
                <w:sz w:val="24"/>
                <w:szCs w:val="24"/>
              </w:rPr>
            </w:pPr>
            <w:r>
              <w:rPr>
                <w:rFonts w:ascii="Arial"/>
                <w:sz w:val="24"/>
              </w:rPr>
              <w:t>537</w:t>
            </w:r>
          </w:p>
        </w:tc>
      </w:tr>
      <w:tr>
        <w:trPr>
          <w:trHeight w:val="314"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tabs>
                <w:tab w:pos="1973" w:val="left" w:leader="none"/>
                <w:tab w:pos="2523" w:val="left" w:leader="none"/>
              </w:tabs>
              <w:spacing w:line="240" w:lineRule="auto" w:before="21"/>
              <w:ind w:left="13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398</w:t>
              <w:tab/>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3097" w:type="dxa"/>
            <w:gridSpan w:val="5"/>
            <w:tcBorders>
              <w:top w:val="nil" w:sz="6" w:space="0" w:color="auto"/>
              <w:left w:val="nil" w:sz="6" w:space="0" w:color="auto"/>
              <w:bottom w:val="nil" w:sz="6" w:space="0" w:color="auto"/>
              <w:right w:val="nil" w:sz="6" w:space="0" w:color="auto"/>
            </w:tcBorders>
          </w:tcPr>
          <w:p>
            <w:pPr>
              <w:pStyle w:val="TableParagraph"/>
              <w:tabs>
                <w:tab w:pos="2830" w:val="left" w:leader="none"/>
                <w:tab w:pos="3067" w:val="left" w:leader="none"/>
              </w:tabs>
              <w:spacing w:line="240" w:lineRule="auto" w:before="21"/>
              <w:ind w:left="51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5"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598" w:type="dxa"/>
            <w:gridSpan w:val="5"/>
            <w:tcBorders>
              <w:top w:val="nil" w:sz="6" w:space="0" w:color="auto"/>
              <w:left w:val="nil" w:sz="6" w:space="0" w:color="auto"/>
              <w:bottom w:val="nil" w:sz="6" w:space="0" w:color="auto"/>
              <w:right w:val="nil" w:sz="6" w:space="0" w:color="auto"/>
            </w:tcBorders>
          </w:tcPr>
          <w:p>
            <w:pPr>
              <w:pStyle w:val="TableParagraph"/>
              <w:tabs>
                <w:tab w:pos="1173" w:val="left" w:leader="none"/>
                <w:tab w:pos="2523" w:val="left" w:leader="none"/>
              </w:tabs>
              <w:spacing w:line="268" w:lineRule="exact"/>
              <w:ind w:left="13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10,774,446</w:t>
              <w:tab/>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3097" w:type="dxa"/>
            <w:gridSpan w:val="5"/>
            <w:tcBorders>
              <w:top w:val="nil" w:sz="6" w:space="0" w:color="auto"/>
              <w:left w:val="nil" w:sz="6" w:space="0" w:color="auto"/>
              <w:bottom w:val="nil" w:sz="6" w:space="0" w:color="auto"/>
              <w:right w:val="nil" w:sz="6" w:space="0" w:color="auto"/>
            </w:tcBorders>
          </w:tcPr>
          <w:p>
            <w:pPr>
              <w:pStyle w:val="TableParagraph"/>
              <w:tabs>
                <w:tab w:pos="1841" w:val="left" w:leader="none"/>
                <w:tab w:pos="3067" w:val="left" w:leader="none"/>
              </w:tabs>
              <w:spacing w:line="268" w:lineRule="exact"/>
              <w:ind w:left="51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2,583,983</w:t>
              <w:tab/>
            </w:r>
            <w:r>
              <w:rPr>
                <w:rFonts w:ascii="Arial"/>
                <w:sz w:val="24"/>
              </w:rPr>
            </w:r>
          </w:p>
        </w:tc>
      </w:tr>
      <w:tr>
        <w:trPr>
          <w:trHeight w:val="58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3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24"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430"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
        </w:tc>
        <w:tc>
          <w:tcPr>
            <w:tcW w:w="3073" w:type="dxa"/>
            <w:gridSpan w:val="5"/>
            <w:tcBorders>
              <w:top w:val="nil" w:sz="6" w:space="0" w:color="auto"/>
              <w:left w:val="nil" w:sz="6" w:space="0" w:color="auto"/>
              <w:bottom w:val="single" w:sz="12" w:space="0" w:color="000000"/>
              <w:right w:val="nil" w:sz="6" w:space="0" w:color="auto"/>
            </w:tcBorders>
          </w:tcPr>
          <w:p>
            <w:pPr>
              <w:pStyle w:val="TableParagraph"/>
              <w:spacing w:line="240" w:lineRule="auto" w:before="108"/>
              <w:ind w:left="919"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660" w:type="dxa"/>
            <w:tcBorders>
              <w:top w:val="nil" w:sz="6" w:space="0" w:color="auto"/>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single" w:sz="12" w:space="0" w:color="000000"/>
              <w:right w:val="nil" w:sz="6" w:space="0" w:color="auto"/>
            </w:tcBorders>
          </w:tcPr>
          <w:p>
            <w:pPr/>
          </w:p>
        </w:tc>
        <w:tc>
          <w:tcPr>
            <w:tcW w:w="2388"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108"/>
              <w:ind w:left="39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708" w:type="dxa"/>
            <w:tcBorders>
              <w:top w:val="nil" w:sz="6" w:space="0" w:color="auto"/>
              <w:left w:val="nil" w:sz="6" w:space="0" w:color="auto"/>
              <w:bottom w:val="single" w:sz="12" w:space="0" w:color="000000"/>
              <w:right w:val="nil" w:sz="6" w:space="0" w:color="auto"/>
            </w:tcBorders>
          </w:tcPr>
          <w:p>
            <w:pPr/>
          </w:p>
        </w:tc>
      </w:tr>
      <w:tr>
        <w:trPr>
          <w:trHeight w:val="298"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single" w:sz="8" w:space="0" w:color="000000"/>
              <w:right w:val="nil" w:sz="6" w:space="0" w:color="auto"/>
            </w:tcBorders>
          </w:tcPr>
          <w:p>
            <w:pPr/>
          </w:p>
        </w:tc>
        <w:tc>
          <w:tcPr>
            <w:tcW w:w="1591" w:type="dxa"/>
            <w:gridSpan w:val="2"/>
            <w:tcBorders>
              <w:top w:val="single" w:sz="12" w:space="0" w:color="000000"/>
              <w:left w:val="nil" w:sz="6" w:space="0" w:color="auto"/>
              <w:bottom w:val="single" w:sz="8" w:space="0" w:color="000000"/>
              <w:right w:val="nil" w:sz="6" w:space="0" w:color="auto"/>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37" w:type="dxa"/>
            <w:tcBorders>
              <w:top w:val="single" w:sz="12" w:space="0" w:color="000000"/>
              <w:left w:val="nil" w:sz="6" w:space="0" w:color="auto"/>
              <w:bottom w:val="single" w:sz="8" w:space="0" w:color="000000"/>
              <w:right w:val="nil" w:sz="6" w:space="0" w:color="auto"/>
            </w:tcBorders>
          </w:tcPr>
          <w:p>
            <w:pPr/>
          </w:p>
        </w:tc>
        <w:tc>
          <w:tcPr>
            <w:tcW w:w="1805"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single" w:sz="12" w:space="0" w:color="000000"/>
              <w:left w:val="nil" w:sz="6" w:space="0" w:color="auto"/>
              <w:bottom w:val="single" w:sz="8" w:space="0" w:color="000000"/>
              <w:right w:val="nil" w:sz="6" w:space="0" w:color="auto"/>
            </w:tcBorders>
          </w:tcPr>
          <w:p>
            <w:pPr/>
          </w:p>
        </w:tc>
        <w:tc>
          <w:tcPr>
            <w:tcW w:w="1546" w:type="dxa"/>
            <w:gridSpan w:val="3"/>
            <w:tcBorders>
              <w:top w:val="single" w:sz="12" w:space="0" w:color="000000"/>
              <w:left w:val="nil" w:sz="6" w:space="0" w:color="auto"/>
              <w:bottom w:val="nil" w:sz="6" w:space="0" w:color="auto"/>
              <w:right w:val="nil" w:sz="6" w:space="0" w:color="auto"/>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0" w:type="dxa"/>
            <w:gridSpan w:val="2"/>
            <w:tcBorders>
              <w:top w:val="single" w:sz="12" w:space="0" w:color="000000"/>
              <w:left w:val="nil" w:sz="6" w:space="0" w:color="auto"/>
              <w:bottom w:val="single" w:sz="8" w:space="0" w:color="000000"/>
              <w:right w:val="nil" w:sz="6" w:space="0" w:color="auto"/>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3"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single" w:sz="8" w:space="0" w:color="000000"/>
              <w:left w:val="nil" w:sz="6" w:space="0" w:color="auto"/>
              <w:bottom w:val="nil" w:sz="6" w:space="0" w:color="auto"/>
              <w:right w:val="nil" w:sz="6" w:space="0" w:color="auto"/>
            </w:tcBorders>
          </w:tcPr>
          <w:p>
            <w:pPr/>
          </w:p>
        </w:tc>
        <w:tc>
          <w:tcPr>
            <w:tcW w:w="1135" w:type="dxa"/>
            <w:tcBorders>
              <w:top w:val="single" w:sz="8" w:space="0" w:color="000000"/>
              <w:left w:val="nil" w:sz="6" w:space="0" w:color="auto"/>
              <w:bottom w:val="nil" w:sz="6" w:space="0" w:color="auto"/>
              <w:right w:val="nil" w:sz="6" w:space="0" w:color="auto"/>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gridSpan w:val="2"/>
            <w:tcBorders>
              <w:top w:val="single" w:sz="8" w:space="0" w:color="000000"/>
              <w:left w:val="nil" w:sz="6" w:space="0" w:color="auto"/>
              <w:bottom w:val="nil" w:sz="6" w:space="0" w:color="auto"/>
              <w:right w:val="nil" w:sz="6" w:space="0" w:color="auto"/>
            </w:tcBorders>
          </w:tcPr>
          <w:p>
            <w:pPr>
              <w:pStyle w:val="TableParagraph"/>
              <w:spacing w:line="240" w:lineRule="exact"/>
              <w:ind w:left="24" w:right="0"/>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single" w:sz="8" w:space="0" w:color="000000"/>
              <w:left w:val="nil" w:sz="6" w:space="0" w:color="auto"/>
              <w:bottom w:val="nil" w:sz="6" w:space="0" w:color="auto"/>
              <w:right w:val="nil" w:sz="6" w:space="0" w:color="auto"/>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0" w:type="dxa"/>
            <w:tcBorders>
              <w:top w:val="single" w:sz="8" w:space="0" w:color="000000"/>
              <w:left w:val="nil" w:sz="6" w:space="0" w:color="auto"/>
              <w:bottom w:val="nil" w:sz="6" w:space="0" w:color="auto"/>
              <w:right w:val="nil" w:sz="6" w:space="0" w:color="auto"/>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50" w:lineRule="exact"/>
              <w:ind w:left="51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72" w:type="dxa"/>
            <w:tcBorders>
              <w:top w:val="single" w:sz="8" w:space="0" w:color="000000"/>
              <w:left w:val="nil" w:sz="6" w:space="0" w:color="auto"/>
              <w:bottom w:val="nil" w:sz="6" w:space="0" w:color="auto"/>
              <w:right w:val="nil" w:sz="6" w:space="0" w:color="auto"/>
            </w:tcBorders>
          </w:tcPr>
          <w:p>
            <w:pPr>
              <w:pStyle w:val="TableParagraph"/>
              <w:spacing w:line="240" w:lineRule="exact"/>
              <w:ind w:right="122"/>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right="122"/>
              <w:jc w:val="center"/>
              <w:rPr>
                <w:rFonts w:ascii="宋体" w:hAnsi="宋体" w:cs="宋体" w:eastAsia="宋体" w:hint="default"/>
                <w:sz w:val="21"/>
                <w:szCs w:val="21"/>
              </w:rPr>
            </w:pPr>
            <w:r>
              <w:rPr>
                <w:rFonts w:ascii="宋体" w:hAnsi="宋体" w:cs="宋体" w:eastAsia="宋体" w:hint="default"/>
                <w:sz w:val="21"/>
                <w:szCs w:val="21"/>
              </w:rPr>
              <w:t>比例</w:t>
            </w: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single" w:sz="8" w:space="0" w:color="000000"/>
              <w:left w:val="nil" w:sz="6" w:space="0" w:color="auto"/>
              <w:bottom w:val="nil" w:sz="6" w:space="0" w:color="auto"/>
              <w:right w:val="nil" w:sz="6" w:space="0" w:color="auto"/>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8" w:space="0" w:color="000000"/>
              <w:left w:val="nil" w:sz="6" w:space="0" w:color="auto"/>
              <w:bottom w:val="nil" w:sz="6" w:space="0" w:color="auto"/>
              <w:right w:val="nil" w:sz="6" w:space="0" w:color="auto"/>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35"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9" w:lineRule="exact"/>
              <w:ind w:left="12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135" w:type="dxa"/>
            <w:tcBorders>
              <w:top w:val="nil" w:sz="6" w:space="0" w:color="auto"/>
              <w:left w:val="nil" w:sz="6" w:space="0" w:color="auto"/>
              <w:bottom w:val="nil" w:sz="6" w:space="0" w:color="auto"/>
              <w:right w:val="nil" w:sz="6" w:space="0" w:color="auto"/>
            </w:tcBorders>
          </w:tcPr>
          <w:p>
            <w:pPr/>
          </w:p>
        </w:tc>
        <w:tc>
          <w:tcPr>
            <w:tcW w:w="455"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5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r>
      <w:tr>
        <w:trPr>
          <w:trHeight w:val="250"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6" w:lineRule="exact"/>
              <w:ind w:left="321"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92" w:right="0"/>
              <w:jc w:val="left"/>
              <w:rPr>
                <w:rFonts w:ascii="Arial" w:hAnsi="Arial" w:cs="Arial" w:eastAsia="Arial" w:hint="default"/>
                <w:sz w:val="18"/>
                <w:szCs w:val="18"/>
              </w:rPr>
            </w:pPr>
            <w:r>
              <w:rPr>
                <w:rFonts w:ascii="Arial"/>
                <w:sz w:val="18"/>
              </w:rPr>
              <w:t>25,787</w:t>
            </w:r>
          </w:p>
        </w:tc>
        <w:tc>
          <w:tcPr>
            <w:tcW w:w="7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273" w:right="0"/>
              <w:jc w:val="left"/>
              <w:rPr>
                <w:rFonts w:ascii="Arial" w:hAnsi="Arial" w:cs="Arial" w:eastAsia="Arial" w:hint="default"/>
                <w:sz w:val="18"/>
                <w:szCs w:val="18"/>
              </w:rPr>
            </w:pPr>
            <w:r>
              <w:rPr>
                <w:rFonts w:ascii="Arial"/>
                <w:sz w:val="18"/>
              </w:rPr>
              <w:t>0.2%</w:t>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3"/>
              <w:jc w:val="right"/>
              <w:rPr>
                <w:rFonts w:ascii="Arial" w:hAnsi="Arial" w:cs="Arial" w:eastAsia="Arial" w:hint="default"/>
                <w:sz w:val="18"/>
                <w:szCs w:val="18"/>
              </w:rPr>
            </w:pPr>
            <w:r>
              <w:rPr>
                <w:rFonts w:ascii="Arial"/>
                <w:w w:val="99"/>
                <w:sz w:val="18"/>
              </w:rPr>
              <w:t>-</w:t>
            </w:r>
            <w:r>
              <w:rPr>
                <w:rFonts w:ascii="Arial"/>
                <w:sz w:val="18"/>
              </w:rPr>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Arial" w:hAnsi="Arial" w:cs="Arial" w:eastAsia="Arial" w:hint="default"/>
                <w:sz w:val="18"/>
                <w:szCs w:val="18"/>
              </w:rPr>
            </w:pPr>
            <w:r>
              <w:rPr>
                <w:rFonts w:ascii="Arial"/>
                <w:w w:val="99"/>
                <w:sz w:val="18"/>
              </w:rPr>
              <w:t>-</w:t>
            </w:r>
            <w:r>
              <w:rPr>
                <w:rFonts w:ascii="Arial"/>
                <w:sz w:val="18"/>
              </w:rPr>
            </w: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9"/>
              <w:ind w:left="633" w:right="0"/>
              <w:jc w:val="left"/>
              <w:rPr>
                <w:rFonts w:ascii="Arial" w:hAnsi="Arial" w:cs="Arial" w:eastAsia="Arial" w:hint="default"/>
                <w:sz w:val="18"/>
                <w:szCs w:val="18"/>
              </w:rPr>
            </w:pPr>
            <w:r>
              <w:rPr>
                <w:rFonts w:ascii="Arial"/>
                <w:spacing w:val="-3"/>
                <w:sz w:val="18"/>
              </w:rPr>
              <w:t>11,731</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16" w:right="0"/>
              <w:jc w:val="left"/>
              <w:rPr>
                <w:rFonts w:ascii="Arial" w:hAnsi="Arial" w:cs="Arial" w:eastAsia="Arial" w:hint="default"/>
                <w:sz w:val="18"/>
                <w:szCs w:val="18"/>
              </w:rPr>
            </w:pPr>
            <w:r>
              <w:rPr>
                <w:rFonts w:ascii="Arial"/>
                <w:sz w:val="18"/>
              </w:rPr>
              <w:t>0.5%</w:t>
            </w: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Arial" w:hAnsi="Arial" w:cs="Arial" w:eastAsia="Arial" w:hint="default"/>
                <w:sz w:val="18"/>
                <w:szCs w:val="18"/>
              </w:rPr>
            </w:pPr>
            <w:r>
              <w:rPr>
                <w:rFonts w:ascii="Arial"/>
                <w:w w:val="99"/>
                <w:sz w:val="18"/>
              </w:rPr>
              <w:t>-</w:t>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8" w:right="0"/>
              <w:jc w:val="left"/>
              <w:rPr>
                <w:rFonts w:ascii="Arial" w:hAnsi="Arial" w:cs="Arial" w:eastAsia="Arial" w:hint="default"/>
                <w:sz w:val="18"/>
                <w:szCs w:val="18"/>
              </w:rPr>
            </w:pPr>
            <w:r>
              <w:rPr>
                <w:rFonts w:ascii="Arial"/>
                <w:w w:val="99"/>
                <w:sz w:val="18"/>
              </w:rPr>
              <w:t>-</w:t>
            </w:r>
            <w:r>
              <w:rPr>
                <w:rFonts w:ascii="Arial"/>
                <w:sz w:val="18"/>
              </w:rPr>
            </w:r>
          </w:p>
        </w:tc>
      </w:tr>
      <w:tr>
        <w:trPr>
          <w:trHeight w:val="258"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tabs>
                <w:tab w:pos="2124" w:val="left" w:leader="none"/>
              </w:tabs>
              <w:spacing w:line="203" w:lineRule="exact"/>
              <w:ind w:left="321" w:right="-140"/>
              <w:jc w:val="left"/>
              <w:rPr>
                <w:rFonts w:ascii="Arial" w:hAnsi="Arial" w:cs="Arial" w:eastAsia="Arial" w:hint="default"/>
                <w:sz w:val="18"/>
                <w:szCs w:val="18"/>
              </w:rPr>
            </w:pPr>
            <w:r>
              <w:rPr>
                <w:rFonts w:ascii="宋体" w:hAnsi="宋体" w:cs="宋体" w:eastAsia="宋体" w:hint="default"/>
                <w:position w:val="1"/>
                <w:sz w:val="18"/>
                <w:szCs w:val="18"/>
              </w:rPr>
              <w:t>应收其他款项组合 </w:t>
            </w:r>
            <w:r>
              <w:rPr>
                <w:rFonts w:ascii="宋体" w:hAnsi="宋体" w:cs="宋体" w:eastAsia="宋体" w:hint="default"/>
                <w:spacing w:val="-41"/>
                <w:position w:val="1"/>
                <w:sz w:val="18"/>
                <w:szCs w:val="18"/>
              </w:rPr>
              <w:t> </w:t>
            </w:r>
            <w:r>
              <w:rPr>
                <w:rFonts w:ascii="Arial" w:hAnsi="Arial" w:cs="Arial" w:eastAsia="Arial" w:hint="default"/>
                <w:spacing w:val="-41"/>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135" w:type="dxa"/>
            <w:tcBorders>
              <w:top w:val="nil" w:sz="6" w:space="0" w:color="auto"/>
              <w:left w:val="nil" w:sz="6" w:space="0" w:color="auto"/>
              <w:bottom w:val="nil" w:sz="6" w:space="0" w:color="auto"/>
              <w:right w:val="nil" w:sz="6" w:space="0" w:color="auto"/>
            </w:tcBorders>
          </w:tcPr>
          <w:p>
            <w:pPr>
              <w:pStyle w:val="TableParagraph"/>
              <w:tabs>
                <w:tab w:pos="1308" w:val="left" w:leader="none"/>
              </w:tabs>
              <w:spacing w:line="240" w:lineRule="auto" w:before="18"/>
              <w:ind w:left="139" w:right="-174"/>
              <w:jc w:val="left"/>
              <w:rPr>
                <w:rFonts w:ascii="Arial" w:hAnsi="Arial" w:cs="Arial" w:eastAsia="Arial" w:hint="default"/>
                <w:sz w:val="18"/>
                <w:szCs w:val="18"/>
              </w:rPr>
            </w:pPr>
            <w:r>
              <w:rPr>
                <w:rFonts w:ascii="Arial"/>
                <w:w w:val="99"/>
                <w:sz w:val="18"/>
              </w:rPr>
            </w:r>
            <w:r>
              <w:rPr>
                <w:rFonts w:ascii="Arial"/>
                <w:sz w:val="18"/>
                <w:u w:val="single" w:color="000000"/>
              </w:rPr>
              <w:t>10,748,659</w:t>
              <w:tab/>
            </w:r>
            <w:r>
              <w:rPr>
                <w:rFonts w:ascii="Arial"/>
                <w:sz w:val="18"/>
              </w:rPr>
            </w:r>
          </w:p>
        </w:tc>
        <w:tc>
          <w:tcPr>
            <w:tcW w:w="792" w:type="dxa"/>
            <w:gridSpan w:val="2"/>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18"/>
              <w:ind w:left="173" w:right="0"/>
              <w:jc w:val="left"/>
              <w:rPr>
                <w:rFonts w:ascii="Arial" w:hAnsi="Arial" w:cs="Arial" w:eastAsia="Arial" w:hint="default"/>
                <w:sz w:val="18"/>
                <w:szCs w:val="18"/>
              </w:rPr>
            </w:pPr>
            <w:r>
              <w:rPr>
                <w:rFonts w:ascii="Arial"/>
                <w:w w:val="99"/>
                <w:sz w:val="18"/>
              </w:rPr>
            </w:r>
            <w:r>
              <w:rPr>
                <w:rFonts w:ascii="Arial"/>
                <w:sz w:val="18"/>
                <w:u w:val="single" w:color="000000"/>
              </w:rPr>
              <w:t>99.8%</w:t>
              <w:tab/>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18"/>
              <w:ind w:right="-14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z w:val="18"/>
                <w:u w:val="single" w:color="000000"/>
              </w:rPr>
              <w:t>(6,991)</w:t>
              <w:tab/>
            </w:r>
            <w:r>
              <w:rPr>
                <w:rFonts w:ascii="Arial"/>
                <w:sz w:val="18"/>
              </w:rPr>
            </w:r>
          </w:p>
        </w:tc>
        <w:tc>
          <w:tcPr>
            <w:tcW w:w="660"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18"/>
              <w:ind w:left="141" w:right="0"/>
              <w:jc w:val="left"/>
              <w:rPr>
                <w:rFonts w:ascii="Arial" w:hAnsi="Arial" w:cs="Arial" w:eastAsia="Arial" w:hint="default"/>
                <w:sz w:val="18"/>
                <w:szCs w:val="18"/>
              </w:rPr>
            </w:pPr>
            <w:r>
              <w:rPr>
                <w:rFonts w:ascii="Arial"/>
                <w:w w:val="99"/>
                <w:sz w:val="18"/>
              </w:rPr>
            </w:r>
            <w:r>
              <w:rPr>
                <w:rFonts w:ascii="Arial"/>
                <w:sz w:val="18"/>
                <w:u w:val="single" w:color="000000"/>
              </w:rPr>
              <w:t>0.1%</w:t>
              <w:tab/>
            </w:r>
            <w:r>
              <w:rPr>
                <w:rFonts w:ascii="Arial"/>
                <w:sz w:val="18"/>
              </w:rPr>
            </w:r>
          </w:p>
        </w:tc>
        <w:tc>
          <w:tcPr>
            <w:tcW w:w="1229" w:type="dxa"/>
            <w:gridSpan w:val="3"/>
            <w:tcBorders>
              <w:top w:val="nil" w:sz="6" w:space="0" w:color="auto"/>
              <w:left w:val="nil" w:sz="6" w:space="0" w:color="auto"/>
              <w:bottom w:val="nil" w:sz="6" w:space="0" w:color="auto"/>
              <w:right w:val="nil" w:sz="6" w:space="0" w:color="auto"/>
            </w:tcBorders>
          </w:tcPr>
          <w:p>
            <w:pPr>
              <w:pStyle w:val="TableParagraph"/>
              <w:tabs>
                <w:tab w:pos="1445" w:val="left" w:leader="none"/>
              </w:tabs>
              <w:spacing w:line="240" w:lineRule="auto" w:before="18"/>
              <w:ind w:left="237" w:right="-21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2"/>
                <w:sz w:val="18"/>
                <w:u w:val="single" w:color="000000"/>
              </w:rPr>
              <w:t> </w:t>
            </w:r>
            <w:r>
              <w:rPr>
                <w:rFonts w:ascii="Arial"/>
                <w:sz w:val="18"/>
                <w:u w:val="single" w:color="000000"/>
              </w:rPr>
              <w:t>2,572,252</w:t>
              <w:tab/>
            </w:r>
            <w:r>
              <w:rPr>
                <w:rFonts w:ascii="Arial"/>
                <w:sz w:val="18"/>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6" w:right="0"/>
              <w:jc w:val="left"/>
              <w:rPr>
                <w:rFonts w:ascii="Arial" w:hAnsi="Arial" w:cs="Arial" w:eastAsia="Arial" w:hint="default"/>
                <w:sz w:val="18"/>
                <w:szCs w:val="18"/>
              </w:rPr>
            </w:pPr>
            <w:r>
              <w:rPr>
                <w:rFonts w:ascii="Arial"/>
                <w:w w:val="99"/>
                <w:sz w:val="18"/>
              </w:rPr>
            </w:r>
            <w:r>
              <w:rPr>
                <w:rFonts w:ascii="Arial"/>
                <w:sz w:val="18"/>
                <w:u w:val="single" w:color="000000"/>
              </w:rPr>
              <w:t>99.5%</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0" w:lineRule="auto" w:before="18"/>
              <w:ind w:right="-16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6"/>
                <w:sz w:val="18"/>
                <w:u w:val="single" w:color="000000"/>
              </w:rPr>
              <w:t> </w:t>
            </w:r>
            <w:r>
              <w:rPr>
                <w:rFonts w:ascii="Arial"/>
                <w:sz w:val="18"/>
                <w:u w:val="single" w:color="000000"/>
              </w:rPr>
              <w:t>(5,096)</w:t>
              <w:tab/>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Style w:val="TableParagraph"/>
              <w:tabs>
                <w:tab w:pos="679" w:val="left" w:leader="none"/>
              </w:tabs>
              <w:spacing w:line="240" w:lineRule="auto" w:before="18"/>
              <w:ind w:left="163" w:right="0"/>
              <w:jc w:val="left"/>
              <w:rPr>
                <w:rFonts w:ascii="Arial" w:hAnsi="Arial" w:cs="Arial" w:eastAsia="Arial" w:hint="default"/>
                <w:sz w:val="18"/>
                <w:szCs w:val="18"/>
              </w:rPr>
            </w:pPr>
            <w:r>
              <w:rPr>
                <w:rFonts w:ascii="Arial"/>
                <w:w w:val="99"/>
                <w:sz w:val="18"/>
              </w:rPr>
            </w:r>
            <w:r>
              <w:rPr>
                <w:rFonts w:ascii="Arial"/>
                <w:sz w:val="18"/>
                <w:u w:val="single" w:color="000000"/>
              </w:rPr>
              <w:t>0.2%</w:t>
              <w:tab/>
            </w:r>
            <w:r>
              <w:rPr>
                <w:rFonts w:ascii="Arial"/>
                <w:sz w:val="18"/>
              </w:rPr>
            </w:r>
          </w:p>
        </w:tc>
      </w:tr>
      <w:tr>
        <w:trPr>
          <w:trHeight w:val="235" w:hRule="exact"/>
        </w:trPr>
        <w:tc>
          <w:tcPr>
            <w:tcW w:w="77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139" w:right="0"/>
              <w:jc w:val="left"/>
              <w:rPr>
                <w:rFonts w:ascii="Arial" w:hAnsi="Arial" w:cs="Arial" w:eastAsia="Arial" w:hint="default"/>
                <w:sz w:val="18"/>
                <w:szCs w:val="18"/>
              </w:rPr>
            </w:pPr>
            <w:r>
              <w:rPr>
                <w:rFonts w:ascii="Arial"/>
                <w:sz w:val="18"/>
              </w:rPr>
              <w:t>10,774,446</w:t>
            </w:r>
          </w:p>
        </w:tc>
        <w:tc>
          <w:tcPr>
            <w:tcW w:w="792"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3"/>
              <w:ind w:left="223" w:right="0"/>
              <w:jc w:val="left"/>
              <w:rPr>
                <w:rFonts w:ascii="Arial" w:hAnsi="Arial" w:cs="Arial" w:eastAsia="Arial" w:hint="default"/>
                <w:sz w:val="18"/>
                <w:szCs w:val="18"/>
              </w:rPr>
            </w:pPr>
            <w:r>
              <w:rPr>
                <w:rFonts w:ascii="Arial"/>
                <w:sz w:val="18"/>
              </w:rPr>
              <w:t>100%</w:t>
            </w:r>
          </w:p>
        </w:tc>
        <w:tc>
          <w:tcPr>
            <w:tcW w:w="23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27" w:right="0"/>
              <w:jc w:val="left"/>
              <w:rPr>
                <w:rFonts w:ascii="Arial" w:hAnsi="Arial" w:cs="Arial" w:eastAsia="Arial" w:hint="default"/>
                <w:sz w:val="18"/>
                <w:szCs w:val="18"/>
              </w:rPr>
            </w:pPr>
            <w:r>
              <w:rPr>
                <w:rFonts w:ascii="Arial"/>
                <w:sz w:val="18"/>
              </w:rPr>
              <w:t>(6,991)</w:t>
            </w:r>
          </w:p>
        </w:tc>
        <w:tc>
          <w:tcPr>
            <w:tcW w:w="660" w:type="dxa"/>
            <w:tcBorders>
              <w:top w:val="nil" w:sz="6" w:space="0" w:color="auto"/>
              <w:left w:val="nil" w:sz="6" w:space="0" w:color="auto"/>
              <w:bottom w:val="single" w:sz="12" w:space="0" w:color="000000"/>
              <w:right w:val="nil" w:sz="6" w:space="0" w:color="auto"/>
            </w:tcBorders>
          </w:tcPr>
          <w:p>
            <w:pP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359" w:right="0"/>
              <w:jc w:val="left"/>
              <w:rPr>
                <w:rFonts w:ascii="Arial" w:hAnsi="Arial" w:cs="Arial" w:eastAsia="Arial" w:hint="default"/>
                <w:sz w:val="18"/>
                <w:szCs w:val="18"/>
              </w:rPr>
            </w:pPr>
            <w:r>
              <w:rPr>
                <w:rFonts w:ascii="Arial"/>
                <w:sz w:val="18"/>
              </w:rPr>
              <w:t>2,583,983</w:t>
            </w:r>
          </w:p>
        </w:tc>
        <w:tc>
          <w:tcPr>
            <w:tcW w:w="872"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66" w:right="0"/>
              <w:jc w:val="left"/>
              <w:rPr>
                <w:rFonts w:ascii="Arial" w:hAnsi="Arial" w:cs="Arial" w:eastAsia="Arial" w:hint="default"/>
                <w:sz w:val="18"/>
                <w:szCs w:val="18"/>
              </w:rPr>
            </w:pPr>
            <w:r>
              <w:rPr>
                <w:rFonts w:ascii="Arial"/>
                <w:sz w:val="18"/>
              </w:rPr>
              <w:t>100%</w:t>
            </w:r>
          </w:p>
        </w:tc>
        <w:tc>
          <w:tcPr>
            <w:tcW w:w="136"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44" w:right="0"/>
              <w:jc w:val="left"/>
              <w:rPr>
                <w:rFonts w:ascii="Arial" w:hAnsi="Arial" w:cs="Arial" w:eastAsia="Arial" w:hint="default"/>
                <w:sz w:val="18"/>
                <w:szCs w:val="18"/>
              </w:rPr>
            </w:pPr>
            <w:r>
              <w:rPr>
                <w:rFonts w:ascii="Arial"/>
                <w:sz w:val="18"/>
              </w:rPr>
              <w:t>(5,096)</w:t>
            </w:r>
          </w:p>
        </w:tc>
        <w:tc>
          <w:tcPr>
            <w:tcW w:w="708" w:type="dxa"/>
            <w:tcBorders>
              <w:top w:val="nil" w:sz="6" w:space="0" w:color="auto"/>
              <w:left w:val="nil" w:sz="6" w:space="0" w:color="auto"/>
              <w:bottom w:val="single" w:sz="12" w:space="0" w:color="000000"/>
              <w:right w:val="nil" w:sz="6" w:space="0" w:color="auto"/>
            </w:tcBorders>
          </w:tcPr>
          <w:p>
            <w:pPr/>
          </w:p>
        </w:tc>
      </w:tr>
    </w:tbl>
    <w:p>
      <w:pPr>
        <w:spacing w:after="0"/>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687"/>
        <w:gridCol w:w="1135"/>
        <w:gridCol w:w="1276"/>
        <w:gridCol w:w="1103"/>
        <w:gridCol w:w="988"/>
        <w:gridCol w:w="908"/>
        <w:gridCol w:w="1245"/>
        <w:gridCol w:w="1098"/>
        <w:gridCol w:w="1045"/>
        <w:gridCol w:w="872"/>
      </w:tblGrid>
      <w:tr>
        <w:trPr>
          <w:trHeight w:val="698"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1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411"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29" w:right="-44"/>
              <w:jc w:val="left"/>
              <w:rPr>
                <w:rFonts w:ascii="Arial" w:hAnsi="Arial" w:cs="Arial" w:eastAsia="Arial" w:hint="default"/>
                <w:sz w:val="24"/>
                <w:szCs w:val="24"/>
              </w:rPr>
            </w:pPr>
            <w:r>
              <w:rPr>
                <w:rFonts w:ascii="宋体" w:hAnsi="宋体" w:cs="宋体" w:eastAsia="宋体" w:hint="default"/>
                <w:b/>
                <w:bCs/>
                <w:w w:val="95"/>
                <w:sz w:val="24"/>
                <w:szCs w:val="24"/>
              </w:rPr>
              <w:t>公司财务报表附注</w:t>
            </w:r>
            <w:r>
              <w:rPr>
                <w:rFonts w:ascii="Arial" w:hAnsi="Arial" w:cs="Arial" w:eastAsia="Arial" w:hint="default"/>
                <w:b/>
                <w:bCs/>
                <w:w w:val="95"/>
                <w:sz w:val="24"/>
                <w:szCs w:val="24"/>
              </w:rPr>
              <w:t>(</w:t>
            </w:r>
            <w:r>
              <w:rPr>
                <w:rFonts w:ascii="宋体" w:hAnsi="宋体" w:cs="宋体" w:eastAsia="宋体" w:hint="default"/>
                <w:b/>
                <w:bCs/>
                <w:w w:val="95"/>
                <w:sz w:val="24"/>
                <w:szCs w:val="24"/>
              </w:rPr>
              <w:t>续</w:t>
            </w:r>
            <w:r>
              <w:rPr>
                <w:rFonts w:ascii="Arial" w:hAnsi="Arial" w:cs="Arial" w:eastAsia="Arial" w:hint="default"/>
                <w:b/>
                <w:bCs/>
                <w:w w:val="95"/>
                <w:sz w:val="24"/>
                <w:szCs w:val="24"/>
              </w:rPr>
              <w:t>)</w:t>
            </w:r>
            <w:r>
              <w:rPr>
                <w:rFonts w:ascii="Arial" w:hAnsi="Arial" w:cs="Arial" w:eastAsia="Arial" w:hint="default"/>
                <w:sz w:val="24"/>
                <w:szCs w:val="24"/>
              </w:rPr>
            </w:r>
          </w:p>
        </w:tc>
        <w:tc>
          <w:tcPr>
            <w:tcW w:w="1103" w:type="dxa"/>
            <w:tcBorders>
              <w:top w:val="single" w:sz="6" w:space="0" w:color="000000"/>
              <w:left w:val="nil" w:sz="6" w:space="0" w:color="auto"/>
              <w:bottom w:val="nil" w:sz="6" w:space="0" w:color="auto"/>
              <w:right w:val="nil" w:sz="6" w:space="0" w:color="auto"/>
            </w:tcBorders>
          </w:tcPr>
          <w:p>
            <w:pPr/>
          </w:p>
        </w:tc>
        <w:tc>
          <w:tcPr>
            <w:tcW w:w="988" w:type="dxa"/>
            <w:tcBorders>
              <w:top w:val="single" w:sz="6" w:space="0" w:color="000000"/>
              <w:left w:val="nil" w:sz="6" w:space="0" w:color="auto"/>
              <w:bottom w:val="nil" w:sz="6" w:space="0" w:color="auto"/>
              <w:right w:val="nil" w:sz="6" w:space="0" w:color="auto"/>
            </w:tcBorders>
          </w:tcPr>
          <w:p>
            <w:pPr/>
          </w:p>
        </w:tc>
        <w:tc>
          <w:tcPr>
            <w:tcW w:w="908" w:type="dxa"/>
            <w:tcBorders>
              <w:top w:val="single" w:sz="6" w:space="0" w:color="000000"/>
              <w:left w:val="nil" w:sz="6" w:space="0" w:color="auto"/>
              <w:bottom w:val="nil" w:sz="6" w:space="0" w:color="auto"/>
              <w:right w:val="nil" w:sz="6" w:space="0" w:color="auto"/>
            </w:tcBorders>
          </w:tcPr>
          <w:p>
            <w:pPr/>
          </w:p>
        </w:tc>
        <w:tc>
          <w:tcPr>
            <w:tcW w:w="1245" w:type="dxa"/>
            <w:tcBorders>
              <w:top w:val="single" w:sz="6" w:space="0" w:color="000000"/>
              <w:left w:val="nil" w:sz="6" w:space="0" w:color="auto"/>
              <w:bottom w:val="nil" w:sz="6" w:space="0" w:color="auto"/>
              <w:right w:val="nil" w:sz="6" w:space="0" w:color="auto"/>
            </w:tcBorders>
          </w:tcPr>
          <w:p>
            <w:pPr/>
          </w:p>
        </w:tc>
        <w:tc>
          <w:tcPr>
            <w:tcW w:w="1098" w:type="dxa"/>
            <w:tcBorders>
              <w:top w:val="single" w:sz="6" w:space="0" w:color="000000"/>
              <w:left w:val="nil" w:sz="6" w:space="0" w:color="auto"/>
              <w:bottom w:val="nil" w:sz="6" w:space="0" w:color="auto"/>
              <w:right w:val="nil" w:sz="6" w:space="0" w:color="auto"/>
            </w:tcBorders>
          </w:tcPr>
          <w:p>
            <w:pPr/>
          </w:p>
        </w:tc>
        <w:tc>
          <w:tcPr>
            <w:tcW w:w="1045" w:type="dxa"/>
            <w:tcBorders>
              <w:top w:val="single" w:sz="6" w:space="0" w:color="000000"/>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588"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10" w:right="0"/>
              <w:jc w:val="left"/>
              <w:rPr>
                <w:rFonts w:ascii="Arial" w:hAnsi="Arial" w:cs="Arial" w:eastAsia="Arial" w:hint="default"/>
                <w:sz w:val="24"/>
                <w:szCs w:val="24"/>
              </w:rPr>
            </w:pPr>
            <w:r>
              <w:rPr>
                <w:rFonts w:ascii="Arial"/>
                <w:sz w:val="24"/>
              </w:rPr>
              <w:t>(1)</w:t>
            </w:r>
          </w:p>
        </w:tc>
        <w:tc>
          <w:tcPr>
            <w:tcW w:w="24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29" w:right="0"/>
              <w:jc w:val="left"/>
              <w:rPr>
                <w:rFonts w:ascii="Arial" w:hAnsi="Arial" w:cs="Arial" w:eastAsia="Arial" w:hint="default"/>
                <w:sz w:val="24"/>
                <w:szCs w:val="24"/>
              </w:rPr>
            </w:pP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103"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566"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10" w:right="0"/>
              <w:jc w:val="left"/>
              <w:rPr>
                <w:rFonts w:ascii="Arial" w:hAnsi="Arial" w:cs="Arial" w:eastAsia="Arial" w:hint="default"/>
                <w:sz w:val="24"/>
                <w:szCs w:val="24"/>
              </w:rPr>
            </w:pPr>
            <w:r>
              <w:rPr>
                <w:rFonts w:ascii="Arial"/>
                <w:sz w:val="24"/>
              </w:rPr>
              <w:t>(c)</w:t>
            </w:r>
          </w:p>
        </w:tc>
        <w:tc>
          <w:tcPr>
            <w:tcW w:w="775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6"/>
              <w:ind w:left="129"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按组合计提坏账准备的应收账款中，采用账龄分析法的组合分析如下：</w:t>
            </w:r>
          </w:p>
        </w:tc>
        <w:tc>
          <w:tcPr>
            <w:tcW w:w="1045"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r>
      <w:tr>
        <w:trPr>
          <w:trHeight w:val="410"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1" w:space="0" w:color="FFFF99"/>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
        </w:tc>
        <w:tc>
          <w:tcPr>
            <w:tcW w:w="2091"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1"/>
              <w:ind w:left="-4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908" w:type="dxa"/>
            <w:tcBorders>
              <w:top w:val="nil" w:sz="6" w:space="0" w:color="auto"/>
              <w:left w:val="nil" w:sz="6" w:space="0" w:color="auto"/>
              <w:bottom w:val="single" w:sz="12" w:space="0" w:color="000000"/>
              <w:right w:val="nil" w:sz="6" w:space="0" w:color="auto"/>
            </w:tcBorders>
          </w:tcPr>
          <w:p>
            <w:pPr/>
          </w:p>
        </w:tc>
        <w:tc>
          <w:tcPr>
            <w:tcW w:w="1245" w:type="dxa"/>
            <w:tcBorders>
              <w:top w:val="nil" w:sz="6" w:space="0" w:color="auto"/>
              <w:left w:val="nil" w:sz="6" w:space="0" w:color="auto"/>
              <w:bottom w:val="single" w:sz="12" w:space="0" w:color="000000"/>
              <w:right w:val="nil" w:sz="6" w:space="0" w:color="auto"/>
            </w:tcBorders>
          </w:tcPr>
          <w:p>
            <w:pPr/>
          </w:p>
        </w:tc>
        <w:tc>
          <w:tcPr>
            <w:tcW w:w="2142"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1"/>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72" w:type="dxa"/>
            <w:tcBorders>
              <w:top w:val="nil" w:sz="6" w:space="0" w:color="auto"/>
              <w:left w:val="nil" w:sz="6" w:space="0" w:color="auto"/>
              <w:bottom w:val="single" w:sz="12" w:space="0" w:color="000000"/>
              <w:right w:val="nil" w:sz="6" w:space="0" w:color="auto"/>
            </w:tcBorders>
          </w:tcPr>
          <w:p>
            <w:pPr/>
          </w:p>
        </w:tc>
      </w:tr>
      <w:tr>
        <w:trPr>
          <w:trHeight w:val="305"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single" w:sz="1" w:space="0" w:color="FFFF99"/>
              <w:left w:val="nil" w:sz="6" w:space="0" w:color="auto"/>
              <w:bottom w:val="single" w:sz="1" w:space="0" w:color="FFFF99"/>
              <w:right w:val="nil" w:sz="6" w:space="0" w:color="auto"/>
            </w:tcBorders>
          </w:tcPr>
          <w:p>
            <w:pPr/>
          </w:p>
        </w:tc>
        <w:tc>
          <w:tcPr>
            <w:tcW w:w="2379" w:type="dxa"/>
            <w:gridSpan w:val="2"/>
            <w:tcBorders>
              <w:top w:val="single" w:sz="12" w:space="0" w:color="000000"/>
              <w:left w:val="nil" w:sz="6" w:space="0" w:color="auto"/>
              <w:bottom w:val="single" w:sz="12" w:space="0" w:color="000000"/>
              <w:right w:val="nil" w:sz="6" w:space="0" w:color="auto"/>
            </w:tcBorders>
          </w:tcPr>
          <w:p>
            <w:pPr>
              <w:pStyle w:val="TableParagraph"/>
              <w:spacing w:line="244" w:lineRule="exact"/>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5" w:type="dxa"/>
            <w:gridSpan w:val="2"/>
            <w:tcBorders>
              <w:top w:val="single" w:sz="12" w:space="0" w:color="000000"/>
              <w:left w:val="nil" w:sz="6" w:space="0" w:color="auto"/>
              <w:bottom w:val="single" w:sz="12" w:space="0" w:color="000000"/>
              <w:right w:val="nil" w:sz="6" w:space="0" w:color="auto"/>
            </w:tcBorders>
          </w:tcPr>
          <w:p>
            <w:pPr>
              <w:pStyle w:val="TableParagraph"/>
              <w:spacing w:line="244" w:lineRule="exact"/>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3" w:type="dxa"/>
            <w:gridSpan w:val="2"/>
            <w:tcBorders>
              <w:top w:val="single" w:sz="12" w:space="0" w:color="000000"/>
              <w:left w:val="nil" w:sz="6" w:space="0" w:color="auto"/>
              <w:bottom w:val="single" w:sz="12" w:space="0" w:color="000000"/>
              <w:right w:val="nil" w:sz="6" w:space="0" w:color="auto"/>
            </w:tcBorders>
          </w:tcPr>
          <w:p>
            <w:pPr>
              <w:pStyle w:val="TableParagraph"/>
              <w:spacing w:line="244" w:lineRule="exact"/>
              <w:ind w:left="6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7" w:type="dxa"/>
            <w:gridSpan w:val="2"/>
            <w:tcBorders>
              <w:top w:val="single" w:sz="12" w:space="0" w:color="000000"/>
              <w:left w:val="nil" w:sz="6" w:space="0" w:color="auto"/>
              <w:bottom w:val="single" w:sz="12" w:space="0" w:color="000000"/>
              <w:right w:val="nil" w:sz="6" w:space="0" w:color="auto"/>
            </w:tcBorders>
          </w:tcPr>
          <w:p>
            <w:pPr>
              <w:pStyle w:val="TableParagraph"/>
              <w:spacing w:line="244" w:lineRule="exact"/>
              <w:ind w:left="55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82"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single" w:sz="1" w:space="0" w:color="FFFF99"/>
              <w:left w:val="nil" w:sz="6" w:space="0" w:color="auto"/>
              <w:bottom w:val="nil" w:sz="6" w:space="0" w:color="auto"/>
              <w:right w:val="nil" w:sz="6" w:space="0" w:color="auto"/>
            </w:tcBorders>
          </w:tcPr>
          <w:p>
            <w:pPr/>
          </w:p>
        </w:tc>
        <w:tc>
          <w:tcPr>
            <w:tcW w:w="1276" w:type="dxa"/>
            <w:tcBorders>
              <w:top w:val="single" w:sz="12" w:space="0" w:color="000000"/>
              <w:left w:val="nil" w:sz="6" w:space="0" w:color="auto"/>
              <w:bottom w:val="nil" w:sz="6" w:space="0" w:color="auto"/>
              <w:right w:val="nil" w:sz="6" w:space="0" w:color="auto"/>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03" w:type="dxa"/>
            <w:tcBorders>
              <w:top w:val="single" w:sz="12" w:space="0" w:color="000000"/>
              <w:left w:val="nil" w:sz="6" w:space="0" w:color="auto"/>
              <w:bottom w:val="nil" w:sz="6" w:space="0" w:color="auto"/>
              <w:right w:val="nil" w:sz="6" w:space="0" w:color="auto"/>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88" w:type="dxa"/>
            <w:tcBorders>
              <w:top w:val="single" w:sz="12" w:space="0" w:color="000000"/>
              <w:left w:val="nil" w:sz="6" w:space="0" w:color="auto"/>
              <w:bottom w:val="nil" w:sz="6" w:space="0" w:color="auto"/>
              <w:right w:val="nil" w:sz="6" w:space="0" w:color="auto"/>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8" w:type="dxa"/>
            <w:tcBorders>
              <w:top w:val="single" w:sz="12" w:space="0" w:color="000000"/>
              <w:left w:val="nil" w:sz="6" w:space="0" w:color="auto"/>
              <w:bottom w:val="nil" w:sz="6" w:space="0" w:color="auto"/>
              <w:right w:val="nil" w:sz="6" w:space="0" w:color="auto"/>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45" w:type="dxa"/>
            <w:tcBorders>
              <w:top w:val="single" w:sz="12" w:space="0" w:color="000000"/>
              <w:left w:val="nil" w:sz="6" w:space="0" w:color="auto"/>
              <w:bottom w:val="nil" w:sz="6" w:space="0" w:color="auto"/>
              <w:right w:val="nil" w:sz="6" w:space="0" w:color="auto"/>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8" w:type="dxa"/>
            <w:tcBorders>
              <w:top w:val="single" w:sz="12" w:space="0" w:color="000000"/>
              <w:left w:val="nil" w:sz="6" w:space="0" w:color="auto"/>
              <w:bottom w:val="nil" w:sz="6" w:space="0" w:color="auto"/>
              <w:right w:val="nil" w:sz="6" w:space="0" w:color="auto"/>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45" w:type="dxa"/>
            <w:tcBorders>
              <w:top w:val="single" w:sz="12" w:space="0" w:color="000000"/>
              <w:left w:val="nil" w:sz="6" w:space="0" w:color="auto"/>
              <w:bottom w:val="nil" w:sz="6" w:space="0" w:color="auto"/>
              <w:right w:val="nil" w:sz="6" w:space="0" w:color="auto"/>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72" w:type="dxa"/>
            <w:tcBorders>
              <w:top w:val="single" w:sz="12" w:space="0" w:color="000000"/>
              <w:left w:val="nil" w:sz="6" w:space="0" w:color="auto"/>
              <w:bottom w:val="nil" w:sz="6" w:space="0" w:color="auto"/>
              <w:right w:val="nil" w:sz="6" w:space="0" w:color="auto"/>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5"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63" w:right="0"/>
              <w:jc w:val="left"/>
              <w:rPr>
                <w:rFonts w:ascii="Arial" w:hAnsi="Arial" w:cs="Arial" w:eastAsia="Arial" w:hint="default"/>
                <w:sz w:val="21"/>
                <w:szCs w:val="21"/>
              </w:rPr>
            </w:pPr>
            <w:r>
              <w:rPr>
                <w:rFonts w:ascii="Arial"/>
                <w:sz w:val="21"/>
              </w:rPr>
              <w:t>10,738,780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76" w:right="0"/>
              <w:jc w:val="left"/>
              <w:rPr>
                <w:rFonts w:ascii="Arial" w:hAnsi="Arial" w:cs="Arial" w:eastAsia="Arial" w:hint="default"/>
                <w:sz w:val="21"/>
                <w:szCs w:val="21"/>
              </w:rPr>
            </w:pPr>
            <w:r>
              <w:rPr>
                <w:rFonts w:ascii="Arial"/>
                <w:sz w:val="21"/>
              </w:rPr>
              <w:t>99.9%</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91" w:right="0"/>
              <w:jc w:val="left"/>
              <w:rPr>
                <w:rFonts w:ascii="Arial" w:hAnsi="Arial" w:cs="Arial" w:eastAsia="Arial" w:hint="default"/>
                <w:sz w:val="21"/>
                <w:szCs w:val="21"/>
              </w:rPr>
            </w:pPr>
            <w:r>
              <w:rPr>
                <w:rFonts w:ascii="Arial"/>
                <w:sz w:val="21"/>
              </w:rPr>
              <w:t>(5,412)</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86" w:right="0"/>
              <w:jc w:val="left"/>
              <w:rPr>
                <w:rFonts w:ascii="Arial" w:hAnsi="Arial" w:cs="Arial" w:eastAsia="Arial" w:hint="default"/>
                <w:sz w:val="21"/>
                <w:szCs w:val="21"/>
              </w:rPr>
            </w:pPr>
            <w:r>
              <w:rPr>
                <w:rFonts w:ascii="Arial"/>
                <w:sz w:val="21"/>
              </w:rPr>
              <w:t>0.1%</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40" w:right="0"/>
              <w:jc w:val="left"/>
              <w:rPr>
                <w:rFonts w:ascii="Arial" w:hAnsi="Arial" w:cs="Arial" w:eastAsia="Arial" w:hint="default"/>
                <w:sz w:val="21"/>
                <w:szCs w:val="21"/>
              </w:rPr>
            </w:pPr>
            <w:r>
              <w:rPr>
                <w:rFonts w:ascii="Arial"/>
                <w:sz w:val="21"/>
              </w:rPr>
              <w:t>2,569,530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85" w:right="0"/>
              <w:jc w:val="left"/>
              <w:rPr>
                <w:rFonts w:ascii="Arial" w:hAnsi="Arial" w:cs="Arial" w:eastAsia="Arial" w:hint="default"/>
                <w:sz w:val="21"/>
                <w:szCs w:val="21"/>
              </w:rPr>
            </w:pPr>
            <w:r>
              <w:rPr>
                <w:rFonts w:ascii="Arial"/>
                <w:sz w:val="21"/>
              </w:rPr>
              <w:t>99.9%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313" w:right="0"/>
              <w:jc w:val="left"/>
              <w:rPr>
                <w:rFonts w:ascii="Arial" w:hAnsi="Arial" w:cs="Arial" w:eastAsia="Arial" w:hint="default"/>
                <w:sz w:val="21"/>
                <w:szCs w:val="21"/>
              </w:rPr>
            </w:pPr>
            <w:r>
              <w:rPr>
                <w:rFonts w:ascii="Arial"/>
                <w:sz w:val="21"/>
              </w:rPr>
              <w:t>(4,388)</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88" w:right="0"/>
              <w:jc w:val="left"/>
              <w:rPr>
                <w:rFonts w:ascii="Arial" w:hAnsi="Arial" w:cs="Arial" w:eastAsia="Arial" w:hint="default"/>
                <w:sz w:val="21"/>
                <w:szCs w:val="21"/>
              </w:rPr>
            </w:pPr>
            <w:r>
              <w:rPr>
                <w:rFonts w:ascii="Arial"/>
                <w:sz w:val="21"/>
              </w:rPr>
              <w:t>0.2%</w:t>
            </w:r>
          </w:p>
        </w:tc>
      </w:tr>
      <w:tr>
        <w:trPr>
          <w:trHeight w:val="274"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1" w:lineRule="exact"/>
              <w:ind w:right="31"/>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8" w:right="0"/>
              <w:jc w:val="left"/>
              <w:rPr>
                <w:rFonts w:ascii="Arial" w:hAnsi="Arial" w:cs="Arial" w:eastAsia="Arial" w:hint="default"/>
                <w:sz w:val="21"/>
                <w:szCs w:val="21"/>
              </w:rPr>
            </w:pPr>
            <w:r>
              <w:rPr>
                <w:rFonts w:ascii="Arial"/>
                <w:sz w:val="21"/>
              </w:rPr>
              <w:t>8,197</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4" w:right="0"/>
              <w:jc w:val="left"/>
              <w:rPr>
                <w:rFonts w:ascii="Arial" w:hAnsi="Arial" w:cs="Arial" w:eastAsia="Arial" w:hint="default"/>
                <w:sz w:val="21"/>
                <w:szCs w:val="21"/>
              </w:rPr>
            </w:pPr>
            <w:r>
              <w:rPr>
                <w:rFonts w:ascii="Arial"/>
                <w:sz w:val="21"/>
              </w:rPr>
              <w:t>0.1%</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6" w:right="0"/>
              <w:jc w:val="left"/>
              <w:rPr>
                <w:rFonts w:ascii="Arial" w:hAnsi="Arial" w:cs="Arial" w:eastAsia="Arial" w:hint="default"/>
                <w:sz w:val="21"/>
                <w:szCs w:val="21"/>
              </w:rPr>
            </w:pPr>
            <w:r>
              <w:rPr>
                <w:rFonts w:ascii="Arial"/>
                <w:sz w:val="21"/>
              </w:rPr>
              <w:t>(820)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Arial" w:hAnsi="Arial" w:cs="Arial" w:eastAsia="Arial" w:hint="default"/>
                <w:sz w:val="21"/>
                <w:szCs w:val="21"/>
              </w:rPr>
            </w:pPr>
            <w:r>
              <w:rPr>
                <w:rFonts w:ascii="Arial"/>
                <w:sz w:val="21"/>
              </w:rPr>
              <w:t>10%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24" w:right="0"/>
              <w:jc w:val="left"/>
              <w:rPr>
                <w:rFonts w:ascii="Arial" w:hAnsi="Arial" w:cs="Arial" w:eastAsia="Arial" w:hint="default"/>
                <w:sz w:val="21"/>
                <w:szCs w:val="21"/>
              </w:rPr>
            </w:pPr>
            <w:r>
              <w:rPr>
                <w:rFonts w:ascii="Arial"/>
                <w:sz w:val="21"/>
              </w:rPr>
              <w:t>676</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03" w:right="0"/>
              <w:jc w:val="left"/>
              <w:rPr>
                <w:rFonts w:ascii="Arial" w:hAnsi="Arial" w:cs="Arial" w:eastAsia="Arial" w:hint="default"/>
                <w:sz w:val="21"/>
                <w:szCs w:val="21"/>
              </w:rPr>
            </w:pPr>
            <w:r>
              <w:rPr>
                <w:rFonts w:ascii="Arial"/>
                <w:sz w:val="21"/>
              </w:rPr>
              <w:t>(68)</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21"/>
                <w:szCs w:val="21"/>
              </w:rPr>
            </w:pPr>
            <w:r>
              <w:rPr>
                <w:rFonts w:ascii="Arial"/>
                <w:sz w:val="21"/>
              </w:rPr>
              <w:t>10%</w:t>
            </w:r>
          </w:p>
        </w:tc>
      </w:tr>
      <w:tr>
        <w:trPr>
          <w:trHeight w:val="274"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1" w:lineRule="exact"/>
              <w:ind w:right="31"/>
              <w:jc w:val="center"/>
              <w:rPr>
                <w:rFonts w:ascii="宋体" w:hAnsi="宋体" w:cs="宋体" w:eastAsia="宋体" w:hint="default"/>
                <w:sz w:val="21"/>
                <w:szCs w:val="21"/>
              </w:rPr>
            </w:pPr>
            <w:r>
              <w:rPr>
                <w:rFonts w:ascii="宋体" w:hAnsi="宋体" w:cs="宋体" w:eastAsia="宋体" w:hint="default"/>
                <w:sz w:val="21"/>
                <w:szCs w:val="21"/>
              </w:rPr>
              <w:t>二到三年</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21"/>
                <w:szCs w:val="21"/>
              </w:rPr>
            </w:pPr>
            <w:r>
              <w:rPr>
                <w:rFonts w:ascii="Arial"/>
                <w:sz w:val="21"/>
              </w:rPr>
              <w:t>614</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4" w:right="0"/>
              <w:jc w:val="left"/>
              <w:rPr>
                <w:rFonts w:ascii="Arial" w:hAnsi="Arial" w:cs="Arial" w:eastAsia="Arial" w:hint="default"/>
                <w:sz w:val="21"/>
                <w:szCs w:val="21"/>
              </w:rPr>
            </w:pPr>
            <w:r>
              <w:rPr>
                <w:rFonts w:ascii="Arial"/>
                <w:sz w:val="21"/>
              </w:rPr>
              <w:t>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6" w:right="0"/>
              <w:jc w:val="left"/>
              <w:rPr>
                <w:rFonts w:ascii="Arial" w:hAnsi="Arial" w:cs="Arial" w:eastAsia="Arial" w:hint="default"/>
                <w:sz w:val="21"/>
                <w:szCs w:val="21"/>
              </w:rPr>
            </w:pPr>
            <w:r>
              <w:rPr>
                <w:rFonts w:ascii="Arial"/>
                <w:sz w:val="21"/>
              </w:rPr>
              <w:t>(123)</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Arial" w:hAnsi="Arial" w:cs="Arial" w:eastAsia="Arial" w:hint="default"/>
                <w:sz w:val="21"/>
                <w:szCs w:val="21"/>
              </w:rPr>
            </w:pPr>
            <w:r>
              <w:rPr>
                <w:rFonts w:ascii="Arial"/>
                <w:sz w:val="21"/>
              </w:rPr>
              <w:t>20%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48" w:right="0"/>
              <w:jc w:val="left"/>
              <w:rPr>
                <w:rFonts w:ascii="Arial" w:hAnsi="Arial" w:cs="Arial" w:eastAsia="Arial" w:hint="default"/>
                <w:sz w:val="21"/>
                <w:szCs w:val="21"/>
              </w:rPr>
            </w:pPr>
            <w:r>
              <w:rPr>
                <w:rFonts w:ascii="Arial"/>
                <w:sz w:val="21"/>
              </w:rPr>
              <w:t>1,350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0.1%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88" w:right="0"/>
              <w:jc w:val="left"/>
              <w:rPr>
                <w:rFonts w:ascii="Arial" w:hAnsi="Arial" w:cs="Arial" w:eastAsia="Arial" w:hint="default"/>
                <w:sz w:val="21"/>
                <w:szCs w:val="21"/>
              </w:rPr>
            </w:pPr>
            <w:r>
              <w:rPr>
                <w:rFonts w:ascii="Arial"/>
                <w:sz w:val="21"/>
              </w:rPr>
              <w:t>(270)</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21"/>
                <w:szCs w:val="21"/>
              </w:rPr>
            </w:pPr>
            <w:r>
              <w:rPr>
                <w:rFonts w:ascii="Arial"/>
                <w:sz w:val="21"/>
              </w:rPr>
              <w:t>20%</w:t>
            </w:r>
          </w:p>
        </w:tc>
      </w:tr>
      <w:tr>
        <w:trPr>
          <w:trHeight w:val="272"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1" w:lineRule="exact"/>
              <w:ind w:right="31"/>
              <w:jc w:val="center"/>
              <w:rPr>
                <w:rFonts w:ascii="宋体" w:hAnsi="宋体" w:cs="宋体" w:eastAsia="宋体" w:hint="default"/>
                <w:sz w:val="21"/>
                <w:szCs w:val="21"/>
              </w:rPr>
            </w:pPr>
            <w:r>
              <w:rPr>
                <w:rFonts w:ascii="宋体" w:hAnsi="宋体" w:cs="宋体" w:eastAsia="宋体" w:hint="default"/>
                <w:sz w:val="21"/>
                <w:szCs w:val="21"/>
              </w:rPr>
              <w:t>三到四年</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21"/>
                <w:szCs w:val="21"/>
              </w:rPr>
            </w:pPr>
            <w:r>
              <w:rPr>
                <w:rFonts w:ascii="Arial"/>
                <w:sz w:val="21"/>
              </w:rPr>
              <w:t>549</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4" w:right="0"/>
              <w:jc w:val="left"/>
              <w:rPr>
                <w:rFonts w:ascii="Arial" w:hAnsi="Arial" w:cs="Arial" w:eastAsia="Arial" w:hint="default"/>
                <w:sz w:val="21"/>
                <w:szCs w:val="21"/>
              </w:rPr>
            </w:pPr>
            <w:r>
              <w:rPr>
                <w:rFonts w:ascii="Arial"/>
                <w:sz w:val="21"/>
              </w:rPr>
              <w:t>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6" w:right="0"/>
              <w:jc w:val="left"/>
              <w:rPr>
                <w:rFonts w:ascii="Arial" w:hAnsi="Arial" w:cs="Arial" w:eastAsia="Arial" w:hint="default"/>
                <w:sz w:val="21"/>
                <w:szCs w:val="21"/>
              </w:rPr>
            </w:pPr>
            <w:r>
              <w:rPr>
                <w:rFonts w:ascii="Arial"/>
                <w:sz w:val="21"/>
              </w:rPr>
              <w:t>(165)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3" w:right="0"/>
              <w:jc w:val="left"/>
              <w:rPr>
                <w:rFonts w:ascii="Arial" w:hAnsi="Arial" w:cs="Arial" w:eastAsia="Arial" w:hint="default"/>
                <w:sz w:val="21"/>
                <w:szCs w:val="21"/>
              </w:rPr>
            </w:pPr>
            <w:r>
              <w:rPr>
                <w:rFonts w:ascii="Arial"/>
                <w:sz w:val="21"/>
              </w:rPr>
              <w:t>30%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24" w:right="0"/>
              <w:jc w:val="left"/>
              <w:rPr>
                <w:rFonts w:ascii="Arial" w:hAnsi="Arial" w:cs="Arial" w:eastAsia="Arial" w:hint="default"/>
                <w:sz w:val="21"/>
                <w:szCs w:val="21"/>
              </w:rPr>
            </w:pPr>
            <w:r>
              <w:rPr>
                <w:rFonts w:ascii="Arial"/>
                <w:sz w:val="21"/>
              </w:rPr>
              <w:t>159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03" w:right="0"/>
              <w:jc w:val="left"/>
              <w:rPr>
                <w:rFonts w:ascii="Arial" w:hAnsi="Arial" w:cs="Arial" w:eastAsia="Arial" w:hint="default"/>
                <w:sz w:val="21"/>
                <w:szCs w:val="21"/>
              </w:rPr>
            </w:pPr>
            <w:r>
              <w:rPr>
                <w:rFonts w:ascii="Arial"/>
                <w:sz w:val="21"/>
              </w:rPr>
              <w:t>(48)</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w:hAnsi="Arial" w:cs="Arial" w:eastAsia="Arial" w:hint="default"/>
                <w:sz w:val="21"/>
                <w:szCs w:val="21"/>
              </w:rPr>
            </w:pPr>
            <w:r>
              <w:rPr>
                <w:rFonts w:ascii="Arial"/>
                <w:sz w:val="21"/>
              </w:rPr>
              <w:t>30%</w:t>
            </w:r>
          </w:p>
        </w:tc>
      </w:tr>
      <w:tr>
        <w:trPr>
          <w:trHeight w:val="272"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0" w:lineRule="exact"/>
              <w:ind w:right="31"/>
              <w:jc w:val="center"/>
              <w:rPr>
                <w:rFonts w:ascii="宋体" w:hAnsi="宋体" w:cs="宋体" w:eastAsia="宋体" w:hint="default"/>
                <w:sz w:val="21"/>
                <w:szCs w:val="21"/>
              </w:rPr>
            </w:pPr>
            <w:r>
              <w:rPr>
                <w:rFonts w:ascii="宋体" w:hAnsi="宋体" w:cs="宋体" w:eastAsia="宋体" w:hint="default"/>
                <w:sz w:val="21"/>
                <w:szCs w:val="21"/>
              </w:rPr>
              <w:t>四到五年</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21"/>
                <w:szCs w:val="21"/>
              </w:rPr>
            </w:pPr>
            <w:r>
              <w:rPr>
                <w:rFonts w:ascii="Arial"/>
                <w:sz w:val="21"/>
              </w:rPr>
              <w:t>121</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4" w:right="0"/>
              <w:jc w:val="left"/>
              <w:rPr>
                <w:rFonts w:ascii="Arial" w:hAnsi="Arial" w:cs="Arial" w:eastAsia="Arial" w:hint="default"/>
                <w:sz w:val="21"/>
                <w:szCs w:val="21"/>
              </w:rPr>
            </w:pPr>
            <w:r>
              <w:rPr>
                <w:rFonts w:ascii="Arial"/>
                <w:sz w:val="21"/>
              </w:rPr>
              <w:t>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4" w:right="0"/>
              <w:jc w:val="left"/>
              <w:rPr>
                <w:rFonts w:ascii="Arial" w:hAnsi="Arial" w:cs="Arial" w:eastAsia="Arial" w:hint="default"/>
                <w:sz w:val="21"/>
                <w:szCs w:val="21"/>
              </w:rPr>
            </w:pPr>
            <w:r>
              <w:rPr>
                <w:rFonts w:ascii="Arial"/>
                <w:sz w:val="21"/>
              </w:rPr>
              <w:t>(73)</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3" w:right="0"/>
              <w:jc w:val="left"/>
              <w:rPr>
                <w:rFonts w:ascii="Arial" w:hAnsi="Arial" w:cs="Arial" w:eastAsia="Arial" w:hint="default"/>
                <w:sz w:val="21"/>
                <w:szCs w:val="21"/>
              </w:rPr>
            </w:pPr>
            <w:r>
              <w:rPr>
                <w:rFonts w:ascii="Arial"/>
                <w:sz w:val="21"/>
              </w:rPr>
              <w:t>60%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24" w:right="0"/>
              <w:jc w:val="left"/>
              <w:rPr>
                <w:rFonts w:ascii="Arial" w:hAnsi="Arial" w:cs="Arial" w:eastAsia="Arial" w:hint="default"/>
                <w:sz w:val="21"/>
                <w:szCs w:val="21"/>
              </w:rPr>
            </w:pPr>
            <w:r>
              <w:rPr>
                <w:rFonts w:ascii="Arial"/>
                <w:sz w:val="21"/>
              </w:rPr>
              <w:t>537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3" w:right="0"/>
              <w:jc w:val="left"/>
              <w:rPr>
                <w:rFonts w:ascii="Arial" w:hAnsi="Arial" w:cs="Arial" w:eastAsia="Arial" w:hint="default"/>
                <w:sz w:val="21"/>
                <w:szCs w:val="21"/>
              </w:rPr>
            </w:pPr>
            <w:r>
              <w:rPr>
                <w:rFonts w:ascii="Arial"/>
                <w:sz w:val="21"/>
              </w:rPr>
              <w:t>0.0%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8" w:right="0"/>
              <w:jc w:val="left"/>
              <w:rPr>
                <w:rFonts w:ascii="Arial" w:hAnsi="Arial" w:cs="Arial" w:eastAsia="Arial" w:hint="default"/>
                <w:sz w:val="21"/>
                <w:szCs w:val="21"/>
              </w:rPr>
            </w:pPr>
            <w:r>
              <w:rPr>
                <w:rFonts w:ascii="Arial"/>
                <w:sz w:val="21"/>
              </w:rPr>
              <w:t>(322)</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Arial" w:hAnsi="Arial" w:cs="Arial" w:eastAsia="Arial" w:hint="default"/>
                <w:sz w:val="21"/>
                <w:szCs w:val="21"/>
              </w:rPr>
            </w:pPr>
            <w:r>
              <w:rPr>
                <w:rFonts w:ascii="Arial"/>
                <w:sz w:val="21"/>
              </w:rPr>
              <w:t>60%</w:t>
            </w:r>
          </w:p>
        </w:tc>
      </w:tr>
      <w:tr>
        <w:trPr>
          <w:trHeight w:val="274" w:hRule="exact"/>
        </w:trPr>
        <w:tc>
          <w:tcPr>
            <w:tcW w:w="687"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1" w:lineRule="exact"/>
              <w:ind w:right="31"/>
              <w:jc w:val="center"/>
              <w:rPr>
                <w:rFonts w:ascii="宋体" w:hAnsi="宋体" w:cs="宋体" w:eastAsia="宋体" w:hint="default"/>
                <w:sz w:val="21"/>
                <w:szCs w:val="21"/>
              </w:rPr>
            </w:pPr>
            <w:r>
              <w:rPr>
                <w:rFonts w:ascii="宋体" w:hAnsi="宋体" w:cs="宋体" w:eastAsia="宋体" w:hint="default"/>
                <w:sz w:val="21"/>
                <w:szCs w:val="21"/>
              </w:rPr>
              <w:t>五年以上</w:t>
            </w:r>
          </w:p>
        </w:tc>
        <w:tc>
          <w:tcPr>
            <w:tcW w:w="1276" w:type="dxa"/>
            <w:tcBorders>
              <w:top w:val="nil" w:sz="6" w:space="0" w:color="auto"/>
              <w:left w:val="nil" w:sz="6" w:space="0" w:color="auto"/>
              <w:bottom w:val="nil" w:sz="6" w:space="0" w:color="auto"/>
              <w:right w:val="nil" w:sz="6" w:space="0" w:color="auto"/>
            </w:tcBorders>
          </w:tcPr>
          <w:p>
            <w:pPr>
              <w:pStyle w:val="TableParagraph"/>
              <w:tabs>
                <w:tab w:pos="863" w:val="left" w:leader="none"/>
                <w:tab w:pos="1706" w:val="left" w:leader="none"/>
              </w:tabs>
              <w:spacing w:line="240" w:lineRule="auto" w:before="16"/>
              <w:ind w:left="143" w:right="-432"/>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398</w:t>
              <w:tab/>
            </w:r>
            <w:r>
              <w:rPr>
                <w:rFonts w:ascii="Arial"/>
                <w:sz w:val="21"/>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31" w:right="0"/>
              <w:jc w:val="left"/>
              <w:rPr>
                <w:rFonts w:ascii="Arial" w:hAnsi="Arial" w:cs="Arial" w:eastAsia="Arial" w:hint="default"/>
                <w:sz w:val="21"/>
                <w:szCs w:val="21"/>
              </w:rPr>
            </w:pPr>
            <w:r>
              <w:rPr>
                <w:rFonts w:ascii="Arial"/>
                <w:w w:val="100"/>
                <w:sz w:val="21"/>
              </w:rPr>
            </w:r>
            <w:r>
              <w:rPr>
                <w:rFonts w:ascii="Arial"/>
                <w:sz w:val="21"/>
                <w:u w:val="single" w:color="000000"/>
              </w:rPr>
              <w:t>0.0%</w:t>
            </w:r>
            <w:r>
              <w:rPr>
                <w:rFonts w:ascii="Arial"/>
                <w:sz w:val="21"/>
              </w:rPr>
            </w:r>
          </w:p>
        </w:tc>
        <w:tc>
          <w:tcPr>
            <w:tcW w:w="988" w:type="dxa"/>
            <w:tcBorders>
              <w:top w:val="nil" w:sz="6" w:space="0" w:color="auto"/>
              <w:left w:val="nil" w:sz="6" w:space="0" w:color="auto"/>
              <w:bottom w:val="nil" w:sz="6" w:space="0" w:color="auto"/>
              <w:right w:val="nil" w:sz="6" w:space="0" w:color="auto"/>
            </w:tcBorders>
          </w:tcPr>
          <w:p>
            <w:pPr>
              <w:pStyle w:val="TableParagraph"/>
              <w:tabs>
                <w:tab w:pos="369" w:val="left" w:leader="none"/>
                <w:tab w:pos="1113" w:val="left" w:leader="none"/>
              </w:tabs>
              <w:spacing w:line="240" w:lineRule="auto" w:before="16"/>
              <w:ind w:left="11" w:right="-127"/>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(398)</w:t>
              <w:tab/>
            </w:r>
            <w:r>
              <w:rPr>
                <w:rFonts w:ascii="Arial"/>
                <w:sz w:val="21"/>
              </w:rPr>
            </w:r>
          </w:p>
        </w:tc>
        <w:tc>
          <w:tcPr>
            <w:tcW w:w="908"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16"/>
              <w:ind w:left="126" w:right="0"/>
              <w:jc w:val="lef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c>
          <w:tcPr>
            <w:tcW w:w="1245" w:type="dxa"/>
            <w:tcBorders>
              <w:top w:val="nil" w:sz="6" w:space="0" w:color="auto"/>
              <w:left w:val="nil" w:sz="6" w:space="0" w:color="auto"/>
              <w:bottom w:val="nil" w:sz="6" w:space="0" w:color="auto"/>
              <w:right w:val="nil" w:sz="6" w:space="0" w:color="auto"/>
            </w:tcBorders>
          </w:tcPr>
          <w:p>
            <w:pPr>
              <w:pStyle w:val="TableParagraph"/>
              <w:tabs>
                <w:tab w:pos="1104" w:val="left" w:leader="none"/>
                <w:tab w:pos="1856" w:val="left" w:leader="none"/>
              </w:tabs>
              <w:spacing w:line="240" w:lineRule="auto" w:before="16"/>
              <w:ind w:left="106" w:right="-612"/>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098"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16"/>
              <w:ind w:left="611" w:right="0"/>
              <w:jc w:val="left"/>
              <w:rPr>
                <w:rFonts w:ascii="Arial" w:hAnsi="Arial" w:cs="Arial" w:eastAsia="Arial" w:hint="default"/>
                <w:sz w:val="21"/>
                <w:szCs w:val="21"/>
              </w:rPr>
            </w:pPr>
            <w:r>
              <w:rPr>
                <w:rFonts w:ascii="Arial"/>
                <w:w w:val="100"/>
                <w:sz w:val="21"/>
              </w:rPr>
            </w:r>
            <w:r>
              <w:rPr>
                <w:rFonts w:ascii="Arial"/>
                <w:sz w:val="21"/>
                <w:u w:val="single" w:color="000000"/>
              </w:rPr>
              <w:t>-</w:t>
              <w:tab/>
            </w:r>
            <w:r>
              <w:rPr>
                <w:rFonts w:ascii="Arial"/>
                <w:sz w:val="21"/>
              </w:rPr>
            </w:r>
          </w:p>
        </w:tc>
        <w:tc>
          <w:tcPr>
            <w:tcW w:w="1045" w:type="dxa"/>
            <w:tcBorders>
              <w:top w:val="nil" w:sz="6" w:space="0" w:color="auto"/>
              <w:left w:val="nil" w:sz="6" w:space="0" w:color="auto"/>
              <w:bottom w:val="nil" w:sz="6" w:space="0" w:color="auto"/>
              <w:right w:val="nil" w:sz="6" w:space="0" w:color="auto"/>
            </w:tcBorders>
          </w:tcPr>
          <w:p>
            <w:pPr>
              <w:pStyle w:val="TableParagraph"/>
              <w:tabs>
                <w:tab w:pos="908" w:val="left" w:leader="none"/>
                <w:tab w:pos="1272" w:val="left" w:leader="none"/>
              </w:tabs>
              <w:spacing w:line="240" w:lineRule="auto" w:before="16"/>
              <w:ind w:left="29" w:right="-229"/>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872"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r>
      <w:tr>
        <w:trPr>
          <w:trHeight w:val="241" w:hRule="exact"/>
        </w:trPr>
        <w:tc>
          <w:tcPr>
            <w:tcW w:w="687" w:type="dxa"/>
            <w:tcBorders>
              <w:top w:val="nil" w:sz="6" w:space="0" w:color="auto"/>
              <w:left w:val="nil" w:sz="6" w:space="0" w:color="auto"/>
              <w:bottom w:val="single" w:sz="1" w:space="0" w:color="FFFF99"/>
              <w:right w:val="nil" w:sz="6" w:space="0" w:color="auto"/>
            </w:tcBorders>
          </w:tcPr>
          <w:p>
            <w:pPr/>
          </w:p>
        </w:tc>
        <w:tc>
          <w:tcPr>
            <w:tcW w:w="1135" w:type="dxa"/>
            <w:tcBorders>
              <w:top w:val="nil" w:sz="6" w:space="0" w:color="auto"/>
              <w:left w:val="nil" w:sz="6" w:space="0" w:color="auto"/>
              <w:bottom w:val="single" w:sz="1" w:space="0" w:color="FFFF99"/>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36" w:lineRule="exact"/>
              <w:ind w:left="163" w:right="0"/>
              <w:jc w:val="left"/>
              <w:rPr>
                <w:rFonts w:ascii="Arial" w:hAnsi="Arial" w:cs="Arial" w:eastAsia="Arial" w:hint="default"/>
                <w:sz w:val="21"/>
                <w:szCs w:val="21"/>
              </w:rPr>
            </w:pPr>
            <w:r>
              <w:rPr>
                <w:rFonts w:ascii="Arial"/>
                <w:sz w:val="21"/>
              </w:rPr>
              <w:t>10,748,659</w:t>
            </w:r>
          </w:p>
        </w:tc>
        <w:tc>
          <w:tcPr>
            <w:tcW w:w="1103" w:type="dxa"/>
            <w:tcBorders>
              <w:top w:val="nil" w:sz="6" w:space="0" w:color="auto"/>
              <w:left w:val="nil" w:sz="6" w:space="0" w:color="auto"/>
              <w:bottom w:val="single" w:sz="12" w:space="0" w:color="000000"/>
              <w:right w:val="nil" w:sz="6" w:space="0" w:color="auto"/>
            </w:tcBorders>
          </w:tcPr>
          <w:p>
            <w:pPr>
              <w:pStyle w:val="TableParagraph"/>
              <w:spacing w:line="236" w:lineRule="exact"/>
              <w:ind w:left="59" w:right="0"/>
              <w:jc w:val="left"/>
              <w:rPr>
                <w:rFonts w:ascii="Arial" w:hAnsi="Arial" w:cs="Arial" w:eastAsia="Arial" w:hint="default"/>
                <w:sz w:val="21"/>
                <w:szCs w:val="21"/>
              </w:rPr>
            </w:pPr>
            <w:r>
              <w:rPr>
                <w:rFonts w:ascii="Arial"/>
                <w:sz w:val="21"/>
              </w:rPr>
              <w:t>100.0%</w:t>
            </w:r>
          </w:p>
        </w:tc>
        <w:tc>
          <w:tcPr>
            <w:tcW w:w="988" w:type="dxa"/>
            <w:tcBorders>
              <w:top w:val="nil" w:sz="6" w:space="0" w:color="auto"/>
              <w:left w:val="nil" w:sz="6" w:space="0" w:color="auto"/>
              <w:bottom w:val="single" w:sz="12" w:space="0" w:color="000000"/>
              <w:right w:val="nil" w:sz="6" w:space="0" w:color="auto"/>
            </w:tcBorders>
          </w:tcPr>
          <w:p>
            <w:pPr>
              <w:pStyle w:val="TableParagraph"/>
              <w:spacing w:line="236" w:lineRule="exact"/>
              <w:ind w:left="191" w:right="0"/>
              <w:jc w:val="left"/>
              <w:rPr>
                <w:rFonts w:ascii="Arial" w:hAnsi="Arial" w:cs="Arial" w:eastAsia="Arial" w:hint="default"/>
                <w:sz w:val="21"/>
                <w:szCs w:val="21"/>
              </w:rPr>
            </w:pPr>
            <w:r>
              <w:rPr>
                <w:rFonts w:ascii="Arial"/>
                <w:sz w:val="21"/>
              </w:rPr>
              <w:t>(6,991)</w:t>
            </w:r>
          </w:p>
        </w:tc>
        <w:tc>
          <w:tcPr>
            <w:tcW w:w="908" w:type="dxa"/>
            <w:tcBorders>
              <w:top w:val="nil" w:sz="6" w:space="0" w:color="auto"/>
              <w:left w:val="nil" w:sz="6" w:space="0" w:color="auto"/>
              <w:bottom w:val="single" w:sz="12" w:space="0" w:color="000000"/>
              <w:right w:val="nil" w:sz="6" w:space="0" w:color="auto"/>
            </w:tcBorders>
          </w:tcPr>
          <w:p>
            <w:pPr/>
          </w:p>
        </w:tc>
        <w:tc>
          <w:tcPr>
            <w:tcW w:w="1245" w:type="dxa"/>
            <w:tcBorders>
              <w:top w:val="nil" w:sz="6" w:space="0" w:color="auto"/>
              <w:left w:val="nil" w:sz="6" w:space="0" w:color="auto"/>
              <w:bottom w:val="single" w:sz="12" w:space="0" w:color="000000"/>
              <w:right w:val="nil" w:sz="6" w:space="0" w:color="auto"/>
            </w:tcBorders>
          </w:tcPr>
          <w:p>
            <w:pPr>
              <w:pStyle w:val="TableParagraph"/>
              <w:spacing w:line="236" w:lineRule="exact"/>
              <w:ind w:left="240" w:right="0"/>
              <w:jc w:val="left"/>
              <w:rPr>
                <w:rFonts w:ascii="Arial" w:hAnsi="Arial" w:cs="Arial" w:eastAsia="Arial" w:hint="default"/>
                <w:sz w:val="21"/>
                <w:szCs w:val="21"/>
              </w:rPr>
            </w:pPr>
            <w:r>
              <w:rPr>
                <w:rFonts w:ascii="Arial"/>
                <w:sz w:val="21"/>
              </w:rPr>
              <w:t>2,572,252</w:t>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36" w:lineRule="exact"/>
              <w:ind w:left="68" w:right="0"/>
              <w:jc w:val="left"/>
              <w:rPr>
                <w:rFonts w:ascii="Arial" w:hAnsi="Arial" w:cs="Arial" w:eastAsia="Arial" w:hint="default"/>
                <w:sz w:val="21"/>
                <w:szCs w:val="21"/>
              </w:rPr>
            </w:pPr>
            <w:r>
              <w:rPr>
                <w:rFonts w:ascii="Arial"/>
                <w:sz w:val="21"/>
              </w:rPr>
              <w:t>100.0%</w:t>
            </w:r>
          </w:p>
        </w:tc>
        <w:tc>
          <w:tcPr>
            <w:tcW w:w="1045" w:type="dxa"/>
            <w:tcBorders>
              <w:top w:val="nil" w:sz="6" w:space="0" w:color="auto"/>
              <w:left w:val="nil" w:sz="6" w:space="0" w:color="auto"/>
              <w:bottom w:val="single" w:sz="12" w:space="0" w:color="000000"/>
              <w:right w:val="nil" w:sz="6" w:space="0" w:color="auto"/>
            </w:tcBorders>
          </w:tcPr>
          <w:p>
            <w:pPr>
              <w:pStyle w:val="TableParagraph"/>
              <w:spacing w:line="236" w:lineRule="exact"/>
              <w:ind w:left="313" w:right="0"/>
              <w:jc w:val="left"/>
              <w:rPr>
                <w:rFonts w:ascii="Arial" w:hAnsi="Arial" w:cs="Arial" w:eastAsia="Arial" w:hint="default"/>
                <w:sz w:val="21"/>
                <w:szCs w:val="21"/>
              </w:rPr>
            </w:pPr>
            <w:r>
              <w:rPr>
                <w:rFonts w:ascii="Arial"/>
                <w:sz w:val="21"/>
              </w:rPr>
              <w:t>(5,096)</w:t>
            </w:r>
          </w:p>
        </w:tc>
        <w:tc>
          <w:tcPr>
            <w:tcW w:w="872" w:type="dxa"/>
            <w:tcBorders>
              <w:top w:val="nil" w:sz="6" w:space="0" w:color="auto"/>
              <w:left w:val="nil" w:sz="6" w:space="0" w:color="auto"/>
              <w:bottom w:val="single" w:sz="12" w:space="0" w:color="000000"/>
              <w:right w:val="nil" w:sz="6" w:space="0" w:color="auto"/>
            </w:tcBorders>
          </w:tcPr>
          <w:p>
            <w:pPr/>
          </w:p>
        </w:tc>
      </w:tr>
      <w:tr>
        <w:trPr>
          <w:trHeight w:val="580" w:hRule="exact"/>
        </w:trPr>
        <w:tc>
          <w:tcPr>
            <w:tcW w:w="687" w:type="dxa"/>
            <w:tcBorders>
              <w:top w:val="single" w:sz="1" w:space="0" w:color="FFFF99"/>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Arial" w:hAnsi="Arial" w:cs="Arial" w:eastAsia="Arial" w:hint="default"/>
                <w:sz w:val="24"/>
                <w:szCs w:val="24"/>
              </w:rPr>
            </w:pPr>
            <w:r>
              <w:rPr>
                <w:rFonts w:ascii="Arial"/>
                <w:sz w:val="24"/>
              </w:rPr>
              <w:t>(d)</w:t>
            </w:r>
          </w:p>
        </w:tc>
        <w:tc>
          <w:tcPr>
            <w:tcW w:w="3514" w:type="dxa"/>
            <w:gridSpan w:val="3"/>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宋体" w:hAnsi="宋体" w:cs="宋体" w:eastAsia="宋体" w:hint="default"/>
                <w:sz w:val="24"/>
                <w:szCs w:val="24"/>
              </w:rPr>
            </w:pPr>
            <w:r>
              <w:rPr>
                <w:rFonts w:ascii="宋体" w:hAnsi="宋体" w:cs="宋体" w:eastAsia="宋体" w:hint="default"/>
                <w:sz w:val="24"/>
                <w:szCs w:val="24"/>
              </w:rPr>
              <w:t>本年度无核销的应收账款。</w:t>
            </w:r>
          </w:p>
        </w:tc>
        <w:tc>
          <w:tcPr>
            <w:tcW w:w="988" w:type="dxa"/>
            <w:tcBorders>
              <w:top w:val="single" w:sz="12" w:space="0" w:color="000000"/>
              <w:left w:val="nil" w:sz="6" w:space="0" w:color="auto"/>
              <w:bottom w:val="nil" w:sz="6" w:space="0" w:color="auto"/>
              <w:right w:val="nil" w:sz="6" w:space="0" w:color="auto"/>
            </w:tcBorders>
          </w:tcPr>
          <w:p>
            <w:pPr/>
          </w:p>
        </w:tc>
        <w:tc>
          <w:tcPr>
            <w:tcW w:w="908" w:type="dxa"/>
            <w:tcBorders>
              <w:top w:val="single" w:sz="12" w:space="0" w:color="000000"/>
              <w:left w:val="nil" w:sz="6" w:space="0" w:color="auto"/>
              <w:bottom w:val="nil" w:sz="6" w:space="0" w:color="auto"/>
              <w:right w:val="nil" w:sz="6" w:space="0" w:color="auto"/>
            </w:tcBorders>
          </w:tcPr>
          <w:p>
            <w:pPr/>
          </w:p>
        </w:tc>
        <w:tc>
          <w:tcPr>
            <w:tcW w:w="1245" w:type="dxa"/>
            <w:tcBorders>
              <w:top w:val="single" w:sz="12" w:space="0" w:color="000000"/>
              <w:left w:val="nil" w:sz="6" w:space="0" w:color="auto"/>
              <w:bottom w:val="nil" w:sz="6" w:space="0" w:color="auto"/>
              <w:right w:val="nil" w:sz="6" w:space="0" w:color="auto"/>
            </w:tcBorders>
          </w:tcPr>
          <w:p>
            <w:pPr/>
          </w:p>
        </w:tc>
        <w:tc>
          <w:tcPr>
            <w:tcW w:w="1098" w:type="dxa"/>
            <w:tcBorders>
              <w:top w:val="single" w:sz="12" w:space="0" w:color="000000"/>
              <w:left w:val="nil" w:sz="6" w:space="0" w:color="auto"/>
              <w:bottom w:val="nil" w:sz="6" w:space="0" w:color="auto"/>
              <w:right w:val="nil" w:sz="6" w:space="0" w:color="auto"/>
            </w:tcBorders>
          </w:tcPr>
          <w:p>
            <w:pPr/>
          </w:p>
        </w:tc>
        <w:tc>
          <w:tcPr>
            <w:tcW w:w="1045" w:type="dxa"/>
            <w:tcBorders>
              <w:top w:val="single" w:sz="12" w:space="0" w:color="000000"/>
              <w:left w:val="nil" w:sz="6" w:space="0" w:color="auto"/>
              <w:bottom w:val="nil" w:sz="6" w:space="0" w:color="auto"/>
              <w:right w:val="nil" w:sz="6" w:space="0" w:color="auto"/>
            </w:tcBorders>
          </w:tcPr>
          <w:p>
            <w:pPr/>
          </w:p>
        </w:tc>
        <w:tc>
          <w:tcPr>
            <w:tcW w:w="872" w:type="dxa"/>
            <w:tcBorders>
              <w:top w:val="single" w:sz="12" w:space="0" w:color="000000"/>
              <w:left w:val="nil" w:sz="6" w:space="0" w:color="auto"/>
              <w:bottom w:val="nil" w:sz="6" w:space="0" w:color="auto"/>
              <w:right w:val="nil" w:sz="6" w:space="0" w:color="auto"/>
            </w:tcBorders>
          </w:tcPr>
          <w:p>
            <w:pPr/>
          </w:p>
        </w:tc>
      </w:tr>
    </w:tbl>
    <w:p>
      <w:pPr>
        <w:spacing w:line="240" w:lineRule="auto" w:before="11"/>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700"/>
        <w:gridCol w:w="3702"/>
        <w:gridCol w:w="1470"/>
        <w:gridCol w:w="1505"/>
        <w:gridCol w:w="1370"/>
        <w:gridCol w:w="1511"/>
      </w:tblGrid>
      <w:tr>
        <w:trPr>
          <w:trHeight w:val="734"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right="4"/>
              <w:jc w:val="center"/>
              <w:rPr>
                <w:rFonts w:ascii="Arial" w:hAnsi="Arial" w:cs="Arial" w:eastAsia="Arial" w:hint="default"/>
                <w:sz w:val="24"/>
                <w:szCs w:val="24"/>
              </w:rPr>
            </w:pPr>
            <w:r>
              <w:rPr>
                <w:rFonts w:ascii="Arial"/>
                <w:sz w:val="24"/>
              </w:rPr>
              <w:t>(e)</w:t>
            </w:r>
          </w:p>
        </w:tc>
        <w:tc>
          <w:tcPr>
            <w:tcW w:w="9558" w:type="dxa"/>
            <w:gridSpan w:val="5"/>
            <w:tcBorders>
              <w:top w:val="nil" w:sz="6" w:space="0" w:color="auto"/>
              <w:left w:val="nil" w:sz="6" w:space="0" w:color="auto"/>
              <w:bottom w:val="nil" w:sz="6" w:space="0" w:color="auto"/>
              <w:right w:val="nil" w:sz="6" w:space="0" w:color="auto"/>
            </w:tcBorders>
          </w:tcPr>
          <w:p>
            <w:pPr>
              <w:pStyle w:val="TableParagraph"/>
              <w:spacing w:line="253" w:lineRule="exact"/>
              <w:ind w:left="20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51"/>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53"/>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51"/>
                <w:sz w:val="24"/>
                <w:szCs w:val="24"/>
              </w:rPr>
              <w:t> </w:t>
            </w:r>
            <w:r>
              <w:rPr>
                <w:rFonts w:ascii="宋体" w:hAnsi="宋体" w:cs="宋体" w:eastAsia="宋体" w:hint="default"/>
                <w:sz w:val="24"/>
                <w:szCs w:val="24"/>
              </w:rPr>
              <w:t>日，应收账款中无应收持有本公司</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含</w:t>
            </w:r>
          </w:p>
          <w:p>
            <w:pPr>
              <w:pStyle w:val="TableParagraph"/>
              <w:spacing w:line="322" w:lineRule="exact"/>
              <w:ind w:left="206" w:right="0"/>
              <w:jc w:val="left"/>
              <w:rPr>
                <w:rFonts w:ascii="宋体" w:hAnsi="宋体" w:cs="宋体" w:eastAsia="宋体" w:hint="default"/>
                <w:sz w:val="24"/>
                <w:szCs w:val="24"/>
              </w:rPr>
            </w:pP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r>
        <w:trPr>
          <w:trHeight w:val="591"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8"/>
              <w:jc w:val="center"/>
              <w:rPr>
                <w:rFonts w:ascii="Arial" w:hAnsi="Arial" w:cs="Arial" w:eastAsia="Arial" w:hint="default"/>
                <w:sz w:val="24"/>
                <w:szCs w:val="24"/>
              </w:rPr>
            </w:pPr>
            <w:r>
              <w:rPr>
                <w:rFonts w:ascii="Arial"/>
                <w:sz w:val="24"/>
              </w:rPr>
              <w:t>(f)</w:t>
            </w:r>
          </w:p>
        </w:tc>
        <w:tc>
          <w:tcPr>
            <w:tcW w:w="66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20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日，余额前五名的应收账款分析如下：</w:t>
            </w:r>
          </w:p>
        </w:tc>
        <w:tc>
          <w:tcPr>
            <w:tcW w:w="1370"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r>
      <w:tr>
        <w:trPr>
          <w:trHeight w:val="894" w:hRule="exact"/>
        </w:trPr>
        <w:tc>
          <w:tcPr>
            <w:tcW w:w="700" w:type="dxa"/>
            <w:tcBorders>
              <w:top w:val="nil" w:sz="6" w:space="0" w:color="auto"/>
              <w:left w:val="nil" w:sz="6" w:space="0" w:color="auto"/>
              <w:bottom w:val="nil" w:sz="6" w:space="0" w:color="auto"/>
              <w:right w:val="nil" w:sz="6" w:space="0" w:color="auto"/>
            </w:tcBorders>
          </w:tcPr>
          <w:p>
            <w:pPr/>
          </w:p>
        </w:tc>
        <w:tc>
          <w:tcPr>
            <w:tcW w:w="5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132"/>
              <w:jc w:val="right"/>
              <w:rPr>
                <w:rFonts w:ascii="宋体" w:hAnsi="宋体" w:cs="宋体" w:eastAsia="宋体" w:hint="default"/>
                <w:sz w:val="24"/>
                <w:szCs w:val="24"/>
              </w:rPr>
            </w:pPr>
            <w:r>
              <w:rPr>
                <w:rFonts w:ascii="宋体" w:hAnsi="宋体" w:cs="宋体" w:eastAsia="宋体" w:hint="default"/>
                <w:sz w:val="24"/>
                <w:szCs w:val="24"/>
              </w:rPr>
              <w:t>与本公司关系</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298"/>
              <w:jc w:val="right"/>
              <w:rPr>
                <w:rFonts w:ascii="宋体" w:hAnsi="宋体" w:cs="宋体" w:eastAsia="宋体" w:hint="default"/>
                <w:sz w:val="24"/>
                <w:szCs w:val="24"/>
              </w:rPr>
            </w:pPr>
            <w:r>
              <w:rPr>
                <w:rFonts w:ascii="宋体" w:hAnsi="宋体" w:cs="宋体" w:eastAsia="宋体" w:hint="default"/>
                <w:sz w:val="24"/>
                <w:szCs w:val="24"/>
              </w:rPr>
              <w:t>金额</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年限</w:t>
            </w:r>
          </w:p>
        </w:tc>
        <w:tc>
          <w:tcPr>
            <w:tcW w:w="1511"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349" w:right="199" w:hanging="240"/>
              <w:jc w:val="left"/>
              <w:rPr>
                <w:rFonts w:ascii="宋体" w:hAnsi="宋体" w:cs="宋体" w:eastAsia="宋体" w:hint="default"/>
                <w:sz w:val="24"/>
                <w:szCs w:val="24"/>
              </w:rPr>
            </w:pPr>
            <w:r>
              <w:rPr>
                <w:rFonts w:ascii="宋体" w:hAnsi="宋体" w:cs="宋体" w:eastAsia="宋体" w:hint="default"/>
                <w:sz w:val="24"/>
                <w:szCs w:val="24"/>
              </w:rPr>
              <w:t>占应收账款 总额比例</w:t>
            </w:r>
          </w:p>
        </w:tc>
      </w:tr>
      <w:tr>
        <w:trPr>
          <w:trHeight w:val="465"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6" w:right="0"/>
              <w:jc w:val="left"/>
              <w:rPr>
                <w:rFonts w:ascii="宋体" w:hAnsi="宋体" w:cs="宋体" w:eastAsia="宋体" w:hint="default"/>
                <w:sz w:val="24"/>
                <w:szCs w:val="24"/>
              </w:rPr>
            </w:pPr>
            <w:r>
              <w:rPr>
                <w:rFonts w:ascii="宋体" w:hAnsi="宋体" w:cs="宋体" w:eastAsia="宋体" w:hint="default"/>
                <w:sz w:val="24"/>
                <w:szCs w:val="24"/>
              </w:rPr>
              <w:t>南京雨花苏宁电器有限公司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2"/>
              <w:jc w:val="right"/>
              <w:rPr>
                <w:rFonts w:ascii="宋体" w:hAnsi="宋体" w:cs="宋体" w:eastAsia="宋体" w:hint="default"/>
                <w:sz w:val="24"/>
                <w:szCs w:val="24"/>
              </w:rPr>
            </w:pPr>
            <w:r>
              <w:rPr>
                <w:rFonts w:ascii="宋体" w:hAnsi="宋体" w:cs="宋体" w:eastAsia="宋体" w:hint="default"/>
                <w:sz w:val="24"/>
                <w:szCs w:val="24"/>
              </w:rPr>
              <w:t>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34" w:right="0"/>
              <w:jc w:val="left"/>
              <w:rPr>
                <w:rFonts w:ascii="Arial" w:hAnsi="Arial" w:cs="Arial" w:eastAsia="Arial" w:hint="default"/>
                <w:sz w:val="24"/>
                <w:szCs w:val="24"/>
              </w:rPr>
            </w:pPr>
            <w:r>
              <w:rPr>
                <w:rFonts w:ascii="Arial"/>
                <w:sz w:val="24"/>
              </w:rPr>
              <w:t>1,049,046</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61" w:right="0"/>
              <w:jc w:val="left"/>
              <w:rPr>
                <w:rFonts w:ascii="Arial" w:hAnsi="Arial" w:cs="Arial" w:eastAsia="Arial" w:hint="default"/>
                <w:sz w:val="24"/>
                <w:szCs w:val="24"/>
              </w:rPr>
            </w:pPr>
            <w:r>
              <w:rPr>
                <w:rFonts w:ascii="Arial"/>
                <w:sz w:val="24"/>
              </w:rPr>
              <w:t>9.7%</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Style w:val="TableParagraph"/>
              <w:spacing w:line="261" w:lineRule="exact"/>
              <w:ind w:left="206" w:right="0"/>
              <w:jc w:val="left"/>
              <w:rPr>
                <w:rFonts w:ascii="宋体" w:hAnsi="宋体" w:cs="宋体" w:eastAsia="宋体" w:hint="default"/>
                <w:sz w:val="24"/>
                <w:szCs w:val="24"/>
              </w:rPr>
            </w:pPr>
            <w:r>
              <w:rPr>
                <w:rFonts w:ascii="宋体" w:hAnsi="宋体" w:cs="宋体" w:eastAsia="宋体" w:hint="default"/>
                <w:sz w:val="24"/>
                <w:szCs w:val="24"/>
              </w:rPr>
              <w:t>广州苏宁电器有限公司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61" w:lineRule="exact"/>
              <w:ind w:right="132"/>
              <w:jc w:val="right"/>
              <w:rPr>
                <w:rFonts w:ascii="宋体" w:hAnsi="宋体" w:cs="宋体" w:eastAsia="宋体" w:hint="default"/>
                <w:sz w:val="24"/>
                <w:szCs w:val="24"/>
              </w:rPr>
            </w:pPr>
            <w:r>
              <w:rPr>
                <w:rFonts w:ascii="宋体" w:hAnsi="宋体" w:cs="宋体" w:eastAsia="宋体" w:hint="default"/>
                <w:sz w:val="24"/>
                <w:szCs w:val="24"/>
              </w:rPr>
              <w:t>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8" w:right="0"/>
              <w:jc w:val="left"/>
              <w:rPr>
                <w:rFonts w:ascii="Arial" w:hAnsi="Arial" w:cs="Arial" w:eastAsia="Arial" w:hint="default"/>
                <w:sz w:val="24"/>
                <w:szCs w:val="24"/>
              </w:rPr>
            </w:pPr>
            <w:r>
              <w:rPr>
                <w:rFonts w:ascii="Arial"/>
                <w:sz w:val="24"/>
              </w:rPr>
              <w:t>980,394</w:t>
            </w:r>
          </w:p>
        </w:tc>
        <w:tc>
          <w:tcPr>
            <w:tcW w:w="1370"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1" w:right="0"/>
              <w:jc w:val="left"/>
              <w:rPr>
                <w:rFonts w:ascii="Arial" w:hAnsi="Arial" w:cs="Arial" w:eastAsia="Arial" w:hint="default"/>
                <w:sz w:val="24"/>
                <w:szCs w:val="24"/>
              </w:rPr>
            </w:pPr>
            <w:r>
              <w:rPr>
                <w:rFonts w:ascii="Arial"/>
                <w:sz w:val="24"/>
              </w:rPr>
              <w:t>9.1%</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Style w:val="TableParagraph"/>
              <w:spacing w:line="261" w:lineRule="exact"/>
              <w:ind w:left="206" w:right="0"/>
              <w:jc w:val="left"/>
              <w:rPr>
                <w:rFonts w:ascii="宋体" w:hAnsi="宋体" w:cs="宋体" w:eastAsia="宋体" w:hint="default"/>
                <w:sz w:val="24"/>
                <w:szCs w:val="24"/>
              </w:rPr>
            </w:pPr>
            <w:r>
              <w:rPr>
                <w:rFonts w:ascii="宋体" w:hAnsi="宋体" w:cs="宋体" w:eastAsia="宋体" w:hint="default"/>
                <w:sz w:val="24"/>
                <w:szCs w:val="24"/>
              </w:rPr>
              <w:t>北京京朝苏宁电器有限公司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61" w:lineRule="exact"/>
              <w:ind w:right="132"/>
              <w:jc w:val="right"/>
              <w:rPr>
                <w:rFonts w:ascii="宋体" w:hAnsi="宋体" w:cs="宋体" w:eastAsia="宋体" w:hint="default"/>
                <w:sz w:val="24"/>
                <w:szCs w:val="24"/>
              </w:rPr>
            </w:pPr>
            <w:r>
              <w:rPr>
                <w:rFonts w:ascii="宋体" w:hAnsi="宋体" w:cs="宋体" w:eastAsia="宋体" w:hint="default"/>
                <w:sz w:val="24"/>
                <w:szCs w:val="24"/>
              </w:rPr>
              <w:t>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8" w:right="0"/>
              <w:jc w:val="left"/>
              <w:rPr>
                <w:rFonts w:ascii="Arial" w:hAnsi="Arial" w:cs="Arial" w:eastAsia="Arial" w:hint="default"/>
                <w:sz w:val="24"/>
                <w:szCs w:val="24"/>
              </w:rPr>
            </w:pPr>
            <w:r>
              <w:rPr>
                <w:rFonts w:ascii="Arial"/>
                <w:sz w:val="24"/>
              </w:rPr>
              <w:t>951,919</w:t>
            </w:r>
          </w:p>
        </w:tc>
        <w:tc>
          <w:tcPr>
            <w:tcW w:w="1370"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1" w:right="0"/>
              <w:jc w:val="left"/>
              <w:rPr>
                <w:rFonts w:ascii="Arial" w:hAnsi="Arial" w:cs="Arial" w:eastAsia="Arial" w:hint="default"/>
                <w:sz w:val="24"/>
                <w:szCs w:val="24"/>
              </w:rPr>
            </w:pPr>
            <w:r>
              <w:rPr>
                <w:rFonts w:ascii="Arial"/>
                <w:sz w:val="24"/>
              </w:rPr>
              <w:t>8.8%</w:t>
            </w:r>
          </w:p>
        </w:tc>
      </w:tr>
      <w:tr>
        <w:trPr>
          <w:trHeight w:val="312"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Style w:val="TableParagraph"/>
              <w:spacing w:line="261" w:lineRule="exact"/>
              <w:ind w:left="206" w:right="0"/>
              <w:jc w:val="left"/>
              <w:rPr>
                <w:rFonts w:ascii="宋体" w:hAnsi="宋体" w:cs="宋体" w:eastAsia="宋体" w:hint="default"/>
                <w:sz w:val="24"/>
                <w:szCs w:val="24"/>
              </w:rPr>
            </w:pPr>
            <w:r>
              <w:rPr>
                <w:rFonts w:ascii="宋体" w:hAnsi="宋体" w:cs="宋体" w:eastAsia="宋体" w:hint="default"/>
                <w:sz w:val="24"/>
                <w:szCs w:val="24"/>
              </w:rPr>
              <w:t>四川苏宁物流有限公司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61" w:lineRule="exact"/>
              <w:ind w:right="132"/>
              <w:jc w:val="right"/>
              <w:rPr>
                <w:rFonts w:ascii="宋体" w:hAnsi="宋体" w:cs="宋体" w:eastAsia="宋体" w:hint="default"/>
                <w:sz w:val="24"/>
                <w:szCs w:val="24"/>
              </w:rPr>
            </w:pPr>
            <w:r>
              <w:rPr>
                <w:rFonts w:ascii="宋体" w:hAnsi="宋体" w:cs="宋体" w:eastAsia="宋体" w:hint="default"/>
                <w:sz w:val="24"/>
                <w:szCs w:val="24"/>
              </w:rPr>
              <w:t>子公司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8" w:right="0"/>
              <w:jc w:val="left"/>
              <w:rPr>
                <w:rFonts w:ascii="Arial" w:hAnsi="Arial" w:cs="Arial" w:eastAsia="Arial" w:hint="default"/>
                <w:sz w:val="24"/>
                <w:szCs w:val="24"/>
              </w:rPr>
            </w:pPr>
            <w:r>
              <w:rPr>
                <w:rFonts w:ascii="Arial"/>
                <w:sz w:val="24"/>
              </w:rPr>
              <w:t>687,501</w:t>
            </w:r>
          </w:p>
        </w:tc>
        <w:tc>
          <w:tcPr>
            <w:tcW w:w="1370"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1" w:right="0"/>
              <w:jc w:val="left"/>
              <w:rPr>
                <w:rFonts w:ascii="Arial" w:hAnsi="Arial" w:cs="Arial" w:eastAsia="Arial" w:hint="default"/>
                <w:sz w:val="24"/>
                <w:szCs w:val="24"/>
              </w:rPr>
            </w:pPr>
            <w:r>
              <w:rPr>
                <w:rFonts w:ascii="Arial"/>
                <w:sz w:val="24"/>
              </w:rPr>
              <w:t>6.4%</w:t>
            </w:r>
          </w:p>
        </w:tc>
      </w:tr>
      <w:tr>
        <w:trPr>
          <w:trHeight w:val="314"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Style w:val="TableParagraph"/>
              <w:spacing w:line="261" w:lineRule="exact"/>
              <w:ind w:left="206" w:right="0"/>
              <w:jc w:val="left"/>
              <w:rPr>
                <w:rFonts w:ascii="宋体" w:hAnsi="宋体" w:cs="宋体" w:eastAsia="宋体" w:hint="default"/>
                <w:sz w:val="24"/>
                <w:szCs w:val="24"/>
              </w:rPr>
            </w:pPr>
            <w:r>
              <w:rPr>
                <w:rFonts w:ascii="宋体" w:hAnsi="宋体" w:cs="宋体" w:eastAsia="宋体" w:hint="default"/>
                <w:sz w:val="24"/>
                <w:szCs w:val="24"/>
              </w:rPr>
              <w:t>重庆巴渝苏宁电器有限公司</w:t>
            </w:r>
          </w:p>
        </w:tc>
        <w:tc>
          <w:tcPr>
            <w:tcW w:w="1470" w:type="dxa"/>
            <w:tcBorders>
              <w:top w:val="nil" w:sz="6" w:space="0" w:color="auto"/>
              <w:left w:val="nil" w:sz="6" w:space="0" w:color="auto"/>
              <w:bottom w:val="nil" w:sz="6" w:space="0" w:color="auto"/>
              <w:right w:val="nil" w:sz="6" w:space="0" w:color="auto"/>
            </w:tcBorders>
          </w:tcPr>
          <w:p>
            <w:pPr>
              <w:pStyle w:val="TableParagraph"/>
              <w:spacing w:line="261" w:lineRule="exact"/>
              <w:ind w:right="132"/>
              <w:jc w:val="right"/>
              <w:rPr>
                <w:rFonts w:ascii="宋体" w:hAnsi="宋体" w:cs="宋体" w:eastAsia="宋体" w:hint="default"/>
                <w:sz w:val="24"/>
                <w:szCs w:val="24"/>
              </w:rPr>
            </w:pPr>
            <w:r>
              <w:rPr>
                <w:rFonts w:ascii="宋体" w:hAnsi="宋体" w:cs="宋体" w:eastAsia="宋体" w:hint="default"/>
                <w:sz w:val="24"/>
                <w:szCs w:val="24"/>
              </w:rPr>
              <w:t>子公司</w:t>
            </w:r>
          </w:p>
        </w:tc>
        <w:tc>
          <w:tcPr>
            <w:tcW w:w="1505" w:type="dxa"/>
            <w:tcBorders>
              <w:top w:val="nil" w:sz="6" w:space="0" w:color="auto"/>
              <w:left w:val="nil" w:sz="6" w:space="0" w:color="auto"/>
              <w:bottom w:val="nil" w:sz="6" w:space="0" w:color="auto"/>
              <w:right w:val="nil" w:sz="6" w:space="0" w:color="auto"/>
            </w:tcBorders>
          </w:tcPr>
          <w:p>
            <w:pPr>
              <w:pStyle w:val="TableParagraph"/>
              <w:tabs>
                <w:tab w:pos="338" w:val="left" w:leader="none"/>
                <w:tab w:pos="1312" w:val="left" w:leader="none"/>
              </w:tabs>
              <w:spacing w:line="240" w:lineRule="auto" w:before="21"/>
              <w:ind w:left="-27" w:right="1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634,475</w:t>
              <w:tab/>
            </w:r>
            <w:r>
              <w:rPr>
                <w:rFonts w:ascii="Arial"/>
                <w:spacing w:val="-1"/>
                <w:sz w:val="24"/>
              </w:rPr>
            </w:r>
          </w:p>
        </w:tc>
        <w:tc>
          <w:tcPr>
            <w:tcW w:w="1370" w:type="dxa"/>
            <w:tcBorders>
              <w:top w:val="nil" w:sz="6" w:space="0" w:color="auto"/>
              <w:left w:val="nil" w:sz="6" w:space="0" w:color="auto"/>
              <w:bottom w:val="nil" w:sz="6" w:space="0" w:color="auto"/>
              <w:right w:val="nil" w:sz="6" w:space="0" w:color="auto"/>
            </w:tcBorders>
          </w:tcPr>
          <w:p>
            <w:pPr>
              <w:pStyle w:val="TableParagraph"/>
              <w:spacing w:line="261" w:lineRule="exact"/>
              <w:ind w:right="107"/>
              <w:jc w:val="right"/>
              <w:rPr>
                <w:rFonts w:ascii="宋体" w:hAnsi="宋体" w:cs="宋体" w:eastAsia="宋体" w:hint="default"/>
                <w:sz w:val="24"/>
                <w:szCs w:val="24"/>
              </w:rPr>
            </w:pPr>
            <w:r>
              <w:rPr>
                <w:rFonts w:ascii="宋体" w:hAnsi="宋体" w:cs="宋体" w:eastAsia="宋体" w:hint="default"/>
                <w:sz w:val="24"/>
                <w:szCs w:val="24"/>
              </w:rPr>
              <w:t>一年以内</w:t>
            </w:r>
          </w:p>
        </w:tc>
        <w:tc>
          <w:tcPr>
            <w:tcW w:w="1511" w:type="dxa"/>
            <w:tcBorders>
              <w:top w:val="nil" w:sz="6" w:space="0" w:color="auto"/>
              <w:left w:val="nil" w:sz="6" w:space="0" w:color="auto"/>
              <w:bottom w:val="nil" w:sz="6" w:space="0" w:color="auto"/>
              <w:right w:val="nil" w:sz="6" w:space="0" w:color="auto"/>
            </w:tcBorders>
          </w:tcPr>
          <w:p>
            <w:pPr>
              <w:pStyle w:val="TableParagraph"/>
              <w:tabs>
                <w:tab w:pos="761" w:val="left" w:leader="none"/>
                <w:tab w:pos="1414" w:val="left" w:leader="none"/>
              </w:tabs>
              <w:spacing w:line="240" w:lineRule="auto" w:before="21"/>
              <w:ind w:left="-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5.9%</w:t>
              <w:tab/>
            </w:r>
            <w:r>
              <w:rPr>
                <w:rFonts w:ascii="Arial"/>
                <w:sz w:val="24"/>
              </w:rPr>
            </w:r>
          </w:p>
        </w:tc>
      </w:tr>
      <w:tr>
        <w:trPr>
          <w:trHeight w:val="263" w:hRule="exact"/>
        </w:trPr>
        <w:tc>
          <w:tcPr>
            <w:tcW w:w="700" w:type="dxa"/>
            <w:tcBorders>
              <w:top w:val="nil" w:sz="6" w:space="0" w:color="auto"/>
              <w:left w:val="nil" w:sz="6" w:space="0" w:color="auto"/>
              <w:bottom w:val="nil" w:sz="6" w:space="0" w:color="auto"/>
              <w:right w:val="nil" w:sz="6" w:space="0" w:color="auto"/>
            </w:tcBorders>
          </w:tcPr>
          <w:p>
            <w:pPr/>
          </w:p>
        </w:tc>
        <w:tc>
          <w:tcPr>
            <w:tcW w:w="3702"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tabs>
                <w:tab w:pos="1312" w:val="left" w:leader="none"/>
              </w:tabs>
              <w:spacing w:line="268" w:lineRule="exact"/>
              <w:ind w:left="-27" w:right="19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9"/>
                <w:sz w:val="24"/>
                <w:u w:val="thick" w:color="000000"/>
              </w:rPr>
              <w:t> </w:t>
            </w:r>
            <w:r>
              <w:rPr>
                <w:rFonts w:ascii="Arial"/>
                <w:spacing w:val="-1"/>
                <w:sz w:val="24"/>
                <w:u w:val="thick" w:color="000000"/>
              </w:rPr>
              <w:t>4,303,335</w:t>
              <w:tab/>
            </w:r>
            <w:r>
              <w:rPr>
                <w:rFonts w:ascii="Arial"/>
                <w:spacing w:val="-1"/>
                <w:sz w:val="24"/>
              </w:rPr>
            </w:r>
          </w:p>
        </w:tc>
        <w:tc>
          <w:tcPr>
            <w:tcW w:w="1370"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tabs>
                <w:tab w:pos="627" w:val="left" w:leader="none"/>
                <w:tab w:pos="1414" w:val="left" w:leader="none"/>
              </w:tabs>
              <w:spacing w:line="268" w:lineRule="exact"/>
              <w:ind w:left="-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39.9%</w:t>
              <w:tab/>
            </w:r>
            <w:r>
              <w:rPr>
                <w:rFonts w:ascii="Arial"/>
                <w:sz w:val="24"/>
              </w:rPr>
            </w:r>
          </w:p>
        </w:tc>
      </w:tr>
    </w:tbl>
    <w:p>
      <w:pPr>
        <w:spacing w:after="0" w:line="268" w:lineRule="exact"/>
        <w:jc w:val="lef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p>
      <w:pPr>
        <w:spacing w:line="20" w:lineRule="exact"/>
        <w:ind w:left="7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0.6pt;height:.75pt;mso-position-horizontal-relative:char;mso-position-vertical-relative:line" coordorigin="0,0" coordsize="8812,15">
            <v:group style="position:absolute;left:7;top:7;width:8798;height:2" coordorigin="7,7" coordsize="8798,2">
              <v:shape style="position:absolute;left:7;top:7;width:8798;height:2" coordorigin="7,7" coordsize="8798,0" path="m7,7l8805,7e" filled="false" stroked="true" strokeweight=".71999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628"/>
        <w:gridCol w:w="3760"/>
      </w:tblGrid>
      <w:tr>
        <w:trPr>
          <w:trHeight w:val="517"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Arial" w:hAnsi="Arial" w:cs="Arial" w:eastAsia="Arial" w:hint="default"/>
                <w:sz w:val="24"/>
                <w:szCs w:val="24"/>
              </w:rPr>
            </w:pPr>
            <w:r>
              <w:rPr>
                <w:rFonts w:ascii="Arial"/>
                <w:sz w:val="24"/>
              </w:rPr>
              <w:t>(1)</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13" w:right="0"/>
              <w:jc w:val="left"/>
              <w:rPr>
                <w:rFonts w:ascii="Arial" w:hAnsi="Arial" w:cs="Arial" w:eastAsia="Arial" w:hint="default"/>
                <w:sz w:val="24"/>
                <w:szCs w:val="24"/>
              </w:rPr>
            </w:pPr>
            <w:r>
              <w:rPr>
                <w:rFonts w:ascii="宋体" w:hAnsi="宋体" w:cs="宋体" w:eastAsia="宋体" w:hint="default"/>
                <w:b/>
                <w:bCs/>
                <w:sz w:val="24"/>
                <w:szCs w:val="24"/>
              </w:rPr>
              <w:t>应收账款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11" w:hRule="exact"/>
        </w:trPr>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Arial" w:hAnsi="Arial" w:cs="Arial" w:eastAsia="Arial" w:hint="default"/>
                <w:sz w:val="24"/>
                <w:szCs w:val="24"/>
              </w:rPr>
            </w:pPr>
            <w:r>
              <w:rPr>
                <w:rFonts w:ascii="Arial"/>
                <w:sz w:val="24"/>
              </w:rPr>
              <w:t>(g)</w:t>
            </w:r>
          </w:p>
        </w:tc>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5" w:right="0"/>
              <w:jc w:val="left"/>
              <w:rPr>
                <w:rFonts w:ascii="宋体" w:hAnsi="宋体" w:cs="宋体" w:eastAsia="宋体" w:hint="default"/>
                <w:sz w:val="24"/>
                <w:szCs w:val="24"/>
              </w:rPr>
            </w:pPr>
            <w:r>
              <w:rPr>
                <w:rFonts w:ascii="宋体" w:hAnsi="宋体" w:cs="宋体" w:eastAsia="宋体" w:hint="default"/>
                <w:sz w:val="24"/>
                <w:szCs w:val="24"/>
              </w:rPr>
              <w:t>应收关联方的应收账款分析如下：</w:t>
            </w:r>
          </w:p>
        </w:tc>
      </w:tr>
    </w:tbl>
    <w:p>
      <w:pPr>
        <w:spacing w:line="240" w:lineRule="auto" w:before="6"/>
        <w:rPr>
          <w:rFonts w:ascii="Times New Roman" w:hAnsi="Times New Roman" w:cs="Times New Roman" w:eastAsia="Times New Roman" w:hint="default"/>
          <w:sz w:val="12"/>
          <w:szCs w:val="12"/>
        </w:rPr>
      </w:pPr>
    </w:p>
    <w:p>
      <w:pPr>
        <w:tabs>
          <w:tab w:pos="4447" w:val="left" w:leader="none"/>
          <w:tab w:pos="7476" w:val="left" w:leader="none"/>
        </w:tabs>
        <w:spacing w:before="36"/>
        <w:ind w:left="2409" w:right="0" w:firstLine="0"/>
        <w:jc w:val="left"/>
        <w:rPr>
          <w:rFonts w:ascii="宋体" w:hAnsi="宋体" w:cs="宋体" w:eastAsia="宋体" w:hint="default"/>
          <w:sz w:val="21"/>
          <w:szCs w:val="21"/>
        </w:rPr>
      </w:pPr>
      <w:r>
        <w:rPr/>
        <w:pict>
          <v:group style="position:absolute;margin-left:247.25pt;margin-top:17.183693pt;width:138.75pt;height:1.45pt;mso-position-horizontal-relative:page;mso-position-vertical-relative:paragraph;z-index:-1358128" coordorigin="4945,344" coordsize="2775,29">
            <v:group style="position:absolute;left:4959;top:358;width:677;height:2" coordorigin="4959,358" coordsize="677,2">
              <v:shape style="position:absolute;left:4959;top:358;width:677;height:2" coordorigin="4959,358" coordsize="677,0" path="m4959,358l5636,358e" filled="false" stroked="true" strokeweight="1.44pt" strokecolor="#000000">
                <v:path arrowok="t"/>
              </v:shape>
            </v:group>
            <v:group style="position:absolute;left:5636;top:358;width:29;height:2" coordorigin="5636,358" coordsize="29,2">
              <v:shape style="position:absolute;left:5636;top:358;width:29;height:2" coordorigin="5636,358" coordsize="29,0" path="m5636,358l5665,358e" filled="false" stroked="true" strokeweight="1.44pt" strokecolor="#000000">
                <v:path arrowok="t"/>
              </v:shape>
            </v:group>
            <v:group style="position:absolute;left:5665;top:358;width:1023;height:2" coordorigin="5665,358" coordsize="1023,2">
              <v:shape style="position:absolute;left:5665;top:358;width:1023;height:2" coordorigin="5665,358" coordsize="1023,0" path="m5665,358l6688,358e" filled="false" stroked="true" strokeweight="1.44pt" strokecolor="#000000">
                <v:path arrowok="t"/>
              </v:shape>
            </v:group>
            <v:group style="position:absolute;left:6688;top:358;width:29;height:2" coordorigin="6688,358" coordsize="29,2">
              <v:shape style="position:absolute;left:6688;top:358;width:29;height:2" coordorigin="6688,358" coordsize="29,0" path="m6688,358l6717,358e" filled="false" stroked="true" strokeweight="1.44pt" strokecolor="#000000">
                <v:path arrowok="t"/>
              </v:shape>
            </v:group>
            <v:group style="position:absolute;left:6717;top:358;width:255;height:2" coordorigin="6717,358" coordsize="255,2">
              <v:shape style="position:absolute;left:6717;top:358;width:255;height:2" coordorigin="6717,358" coordsize="255,0" path="m6717,358l6971,358e" filled="false" stroked="true" strokeweight="1.44pt" strokecolor="#000000">
                <v:path arrowok="t"/>
              </v:shape>
            </v:group>
            <v:group style="position:absolute;left:6971;top:358;width:29;height:2" coordorigin="6971,358" coordsize="29,2">
              <v:shape style="position:absolute;left:6971;top:358;width:29;height:2" coordorigin="6971,358" coordsize="29,0" path="m6971,358l7000,358e" filled="false" stroked="true" strokeweight="1.44pt" strokecolor="#000000">
                <v:path arrowok="t"/>
              </v:shape>
            </v:group>
            <v:group style="position:absolute;left:7000;top:358;width:706;height:2" coordorigin="7000,358" coordsize="706,2">
              <v:shape style="position:absolute;left:7000;top:358;width:706;height:2" coordorigin="7000,358" coordsize="706,0" path="m7000,358l7705,358e" filled="false" stroked="true" strokeweight="1.44pt" strokecolor="#000000">
                <v:path arrowok="t"/>
              </v:shape>
            </v:group>
            <w10:wrap type="none"/>
          </v:group>
        </w:pict>
      </w:r>
      <w:r>
        <w:rPr/>
        <w:pict>
          <v:group style="position:absolute;margin-left:396.309998pt;margin-top:17.183693pt;width:144.4pt;height:1.45pt;mso-position-horizontal-relative:page;mso-position-vertical-relative:paragraph;z-index:-1358104" coordorigin="7926,344" coordsize="2888,29">
            <v:group style="position:absolute;left:7941;top:358;width:720;height:2" coordorigin="7941,358" coordsize="720,2">
              <v:shape style="position:absolute;left:7941;top:358;width:720;height:2" coordorigin="7941,358" coordsize="720,0" path="m7941,358l8661,358e" filled="false" stroked="true" strokeweight="1.44pt" strokecolor="#000000">
                <v:path arrowok="t"/>
              </v:shape>
            </v:group>
            <v:group style="position:absolute;left:8661;top:358;width:29;height:2" coordorigin="8661,358" coordsize="29,2">
              <v:shape style="position:absolute;left:8661;top:358;width:29;height:2" coordorigin="8661,358" coordsize="29,0" path="m8661,358l8689,358e" filled="false" stroked="true" strokeweight="1.44pt" strokecolor="#000000">
                <v:path arrowok="t"/>
              </v:shape>
            </v:group>
            <v:group style="position:absolute;left:8689;top:358;width:1103;height:2" coordorigin="8689,358" coordsize="1103,2">
              <v:shape style="position:absolute;left:8689;top:358;width:1103;height:2" coordorigin="8689,358" coordsize="1103,0" path="m8689,358l9791,358e" filled="false" stroked="true" strokeweight="1.44pt" strokecolor="#000000">
                <v:path arrowok="t"/>
              </v:shape>
            </v:group>
            <v:group style="position:absolute;left:9792;top:358;width:29;height:2" coordorigin="9792,358" coordsize="29,2">
              <v:shape style="position:absolute;left:9792;top:358;width:29;height:2" coordorigin="9792,358" coordsize="29,0" path="m9792,358l9820,358e" filled="false" stroked="true" strokeweight="1.44pt" strokecolor="#000000">
                <v:path arrowok="t"/>
              </v:shape>
            </v:group>
            <v:group style="position:absolute;left:9820;top:358;width:209;height:2" coordorigin="9820,358" coordsize="209,2">
              <v:shape style="position:absolute;left:9820;top:358;width:209;height:2" coordorigin="9820,358" coordsize="209,0" path="m9820,358l10029,358e" filled="false" stroked="true" strokeweight="1.44pt" strokecolor="#000000">
                <v:path arrowok="t"/>
              </v:shape>
            </v:group>
            <v:group style="position:absolute;left:10029;top:358;width:29;height:2" coordorigin="10029,358" coordsize="29,2">
              <v:shape style="position:absolute;left:10029;top:358;width:29;height:2" coordorigin="10029,358" coordsize="29,0" path="m10029,358l10058,358e" filled="false" stroked="true" strokeweight="1.44pt" strokecolor="#000000">
                <v:path arrowok="t"/>
              </v:shape>
            </v:group>
            <v:group style="position:absolute;left:10058;top:358;width:742;height:2" coordorigin="10058,358" coordsize="742,2">
              <v:shape style="position:absolute;left:10058;top:358;width:742;height:2" coordorigin="10058,358" coordsize="742,0" path="m10058,358l10800,358e" filled="false" stroked="true" strokeweight="1.44pt" strokecolor="#000000">
                <v:path arrowok="t"/>
              </v:shape>
            </v:group>
            <w10:wrap type="none"/>
          </v:group>
        </w:pict>
      </w:r>
      <w:r>
        <w:rPr>
          <w:rFonts w:ascii="宋体" w:hAnsi="宋体" w:cs="宋体" w:eastAsia="宋体" w:hint="default"/>
          <w:spacing w:val="-1"/>
          <w:sz w:val="21"/>
          <w:szCs w:val="21"/>
        </w:rPr>
        <w:t>与本集团关系</w:t>
        <w:tab/>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pacing w:val="-2"/>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w:t>
        <w:tab/>
      </w:r>
      <w:r>
        <w:rPr>
          <w:rFonts w:ascii="Arial" w:hAnsi="Arial" w:cs="Arial" w:eastAsia="Arial" w:hint="default"/>
          <w:spacing w:val="-1"/>
          <w:sz w:val="21"/>
          <w:szCs w:val="21"/>
        </w:rPr>
        <w:t>2010</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pacing w:val="-2"/>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50"/>
          <w:pgMar w:header="754" w:footer="956" w:top="2240" w:bottom="1140" w:left="980" w:right="0"/>
        </w:sectPr>
      </w:pPr>
    </w:p>
    <w:p>
      <w:pPr>
        <w:tabs>
          <w:tab w:pos="6149" w:val="left" w:leader="none"/>
        </w:tabs>
        <w:spacing w:before="12"/>
        <w:ind w:left="4646" w:right="0" w:hanging="538"/>
        <w:jc w:val="righ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15"/>
          <w:sz w:val="21"/>
          <w:szCs w:val="21"/>
        </w:rPr>
        <w:t> </w:t>
      </w:r>
      <w:r>
        <w:rPr>
          <w:rFonts w:ascii="宋体" w:hAnsi="宋体" w:cs="宋体" w:eastAsia="宋体" w:hint="default"/>
          <w:sz w:val="21"/>
          <w:szCs w:val="21"/>
        </w:rPr>
        <w:t>占应收账款</w:t>
        <w:tab/>
        <w:t>坏账</w:t>
      </w:r>
      <w:r>
        <w:rPr>
          <w:rFonts w:ascii="宋体" w:hAnsi="宋体" w:cs="宋体" w:eastAsia="宋体" w:hint="default"/>
          <w:w w:val="100"/>
          <w:sz w:val="21"/>
          <w:szCs w:val="21"/>
        </w:rPr>
        <w:t> </w:t>
      </w:r>
      <w:r>
        <w:rPr>
          <w:rFonts w:ascii="宋体" w:hAnsi="宋体" w:cs="宋体" w:eastAsia="宋体" w:hint="default"/>
          <w:spacing w:val="-1"/>
          <w:sz w:val="21"/>
          <w:szCs w:val="21"/>
        </w:rPr>
        <w:t>总额的比例</w:t>
        <w:tab/>
      </w:r>
      <w:r>
        <w:rPr>
          <w:rFonts w:ascii="宋体" w:hAnsi="宋体" w:cs="宋体" w:eastAsia="宋体" w:hint="default"/>
          <w:sz w:val="21"/>
          <w:szCs w:val="21"/>
        </w:rPr>
        <w:t>准备</w:t>
      </w:r>
    </w:p>
    <w:p>
      <w:pPr>
        <w:spacing w:before="28"/>
        <w:ind w:left="0" w:right="1234" w:firstLine="0"/>
        <w:jc w:val="right"/>
        <w:rPr>
          <w:rFonts w:ascii="Arial" w:hAnsi="Arial" w:cs="Arial" w:eastAsia="Arial" w:hint="default"/>
          <w:sz w:val="21"/>
          <w:szCs w:val="21"/>
        </w:rPr>
      </w:pPr>
      <w:r>
        <w:rPr>
          <w:rFonts w:ascii="Arial"/>
          <w:spacing w:val="-1"/>
          <w:sz w:val="21"/>
        </w:rPr>
        <w:t>(%)</w:t>
      </w:r>
      <w:r>
        <w:rPr>
          <w:rFonts w:ascii="Arial"/>
          <w:sz w:val="21"/>
        </w:rPr>
      </w:r>
    </w:p>
    <w:p>
      <w:pPr>
        <w:tabs>
          <w:tab w:pos="2612" w:val="left" w:leader="none"/>
        </w:tabs>
        <w:spacing w:before="12"/>
        <w:ind w:left="1083" w:right="1277" w:hanging="584"/>
        <w:jc w:val="left"/>
        <w:rPr>
          <w:rFonts w:ascii="宋体" w:hAnsi="宋体" w:cs="宋体" w:eastAsia="宋体" w:hint="default"/>
          <w:sz w:val="21"/>
          <w:szCs w:val="21"/>
        </w:rPr>
      </w:pPr>
      <w:r>
        <w:rPr/>
        <w:br w:type="column"/>
      </w:r>
      <w:r>
        <w:rPr>
          <w:rFonts w:ascii="宋体" w:hAnsi="宋体" w:cs="宋体" w:eastAsia="宋体" w:hint="default"/>
          <w:sz w:val="21"/>
          <w:szCs w:val="21"/>
        </w:rPr>
        <w:t>金额</w:t>
      </w:r>
      <w:r>
        <w:rPr>
          <w:rFonts w:ascii="宋体" w:hAnsi="宋体" w:cs="宋体" w:eastAsia="宋体" w:hint="default"/>
          <w:spacing w:val="60"/>
          <w:sz w:val="21"/>
          <w:szCs w:val="21"/>
        </w:rPr>
        <w:t> </w:t>
      </w:r>
      <w:r>
        <w:rPr>
          <w:rFonts w:ascii="宋体" w:hAnsi="宋体" w:cs="宋体" w:eastAsia="宋体" w:hint="default"/>
          <w:sz w:val="21"/>
          <w:szCs w:val="21"/>
        </w:rPr>
        <w:t>占应收账款</w:t>
        <w:tab/>
        <w:t>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总额的比例</w:t>
        <w:tab/>
      </w:r>
      <w:r>
        <w:rPr>
          <w:rFonts w:ascii="宋体" w:hAnsi="宋体" w:cs="宋体" w:eastAsia="宋体" w:hint="default"/>
          <w:sz w:val="21"/>
          <w:szCs w:val="21"/>
        </w:rPr>
        <w:t>准备</w:t>
      </w:r>
    </w:p>
    <w:p>
      <w:pPr>
        <w:spacing w:before="28"/>
        <w:ind w:left="1427" w:right="2520" w:firstLine="0"/>
        <w:jc w:val="center"/>
        <w:rPr>
          <w:rFonts w:ascii="Arial" w:hAnsi="Arial" w:cs="Arial" w:eastAsia="Arial" w:hint="default"/>
          <w:sz w:val="21"/>
          <w:szCs w:val="21"/>
        </w:rPr>
      </w:pPr>
      <w:r>
        <w:rPr>
          <w:rFonts w:ascii="Arial"/>
          <w:sz w:val="21"/>
        </w:rPr>
        <w:t>(%)</w:t>
      </w:r>
    </w:p>
    <w:p>
      <w:pPr>
        <w:spacing w:after="0"/>
        <w:jc w:val="center"/>
        <w:rPr>
          <w:rFonts w:ascii="Arial" w:hAnsi="Arial" w:cs="Arial" w:eastAsia="Arial" w:hint="default"/>
          <w:sz w:val="21"/>
          <w:szCs w:val="21"/>
        </w:rPr>
        <w:sectPr>
          <w:type w:val="continuous"/>
          <w:pgSz w:w="11910" w:h="16850"/>
          <w:pgMar w:top="980" w:bottom="1100" w:left="980" w:right="0"/>
          <w:cols w:num="2" w:equalWidth="0">
            <w:col w:w="6572" w:space="40"/>
            <w:col w:w="4318"/>
          </w:cols>
        </w:sectPr>
      </w:pPr>
    </w:p>
    <w:p>
      <w:pPr>
        <w:spacing w:line="240" w:lineRule="auto" w:before="3"/>
        <w:rPr>
          <w:rFonts w:ascii="Arial" w:hAnsi="Arial" w:cs="Arial" w:eastAsia="Arial" w:hint="default"/>
          <w:sz w:val="15"/>
          <w:szCs w:val="15"/>
        </w:rPr>
      </w:pPr>
    </w:p>
    <w:p>
      <w:pPr>
        <w:spacing w:after="0" w:line="240" w:lineRule="auto"/>
        <w:rPr>
          <w:rFonts w:ascii="Arial" w:hAnsi="Arial" w:cs="Arial" w:eastAsia="Arial" w:hint="default"/>
          <w:sz w:val="15"/>
          <w:szCs w:val="15"/>
        </w:rPr>
        <w:sectPr>
          <w:type w:val="continuous"/>
          <w:pgSz w:w="11910" w:h="16850"/>
          <w:pgMar w:top="980" w:bottom="1100" w:left="980" w:right="0"/>
        </w:sectPr>
      </w:pPr>
    </w:p>
    <w:p>
      <w:pPr>
        <w:spacing w:before="36"/>
        <w:ind w:left="1043" w:right="-11" w:hanging="173"/>
        <w:jc w:val="left"/>
        <w:rPr>
          <w:rFonts w:ascii="宋体" w:hAnsi="宋体" w:cs="宋体" w:eastAsia="宋体" w:hint="default"/>
          <w:sz w:val="21"/>
          <w:szCs w:val="21"/>
        </w:rPr>
      </w:pPr>
      <w:r>
        <w:rPr>
          <w:rFonts w:ascii="宋体" w:hAnsi="宋体" w:cs="宋体" w:eastAsia="宋体" w:hint="default"/>
          <w:spacing w:val="-1"/>
          <w:sz w:val="21"/>
          <w:szCs w:val="21"/>
        </w:rPr>
        <w:t>银河国际购物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广场</w:t>
      </w:r>
    </w:p>
    <w:p>
      <w:pPr>
        <w:spacing w:before="36"/>
        <w:ind w:left="523" w:right="1104" w:firstLine="0"/>
        <w:jc w:val="left"/>
        <w:rPr>
          <w:rFonts w:ascii="宋体" w:hAnsi="宋体" w:cs="宋体" w:eastAsia="宋体" w:hint="default"/>
          <w:sz w:val="21"/>
          <w:szCs w:val="21"/>
        </w:rPr>
      </w:pPr>
      <w:r>
        <w:rPr/>
        <w:br w:type="column"/>
      </w:r>
      <w:r>
        <w:rPr>
          <w:rFonts w:ascii="宋体" w:hAnsi="宋体" w:cs="宋体" w:eastAsia="宋体" w:hint="default"/>
          <w:sz w:val="21"/>
          <w:szCs w:val="21"/>
        </w:rPr>
        <w:t>苏宁电器集团</w:t>
      </w:r>
    </w:p>
    <w:p>
      <w:pPr>
        <w:tabs>
          <w:tab w:pos="2715" w:val="left" w:leader="none"/>
          <w:tab w:pos="3817" w:val="left" w:leader="none"/>
          <w:tab w:pos="4376" w:val="left" w:leader="none"/>
          <w:tab w:pos="4787" w:val="left" w:leader="none"/>
          <w:tab w:pos="5331" w:val="left" w:leader="none"/>
          <w:tab w:pos="6460" w:val="left" w:leader="none"/>
          <w:tab w:pos="6875" w:val="left" w:leader="none"/>
          <w:tab w:pos="7468" w:val="left" w:leader="none"/>
          <w:tab w:pos="7629" w:val="left" w:leader="none"/>
        </w:tabs>
        <w:spacing w:line="249" w:lineRule="auto" w:before="0"/>
        <w:ind w:left="2026" w:right="1104" w:hanging="1890"/>
        <w:jc w:val="left"/>
        <w:rPr>
          <w:rFonts w:ascii="Arial" w:hAnsi="Arial" w:cs="Arial" w:eastAsia="Arial" w:hint="default"/>
          <w:sz w:val="21"/>
          <w:szCs w:val="21"/>
        </w:rPr>
      </w:pPr>
      <w:r>
        <w:rPr>
          <w:rFonts w:ascii="宋体" w:hAnsi="宋体" w:cs="宋体" w:eastAsia="宋体" w:hint="default"/>
          <w:spacing w:val="-3"/>
          <w:position w:val="1"/>
          <w:sz w:val="21"/>
          <w:szCs w:val="21"/>
        </w:rPr>
        <w:t>有限公司之子公司</w:t>
      </w:r>
      <w:r>
        <w:rPr>
          <w:rFonts w:ascii="宋体" w:hAnsi="宋体" w:cs="宋体" w:eastAsia="宋体" w:hint="default"/>
          <w:spacing w:val="-15"/>
          <w:position w:val="1"/>
          <w:sz w:val="21"/>
          <w:szCs w:val="21"/>
        </w:rPr>
        <w:t> </w:t>
      </w:r>
      <w:r>
        <w:rPr>
          <w:rFonts w:ascii="宋体" w:hAnsi="宋体" w:cs="宋体" w:eastAsia="宋体" w:hint="default"/>
          <w:spacing w:val="37"/>
          <w:position w:val="1"/>
          <w:sz w:val="21"/>
          <w:szCs w:val="21"/>
        </w:rPr>
        <w:t> </w:t>
      </w:r>
      <w:r>
        <w:rPr>
          <w:rFonts w:ascii="Arial" w:hAnsi="Arial" w:cs="Arial" w:eastAsia="Arial" w:hint="default"/>
          <w:spacing w:val="37"/>
          <w:sz w:val="21"/>
          <w:szCs w:val="21"/>
        </w:rPr>
      </w:r>
      <w:r>
        <w:rPr>
          <w:rFonts w:ascii="Arial" w:hAnsi="Arial" w:cs="Arial" w:eastAsia="Arial" w:hint="default"/>
          <w:spacing w:val="37"/>
          <w:sz w:val="21"/>
          <w:szCs w:val="21"/>
          <w:u w:val="single" w:color="000000"/>
        </w:rPr>
        <w:t> </w:t>
      </w:r>
      <w:r>
        <w:rPr>
          <w:rFonts w:ascii="Arial" w:hAnsi="Arial" w:cs="Arial" w:eastAsia="Arial" w:hint="default"/>
          <w:sz w:val="21"/>
          <w:szCs w:val="21"/>
          <w:u w:val="single" w:color="000000"/>
        </w:rPr>
        <w:t>194</w:t>
        <w:tab/>
      </w:r>
      <w:r>
        <w:rPr>
          <w:rFonts w:ascii="Arial" w:hAnsi="Arial" w:cs="Arial" w:eastAsia="Arial" w:hint="default"/>
          <w:spacing w:val="-1"/>
          <w:sz w:val="21"/>
          <w:szCs w:val="21"/>
          <w:u w:val="single" w:color="000000"/>
        </w:rPr>
        <w:t>0.002%</w:t>
      </w:r>
      <w:r>
        <w:rPr>
          <w:rFonts w:ascii="Arial" w:hAnsi="Arial" w:cs="Arial" w:eastAsia="Arial" w:hint="default"/>
          <w:spacing w:val="-1"/>
          <w:sz w:val="21"/>
          <w:szCs w:val="21"/>
        </w:rPr>
        <w:tab/>
      </w:r>
      <w:r>
        <w:rPr>
          <w:rFonts w:ascii="Arial" w:hAnsi="Arial" w:cs="Arial" w:eastAsia="Arial" w:hint="default"/>
          <w:spacing w:val="-1"/>
          <w:sz w:val="21"/>
          <w:szCs w:val="21"/>
          <w:u w:val="single" w:color="000000"/>
        </w:rPr>
        <w:t> </w:t>
        <w:tab/>
      </w:r>
      <w:r>
        <w:rPr>
          <w:rFonts w:ascii="Arial" w:hAnsi="Arial" w:cs="Arial" w:eastAsia="Arial" w:hint="default"/>
          <w:sz w:val="21"/>
          <w:szCs w:val="21"/>
          <w:u w:val="single" w:color="000000"/>
        </w:rPr>
        <w:t>-</w:t>
      </w:r>
      <w:r>
        <w:rPr>
          <w:rFonts w:ascii="Arial" w:hAnsi="Arial" w:cs="Arial" w:eastAsia="Arial" w:hint="default"/>
          <w:sz w:val="21"/>
          <w:szCs w:val="21"/>
        </w:rPr>
        <w:tab/>
      </w:r>
      <w:r>
        <w:rPr>
          <w:rFonts w:ascii="Arial" w:hAnsi="Arial" w:cs="Arial" w:eastAsia="Arial" w:hint="default"/>
          <w:sz w:val="21"/>
          <w:szCs w:val="21"/>
          <w:u w:val="single" w:color="000000"/>
        </w:rPr>
        <w:t> </w:t>
        <w:tab/>
        <w:t>-</w:t>
        <w:tab/>
        <w:t>-</w:t>
      </w:r>
      <w:r>
        <w:rPr>
          <w:rFonts w:ascii="Arial" w:hAnsi="Arial" w:cs="Arial" w:eastAsia="Arial" w:hint="default"/>
          <w:sz w:val="21"/>
          <w:szCs w:val="21"/>
        </w:rPr>
        <w:tab/>
      </w:r>
      <w:r>
        <w:rPr>
          <w:rFonts w:ascii="Arial" w:hAnsi="Arial" w:cs="Arial" w:eastAsia="Arial" w:hint="default"/>
          <w:sz w:val="21"/>
          <w:szCs w:val="21"/>
          <w:u w:val="single" w:color="000000"/>
        </w:rPr>
        <w:t> </w:t>
        <w:tab/>
        <w:t>-</w:t>
        <w:tab/>
      </w:r>
      <w:r>
        <w:rPr>
          <w:rFonts w:ascii="Arial" w:hAnsi="Arial" w:cs="Arial" w:eastAsia="Arial" w:hint="default"/>
          <w:w w:val="29"/>
          <w:sz w:val="21"/>
          <w:szCs w:val="21"/>
          <w:u w:val="single" w:color="000000"/>
        </w:rPr>
        <w:t> </w:t>
      </w:r>
      <w:r>
        <w:rPr>
          <w:rFonts w:ascii="Arial" w:hAnsi="Arial" w:cs="Arial" w:eastAsia="Arial" w:hint="default"/>
          <w:sz w:val="21"/>
          <w:szCs w:val="21"/>
          <w:u w:val="single" w:color="000000"/>
        </w:rPr>
      </w:r>
      <w:r>
        <w:rPr>
          <w:rFonts w:ascii="Arial" w:hAnsi="Arial" w:cs="Arial" w:eastAsia="Arial" w:hint="default"/>
          <w:sz w:val="21"/>
          <w:szCs w:val="21"/>
        </w:rPr>
      </w:r>
      <w:r>
        <w:rPr>
          <w:rFonts w:ascii="Arial" w:hAnsi="Arial" w:cs="Arial" w:eastAsia="Arial" w:hint="default"/>
          <w:sz w:val="21"/>
          <w:szCs w:val="21"/>
        </w:rPr>
        <w:t> 194</w:t>
        <w:tab/>
      </w:r>
      <w:r>
        <w:rPr>
          <w:rFonts w:ascii="Arial" w:hAnsi="Arial" w:cs="Arial" w:eastAsia="Arial" w:hint="default"/>
          <w:spacing w:val="-1"/>
          <w:sz w:val="21"/>
          <w:szCs w:val="21"/>
        </w:rPr>
        <w:t>0.002%</w:t>
        <w:tab/>
        <w:tab/>
      </w:r>
      <w:r>
        <w:rPr>
          <w:rFonts w:ascii="Arial" w:hAnsi="Arial" w:cs="Arial" w:eastAsia="Arial" w:hint="default"/>
          <w:sz w:val="21"/>
          <w:szCs w:val="21"/>
        </w:rPr>
        <w:t>-</w:t>
        <w:tab/>
        <w:tab/>
        <w:t>-</w:t>
        <w:tab/>
        <w:t>-</w:t>
        <w:tab/>
        <w:tab/>
        <w:t>-</w:t>
      </w:r>
    </w:p>
    <w:p>
      <w:pPr>
        <w:spacing w:after="0" w:line="249" w:lineRule="auto"/>
        <w:jc w:val="left"/>
        <w:rPr>
          <w:rFonts w:ascii="Arial" w:hAnsi="Arial" w:cs="Arial" w:eastAsia="Arial" w:hint="default"/>
          <w:sz w:val="21"/>
          <w:szCs w:val="21"/>
        </w:rPr>
        <w:sectPr>
          <w:type w:val="continuous"/>
          <w:pgSz w:w="11910" w:h="16850"/>
          <w:pgMar w:top="980" w:bottom="1100" w:left="980" w:right="0"/>
          <w:cols w:num="2" w:equalWidth="0">
            <w:col w:w="2134" w:space="40"/>
            <w:col w:w="8756"/>
          </w:cols>
        </w:sectPr>
      </w:pPr>
    </w:p>
    <w:p>
      <w:pPr>
        <w:tabs>
          <w:tab w:pos="5976" w:val="left" w:leader="none"/>
          <w:tab w:pos="6946" w:val="left" w:leader="none"/>
          <w:tab w:pos="9034" w:val="left" w:leader="none"/>
        </w:tabs>
        <w:spacing w:line="28" w:lineRule="exact"/>
        <w:ind w:left="3965" w:right="0" w:firstLine="0"/>
        <w:rPr>
          <w:rFonts w:ascii="Arial" w:hAnsi="Arial" w:cs="Arial" w:eastAsia="Arial" w:hint="default"/>
          <w:sz w:val="2"/>
          <w:szCs w:val="2"/>
        </w:rPr>
      </w:pPr>
      <w:r>
        <w:rPr>
          <w:rFonts w:ascii="Arial"/>
          <w:position w:val="0"/>
          <w:sz w:val="2"/>
        </w:rPr>
        <w:pict>
          <v:group style="width:87.9pt;height:1.45pt;mso-position-horizontal-relative:char;mso-position-vertical-relative:line" coordorigin="0,0" coordsize="1758,29">
            <v:group style="position:absolute;left:14;top:14;width:677;height:2" coordorigin="14,14" coordsize="677,2">
              <v:shape style="position:absolute;left:14;top:14;width:677;height:2" coordorigin="14,14" coordsize="677,0" path="m14,14l691,14e" filled="false" stroked="true" strokeweight="1.44pt" strokecolor="#000000">
                <v:path arrowok="t"/>
              </v:shape>
            </v:group>
            <v:group style="position:absolute;left:691;top:14;width:29;height:2" coordorigin="691,14" coordsize="29,2">
              <v:shape style="position:absolute;left:691;top:14;width:29;height:2" coordorigin="691,14" coordsize="29,0" path="m691,14l720,14e" filled="false" stroked="true" strokeweight="1.44pt" strokecolor="#000000">
                <v:path arrowok="t"/>
              </v:shape>
            </v:group>
            <v:group style="position:absolute;left:720;top:14;width:1023;height:2" coordorigin="720,14" coordsize="1023,2">
              <v:shape style="position:absolute;left:720;top:14;width:1023;height:2" coordorigin="720,14" coordsize="1023,0" path="m720,14l1743,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38.2pt;height:1.45pt;mso-position-horizontal-relative:char;mso-position-vertical-relative:line" coordorigin="0,0" coordsize="764,29">
            <v:group style="position:absolute;left:14;top:14;width:735;height:2" coordorigin="14,14" coordsize="735,2">
              <v:shape style="position:absolute;left:14;top:14;width:735;height:2" coordorigin="14,14" coordsize="735,0" path="m14,14l749,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94pt;height:1.45pt;mso-position-horizontal-relative:char;mso-position-vertical-relative:line" coordorigin="0,0" coordsize="1880,29">
            <v:group style="position:absolute;left:14;top:14;width:720;height:2" coordorigin="14,14" coordsize="720,2">
              <v:shape style="position:absolute;left:14;top:14;width:720;height:2" coordorigin="14,14" coordsize="720,0" path="m14,14l734,14e" filled="false" stroked="true" strokeweight="1.44pt" strokecolor="#000000">
                <v:path arrowok="t"/>
              </v:shape>
            </v:group>
            <v:group style="position:absolute;left:734;top:14;width:29;height:2" coordorigin="734,14" coordsize="29,2">
              <v:shape style="position:absolute;left:734;top:14;width:29;height:2" coordorigin="734,14" coordsize="29,0" path="m734,14l763,14e" filled="false" stroked="true" strokeweight="1.44pt" strokecolor="#000000">
                <v:path arrowok="t"/>
              </v:shape>
            </v:group>
            <v:group style="position:absolute;left:763;top:14;width:1103;height:2" coordorigin="763,14" coordsize="1103,2">
              <v:shape style="position:absolute;left:763;top:14;width:1103;height:2" coordorigin="763,14" coordsize="1103,0" path="m763,14l1865,14e" filled="false" stroked="true" strokeweight="1.44pt" strokecolor="#000000">
                <v:path arrowok="t"/>
              </v:shape>
            </v:group>
          </v:group>
        </w:pict>
      </w:r>
      <w:r>
        <w:rPr>
          <w:rFonts w:ascii="Arial"/>
          <w:position w:val="0"/>
          <w:sz w:val="2"/>
        </w:rPr>
      </w:r>
      <w:r>
        <w:rPr>
          <w:rFonts w:ascii="Arial"/>
          <w:position w:val="0"/>
          <w:sz w:val="2"/>
        </w:rPr>
        <w:tab/>
      </w:r>
      <w:r>
        <w:rPr>
          <w:rFonts w:ascii="Arial"/>
          <w:position w:val="0"/>
          <w:sz w:val="2"/>
        </w:rPr>
        <w:pict>
          <v:group style="width:40pt;height:1.45pt;mso-position-horizontal-relative:char;mso-position-vertical-relative:line" coordorigin="0,0" coordsize="800,29">
            <v:group style="position:absolute;left:14;top:14;width:771;height:2" coordorigin="14,14" coordsize="771,2">
              <v:shape style="position:absolute;left:14;top:14;width:771;height:2" coordorigin="14,14" coordsize="771,0" path="m14,14l785,14e" filled="false" stroked="true" strokeweight="1.44pt" strokecolor="#000000">
                <v:path arrowok="t"/>
              </v:shape>
            </v:group>
          </v:group>
        </w:pict>
      </w:r>
      <w:r>
        <w:rPr>
          <w:rFonts w:ascii="Arial"/>
          <w:position w:val="0"/>
          <w:sz w:val="2"/>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2"/>
          <w:szCs w:val="22"/>
        </w:rPr>
      </w:pPr>
    </w:p>
    <w:p>
      <w:pPr>
        <w:tabs>
          <w:tab w:pos="849" w:val="left" w:leader="none"/>
        </w:tabs>
        <w:spacing w:before="31"/>
        <w:ind w:left="143" w:right="0" w:firstLine="0"/>
        <w:jc w:val="left"/>
        <w:rPr>
          <w:rFonts w:ascii="宋体" w:hAnsi="宋体" w:cs="宋体" w:eastAsia="宋体" w:hint="default"/>
          <w:sz w:val="24"/>
          <w:szCs w:val="24"/>
        </w:rPr>
      </w:pPr>
      <w:r>
        <w:rPr>
          <w:rFonts w:ascii="Arial" w:hAnsi="Arial" w:cs="Arial" w:eastAsia="Arial" w:hint="default"/>
          <w:w w:val="95"/>
          <w:position w:val="2"/>
          <w:sz w:val="24"/>
          <w:szCs w:val="24"/>
        </w:rPr>
        <w:t>(2)</w:t>
        <w:tab/>
      </w:r>
      <w:r>
        <w:rPr>
          <w:rFonts w:ascii="宋体" w:hAnsi="宋体" w:cs="宋体" w:eastAsia="宋体" w:hint="default"/>
          <w:b/>
          <w:bCs/>
          <w:sz w:val="24"/>
          <w:szCs w:val="24"/>
        </w:rPr>
        <w:t>其他应收款</w:t>
      </w:r>
      <w:r>
        <w:rPr>
          <w:rFonts w:ascii="宋体" w:hAnsi="宋体" w:cs="宋体" w:eastAsia="宋体" w:hint="default"/>
          <w:sz w:val="24"/>
          <w:szCs w:val="24"/>
        </w:rPr>
      </w:r>
    </w:p>
    <w:p>
      <w:pPr>
        <w:spacing w:line="240" w:lineRule="auto" w:before="12"/>
        <w:rPr>
          <w:rFonts w:ascii="宋体" w:hAnsi="宋体" w:cs="宋体" w:eastAsia="宋体" w:hint="default"/>
          <w:b/>
          <w:bCs/>
          <w:sz w:val="18"/>
          <w:szCs w:val="18"/>
        </w:rPr>
      </w:pPr>
    </w:p>
    <w:p>
      <w:pPr>
        <w:pStyle w:val="BodyText"/>
        <w:tabs>
          <w:tab w:pos="7911" w:val="left" w:leader="none"/>
        </w:tabs>
        <w:spacing w:line="240" w:lineRule="auto" w:before="26"/>
        <w:ind w:left="4802" w:right="0"/>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tab/>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w:t>
      </w:r>
    </w:p>
    <w:p>
      <w:pPr>
        <w:spacing w:line="240" w:lineRule="auto" w:before="8"/>
        <w:rPr>
          <w:rFonts w:ascii="宋体" w:hAnsi="宋体" w:cs="宋体" w:eastAsia="宋体" w:hint="default"/>
          <w:sz w:val="19"/>
          <w:szCs w:val="19"/>
        </w:rPr>
      </w:pPr>
    </w:p>
    <w:p>
      <w:pPr>
        <w:pStyle w:val="BodyText"/>
        <w:tabs>
          <w:tab w:pos="5786" w:val="left" w:leader="none"/>
          <w:tab w:pos="9133" w:val="left" w:leader="none"/>
        </w:tabs>
        <w:spacing w:line="332" w:lineRule="exact" w:before="0"/>
        <w:ind w:left="849" w:right="0"/>
        <w:jc w:val="left"/>
        <w:rPr>
          <w:rFonts w:ascii="Arial" w:hAnsi="Arial" w:cs="Arial" w:eastAsia="Arial" w:hint="default"/>
        </w:rPr>
      </w:pPr>
      <w:r>
        <w:rPr>
          <w:position w:val="2"/>
        </w:rPr>
        <w:t>集团内部往来款项</w:t>
        <w:tab/>
      </w:r>
      <w:r>
        <w:rPr>
          <w:rFonts w:ascii="Arial" w:hAnsi="Arial" w:cs="Arial" w:eastAsia="Arial" w:hint="default"/>
          <w:spacing w:val="-3"/>
        </w:rPr>
        <w:t>2,110,772</w:t>
        <w:tab/>
      </w:r>
      <w:r>
        <w:rPr>
          <w:rFonts w:ascii="Arial" w:hAnsi="Arial" w:cs="Arial" w:eastAsia="Arial" w:hint="default"/>
        </w:rPr>
        <w:t>327,262</w:t>
      </w:r>
    </w:p>
    <w:p>
      <w:pPr>
        <w:pStyle w:val="BodyText"/>
        <w:tabs>
          <w:tab w:pos="6101" w:val="left" w:leader="none"/>
          <w:tab w:pos="9265" w:val="left" w:leader="none"/>
        </w:tabs>
        <w:spacing w:line="312" w:lineRule="exact" w:before="0"/>
        <w:ind w:left="849" w:right="0"/>
        <w:jc w:val="left"/>
        <w:rPr>
          <w:rFonts w:ascii="Arial" w:hAnsi="Arial" w:cs="Arial" w:eastAsia="Arial" w:hint="default"/>
        </w:rPr>
      </w:pPr>
      <w:r>
        <w:rPr>
          <w:position w:val="2"/>
        </w:rPr>
        <w:t>押金及保证金</w:t>
        <w:tab/>
      </w:r>
      <w:r>
        <w:rPr>
          <w:rFonts w:ascii="Arial" w:hAnsi="Arial" w:cs="Arial" w:eastAsia="Arial" w:hint="default"/>
          <w:spacing w:val="-1"/>
        </w:rPr>
        <w:t>29,736</w:t>
        <w:tab/>
        <w:t>36,334</w:t>
      </w:r>
    </w:p>
    <w:p>
      <w:pPr>
        <w:pStyle w:val="BodyText"/>
        <w:tabs>
          <w:tab w:pos="6235" w:val="left" w:leader="none"/>
          <w:tab w:pos="9399" w:val="left" w:leader="none"/>
        </w:tabs>
        <w:spacing w:line="312" w:lineRule="exact" w:before="0"/>
        <w:ind w:left="849" w:right="0"/>
        <w:jc w:val="left"/>
        <w:rPr>
          <w:rFonts w:ascii="Arial" w:hAnsi="Arial" w:cs="Arial" w:eastAsia="Arial" w:hint="default"/>
        </w:rPr>
      </w:pPr>
      <w:r>
        <w:rPr>
          <w:position w:val="2"/>
        </w:rPr>
        <w:t>员工借款</w:t>
        <w:tab/>
      </w:r>
      <w:r>
        <w:rPr>
          <w:rFonts w:ascii="Arial" w:hAnsi="Arial" w:cs="Arial" w:eastAsia="Arial" w:hint="default"/>
          <w:spacing w:val="-1"/>
        </w:rPr>
        <w:t>6,541</w:t>
        <w:tab/>
        <w:t>6,422</w:t>
      </w:r>
    </w:p>
    <w:p>
      <w:pPr>
        <w:pStyle w:val="BodyText"/>
        <w:tabs>
          <w:tab w:pos="4430" w:val="left" w:leader="none"/>
          <w:tab w:pos="6103" w:val="left" w:leader="none"/>
          <w:tab w:pos="7553" w:val="left" w:leader="none"/>
          <w:tab w:pos="9133" w:val="left" w:leader="none"/>
          <w:tab w:pos="10104" w:val="left" w:leader="none"/>
        </w:tabs>
        <w:spacing w:line="332" w:lineRule="exact" w:before="0"/>
        <w:ind w:left="849" w:right="0"/>
        <w:jc w:val="left"/>
        <w:rPr>
          <w:rFonts w:ascii="Arial" w:hAnsi="Arial" w:cs="Arial" w:eastAsia="Arial" w:hint="default"/>
        </w:rPr>
      </w:pPr>
      <w:r>
        <w:rPr>
          <w:position w:val="2"/>
        </w:rPr>
        <w:t>其它</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68,885</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721,315</w:t>
        <w:tab/>
      </w:r>
      <w:r>
        <w:rPr>
          <w:rFonts w:ascii="Arial" w:hAnsi="Arial" w:cs="Arial" w:eastAsia="Arial" w:hint="default"/>
        </w:rPr>
      </w:r>
    </w:p>
    <w:p>
      <w:pPr>
        <w:pStyle w:val="BodyText"/>
        <w:tabs>
          <w:tab w:pos="8931" w:val="left" w:leader="none"/>
        </w:tabs>
        <w:spacing w:line="240" w:lineRule="auto" w:before="9"/>
        <w:ind w:left="5767" w:right="0"/>
        <w:jc w:val="left"/>
        <w:rPr>
          <w:rFonts w:ascii="Arial" w:hAnsi="Arial" w:cs="Arial" w:eastAsia="Arial" w:hint="default"/>
        </w:rPr>
      </w:pPr>
      <w:r>
        <w:rPr>
          <w:rFonts w:ascii="Arial"/>
          <w:spacing w:val="-1"/>
        </w:rPr>
        <w:t>2,215,934</w:t>
        <w:tab/>
        <w:t>1,091,333</w:t>
      </w:r>
    </w:p>
    <w:p>
      <w:pPr>
        <w:spacing w:line="240" w:lineRule="auto" w:before="5"/>
        <w:rPr>
          <w:rFonts w:ascii="Arial" w:hAnsi="Arial" w:cs="Arial" w:eastAsia="Arial" w:hint="default"/>
          <w:sz w:val="18"/>
          <w:szCs w:val="18"/>
        </w:rPr>
      </w:pPr>
    </w:p>
    <w:tbl>
      <w:tblPr>
        <w:tblW w:w="0" w:type="auto"/>
        <w:jc w:val="left"/>
        <w:tblInd w:w="814" w:type="dxa"/>
        <w:tblLayout w:type="fixed"/>
        <w:tblCellMar>
          <w:top w:w="0" w:type="dxa"/>
          <w:left w:w="0" w:type="dxa"/>
          <w:bottom w:w="0" w:type="dxa"/>
          <w:right w:w="0" w:type="dxa"/>
        </w:tblCellMar>
        <w:tblLook w:val="01E0"/>
      </w:tblPr>
      <w:tblGrid>
        <w:gridCol w:w="2546"/>
        <w:gridCol w:w="3907"/>
        <w:gridCol w:w="2873"/>
      </w:tblGrid>
      <w:tr>
        <w:trPr>
          <w:trHeight w:val="394" w:hRule="exact"/>
        </w:trPr>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3907" w:type="dxa"/>
            <w:tcBorders>
              <w:top w:val="nil" w:sz="6" w:space="0" w:color="auto"/>
              <w:left w:val="nil" w:sz="6" w:space="0" w:color="auto"/>
              <w:bottom w:val="nil" w:sz="6" w:space="0" w:color="auto"/>
              <w:right w:val="nil" w:sz="6" w:space="0" w:color="auto"/>
            </w:tcBorders>
          </w:tcPr>
          <w:p>
            <w:pPr>
              <w:pStyle w:val="TableParagraph"/>
              <w:tabs>
                <w:tab w:pos="1579" w:val="left" w:leader="none"/>
                <w:tab w:pos="2549" w:val="left" w:leader="none"/>
              </w:tabs>
              <w:spacing w:line="240" w:lineRule="auto" w:before="100"/>
              <w:ind w:right="28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(12,819)</w:t>
              <w:tab/>
            </w:r>
            <w:r>
              <w:rPr>
                <w:rFonts w:ascii="Arial"/>
                <w:w w:val="95"/>
                <w:sz w:val="24"/>
              </w:rPr>
            </w:r>
            <w:r>
              <w:rPr>
                <w:rFonts w:ascii="Arial"/>
                <w:sz w:val="24"/>
              </w:rPr>
            </w:r>
          </w:p>
        </w:tc>
        <w:tc>
          <w:tcPr>
            <w:tcW w:w="2873" w:type="dxa"/>
            <w:tcBorders>
              <w:top w:val="nil" w:sz="6" w:space="0" w:color="auto"/>
              <w:left w:val="nil" w:sz="6" w:space="0" w:color="auto"/>
              <w:bottom w:val="nil" w:sz="6" w:space="0" w:color="auto"/>
              <w:right w:val="nil" w:sz="6" w:space="0" w:color="auto"/>
            </w:tcBorders>
          </w:tcPr>
          <w:p>
            <w:pPr>
              <w:pStyle w:val="TableParagraph"/>
              <w:tabs>
                <w:tab w:pos="1759" w:val="left" w:leader="none"/>
              </w:tabs>
              <w:spacing w:line="240" w:lineRule="auto" w:before="100"/>
              <w:ind w:right="6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(7,142)</w:t>
            </w:r>
            <w:r>
              <w:rPr>
                <w:rFonts w:ascii="Arial"/>
                <w:sz w:val="24"/>
              </w:rPr>
            </w:r>
          </w:p>
        </w:tc>
      </w:tr>
      <w:tr>
        <w:trPr>
          <w:trHeight w:val="363" w:hRule="exact"/>
        </w:trPr>
        <w:tc>
          <w:tcPr>
            <w:tcW w:w="2546" w:type="dxa"/>
            <w:tcBorders>
              <w:top w:val="nil" w:sz="6" w:space="0" w:color="auto"/>
              <w:left w:val="nil" w:sz="6" w:space="0" w:color="auto"/>
              <w:bottom w:val="nil" w:sz="6" w:space="0" w:color="auto"/>
              <w:right w:val="nil" w:sz="6" w:space="0" w:color="auto"/>
            </w:tcBorders>
          </w:tcPr>
          <w:p>
            <w:pPr/>
          </w:p>
        </w:tc>
        <w:tc>
          <w:tcPr>
            <w:tcW w:w="3907" w:type="dxa"/>
            <w:tcBorders>
              <w:top w:val="nil" w:sz="6" w:space="0" w:color="auto"/>
              <w:left w:val="nil" w:sz="6" w:space="0" w:color="auto"/>
              <w:bottom w:val="nil" w:sz="6" w:space="0" w:color="auto"/>
              <w:right w:val="nil" w:sz="6" w:space="0" w:color="auto"/>
            </w:tcBorders>
          </w:tcPr>
          <w:p>
            <w:pPr>
              <w:pStyle w:val="TableParagraph"/>
              <w:tabs>
                <w:tab w:pos="1356" w:val="left" w:leader="none"/>
                <w:tab w:pos="2549" w:val="left" w:leader="none"/>
              </w:tabs>
              <w:spacing w:line="268" w:lineRule="exact"/>
              <w:ind w:right="28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2,203,115</w:t>
              <w:tab/>
            </w:r>
            <w:r>
              <w:rPr>
                <w:rFonts w:ascii="Arial"/>
                <w:spacing w:val="-3"/>
                <w:sz w:val="24"/>
              </w:rPr>
            </w:r>
          </w:p>
        </w:tc>
        <w:tc>
          <w:tcPr>
            <w:tcW w:w="2873" w:type="dxa"/>
            <w:tcBorders>
              <w:top w:val="nil" w:sz="6" w:space="0" w:color="auto"/>
              <w:left w:val="nil" w:sz="6" w:space="0" w:color="auto"/>
              <w:bottom w:val="nil" w:sz="6" w:space="0" w:color="auto"/>
              <w:right w:val="nil" w:sz="6" w:space="0" w:color="auto"/>
            </w:tcBorders>
          </w:tcPr>
          <w:p>
            <w:pPr>
              <w:pStyle w:val="TableParagraph"/>
              <w:tabs>
                <w:tab w:pos="1378" w:val="left" w:leader="none"/>
                <w:tab w:pos="2551"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1,084,191</w:t>
              <w:tab/>
            </w:r>
            <w:r>
              <w:rPr>
                <w:rFonts w:ascii="Arial"/>
                <w:spacing w:val="-1"/>
                <w:sz w:val="24"/>
              </w:rPr>
            </w:r>
          </w:p>
        </w:tc>
      </w:tr>
    </w:tbl>
    <w:p>
      <w:pPr>
        <w:spacing w:after="0" w:line="268" w:lineRule="exact"/>
        <w:jc w:val="right"/>
        <w:rPr>
          <w:rFonts w:ascii="Arial" w:hAnsi="Arial" w:cs="Arial" w:eastAsia="Arial" w:hint="default"/>
          <w:sz w:val="24"/>
          <w:szCs w:val="24"/>
        </w:rPr>
        <w:sectPr>
          <w:type w:val="continuous"/>
          <w:pgSz w:w="11910" w:h="16850"/>
          <w:pgMar w:top="980" w:bottom="110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76"/>
        <w:gridCol w:w="1903"/>
        <w:gridCol w:w="1033"/>
        <w:gridCol w:w="826"/>
        <w:gridCol w:w="353"/>
        <w:gridCol w:w="866"/>
        <w:gridCol w:w="1122"/>
        <w:gridCol w:w="882"/>
        <w:gridCol w:w="763"/>
        <w:gridCol w:w="230"/>
        <w:gridCol w:w="821"/>
        <w:gridCol w:w="732"/>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936"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22"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826" w:type="dxa"/>
            <w:tcBorders>
              <w:top w:val="single" w:sz="6" w:space="0" w:color="000000"/>
              <w:left w:val="nil" w:sz="6" w:space="0" w:color="auto"/>
              <w:bottom w:val="nil" w:sz="6" w:space="0" w:color="auto"/>
              <w:right w:val="nil" w:sz="6" w:space="0" w:color="auto"/>
            </w:tcBorders>
          </w:tcPr>
          <w:p>
            <w:pPr/>
          </w:p>
        </w:tc>
        <w:tc>
          <w:tcPr>
            <w:tcW w:w="353" w:type="dxa"/>
            <w:tcBorders>
              <w:top w:val="single" w:sz="6" w:space="0" w:color="000000"/>
              <w:left w:val="nil" w:sz="6" w:space="0" w:color="auto"/>
              <w:bottom w:val="nil" w:sz="6" w:space="0" w:color="auto"/>
              <w:right w:val="nil" w:sz="6" w:space="0" w:color="auto"/>
            </w:tcBorders>
          </w:tcPr>
          <w:p>
            <w:pPr/>
          </w:p>
        </w:tc>
        <w:tc>
          <w:tcPr>
            <w:tcW w:w="866" w:type="dxa"/>
            <w:tcBorders>
              <w:top w:val="single" w:sz="6" w:space="0" w:color="000000"/>
              <w:left w:val="nil" w:sz="6" w:space="0" w:color="auto"/>
              <w:bottom w:val="nil" w:sz="6" w:space="0" w:color="auto"/>
              <w:right w:val="nil" w:sz="6" w:space="0" w:color="auto"/>
            </w:tcBorders>
          </w:tcPr>
          <w:p>
            <w:pPr/>
          </w:p>
        </w:tc>
        <w:tc>
          <w:tcPr>
            <w:tcW w:w="1122" w:type="dxa"/>
            <w:tcBorders>
              <w:top w:val="single" w:sz="6" w:space="0" w:color="000000"/>
              <w:left w:val="nil" w:sz="6" w:space="0" w:color="auto"/>
              <w:bottom w:val="nil" w:sz="6" w:space="0" w:color="auto"/>
              <w:right w:val="nil" w:sz="6" w:space="0" w:color="auto"/>
            </w:tcBorders>
          </w:tcPr>
          <w:p>
            <w:pPr/>
          </w:p>
        </w:tc>
        <w:tc>
          <w:tcPr>
            <w:tcW w:w="882" w:type="dxa"/>
            <w:tcBorders>
              <w:top w:val="single" w:sz="6" w:space="0" w:color="000000"/>
              <w:left w:val="nil" w:sz="6" w:space="0" w:color="auto"/>
              <w:bottom w:val="nil" w:sz="6" w:space="0" w:color="auto"/>
              <w:right w:val="nil" w:sz="6" w:space="0" w:color="auto"/>
            </w:tcBorders>
          </w:tcPr>
          <w:p>
            <w:pPr/>
          </w:p>
        </w:tc>
        <w:tc>
          <w:tcPr>
            <w:tcW w:w="763" w:type="dxa"/>
            <w:tcBorders>
              <w:top w:val="single" w:sz="6" w:space="0" w:color="000000"/>
              <w:left w:val="nil" w:sz="6" w:space="0" w:color="auto"/>
              <w:bottom w:val="nil" w:sz="6" w:space="0" w:color="auto"/>
              <w:right w:val="nil" w:sz="6" w:space="0" w:color="auto"/>
            </w:tcBorders>
          </w:tcPr>
          <w:p>
            <w:pPr/>
          </w:p>
        </w:tc>
        <w:tc>
          <w:tcPr>
            <w:tcW w:w="230" w:type="dxa"/>
            <w:tcBorders>
              <w:top w:val="single" w:sz="6" w:space="0" w:color="000000"/>
              <w:left w:val="nil" w:sz="6" w:space="0" w:color="auto"/>
              <w:bottom w:val="nil" w:sz="6" w:space="0" w:color="auto"/>
              <w:right w:val="nil" w:sz="6" w:space="0" w:color="auto"/>
            </w:tcBorders>
          </w:tcPr>
          <w:p>
            <w:pPr/>
          </w:p>
        </w:tc>
        <w:tc>
          <w:tcPr>
            <w:tcW w:w="821" w:type="dxa"/>
            <w:tcBorders>
              <w:top w:val="single" w:sz="6" w:space="0" w:color="000000"/>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58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(2)</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2" w:right="0"/>
              <w:jc w:val="left"/>
              <w:rPr>
                <w:rFonts w:ascii="Arial" w:hAnsi="Arial" w:cs="Arial" w:eastAsia="Arial" w:hint="default"/>
                <w:sz w:val="24"/>
                <w:szCs w:val="24"/>
              </w:rPr>
            </w:pPr>
            <w:r>
              <w:rPr>
                <w:rFonts w:ascii="宋体" w:hAnsi="宋体" w:cs="宋体" w:eastAsia="宋体" w:hint="default"/>
                <w:b/>
                <w:bCs/>
                <w:sz w:val="24"/>
                <w:szCs w:val="24"/>
              </w:rPr>
              <w:t>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585"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37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6"/>
              <w:ind w:left="122"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594"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3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56"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882" w:type="dxa"/>
            <w:tcBorders>
              <w:top w:val="nil" w:sz="6" w:space="0" w:color="auto"/>
              <w:left w:val="nil" w:sz="6" w:space="0" w:color="auto"/>
              <w:bottom w:val="nil" w:sz="6" w:space="0" w:color="auto"/>
              <w:right w:val="nil" w:sz="6" w:space="0" w:color="auto"/>
            </w:tcBorders>
          </w:tcPr>
          <w:p>
            <w:pPr/>
          </w:p>
        </w:tc>
        <w:tc>
          <w:tcPr>
            <w:tcW w:w="25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25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5" w:right="0"/>
              <w:jc w:val="left"/>
              <w:rPr>
                <w:rFonts w:ascii="Arial" w:hAnsi="Arial" w:cs="Arial" w:eastAsia="Arial" w:hint="default"/>
                <w:sz w:val="24"/>
                <w:szCs w:val="24"/>
              </w:rPr>
            </w:pPr>
            <w:r>
              <w:rPr>
                <w:rFonts w:ascii="Arial"/>
                <w:sz w:val="24"/>
              </w:rPr>
              <w:t>2,165,221</w:t>
            </w: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499" w:right="0"/>
              <w:jc w:val="left"/>
              <w:rPr>
                <w:rFonts w:ascii="Arial" w:hAnsi="Arial" w:cs="Arial" w:eastAsia="Arial" w:hint="default"/>
                <w:sz w:val="24"/>
                <w:szCs w:val="24"/>
              </w:rPr>
            </w:pPr>
            <w:r>
              <w:rPr>
                <w:rFonts w:ascii="Arial"/>
                <w:sz w:val="24"/>
              </w:rPr>
              <w:t>1,057,584</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6" w:right="0"/>
              <w:jc w:val="left"/>
              <w:rPr>
                <w:rFonts w:ascii="Arial" w:hAnsi="Arial" w:cs="Arial" w:eastAsia="Arial" w:hint="default"/>
                <w:sz w:val="24"/>
                <w:szCs w:val="24"/>
              </w:rPr>
            </w:pPr>
            <w:r>
              <w:rPr>
                <w:rFonts w:ascii="Arial"/>
                <w:sz w:val="24"/>
              </w:rPr>
              <w:t>27,170</w:t>
            </w: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832" w:right="0"/>
              <w:jc w:val="left"/>
              <w:rPr>
                <w:rFonts w:ascii="Arial" w:hAnsi="Arial" w:cs="Arial" w:eastAsia="Arial" w:hint="default"/>
                <w:sz w:val="24"/>
                <w:szCs w:val="24"/>
              </w:rPr>
            </w:pPr>
            <w:r>
              <w:rPr>
                <w:rFonts w:ascii="Arial"/>
                <w:sz w:val="24"/>
              </w:rPr>
              <w:t>30,305</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6" w:right="0"/>
              <w:jc w:val="left"/>
              <w:rPr>
                <w:rFonts w:ascii="Arial" w:hAnsi="Arial" w:cs="Arial" w:eastAsia="Arial" w:hint="default"/>
                <w:sz w:val="24"/>
                <w:szCs w:val="24"/>
              </w:rPr>
            </w:pPr>
            <w:r>
              <w:rPr>
                <w:rFonts w:ascii="Arial"/>
                <w:sz w:val="24"/>
              </w:rPr>
              <w:t>20,586</w:t>
            </w: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967" w:right="0"/>
              <w:jc w:val="left"/>
              <w:rPr>
                <w:rFonts w:ascii="Arial" w:hAnsi="Arial" w:cs="Arial" w:eastAsia="Arial" w:hint="default"/>
                <w:sz w:val="24"/>
                <w:szCs w:val="24"/>
              </w:rPr>
            </w:pPr>
            <w:r>
              <w:rPr>
                <w:rFonts w:ascii="Arial"/>
                <w:sz w:val="24"/>
              </w:rPr>
              <w:t>1,522</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90" w:right="0"/>
              <w:jc w:val="left"/>
              <w:rPr>
                <w:rFonts w:ascii="Arial" w:hAnsi="Arial" w:cs="Arial" w:eastAsia="Arial" w:hint="default"/>
                <w:sz w:val="24"/>
                <w:szCs w:val="24"/>
              </w:rPr>
            </w:pPr>
            <w:r>
              <w:rPr>
                <w:rFonts w:ascii="Arial"/>
                <w:sz w:val="24"/>
              </w:rPr>
              <w:t>1,506</w:t>
            </w: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17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967" w:right="0"/>
              <w:jc w:val="left"/>
              <w:rPr>
                <w:rFonts w:ascii="Arial" w:hAnsi="Arial" w:cs="Arial" w:eastAsia="Arial" w:hint="default"/>
                <w:sz w:val="24"/>
                <w:szCs w:val="24"/>
              </w:rPr>
            </w:pPr>
            <w:r>
              <w:rPr>
                <w:rFonts w:ascii="Arial"/>
                <w:sz w:val="24"/>
              </w:rPr>
              <w:t>1,914</w:t>
            </w:r>
          </w:p>
        </w:tc>
      </w:tr>
      <w:tr>
        <w:trPr>
          <w:trHeight w:val="31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033"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90" w:right="0"/>
              <w:jc w:val="left"/>
              <w:rPr>
                <w:rFonts w:ascii="Arial" w:hAnsi="Arial" w:cs="Arial" w:eastAsia="Arial" w:hint="default"/>
                <w:sz w:val="24"/>
                <w:szCs w:val="24"/>
              </w:rPr>
            </w:pPr>
            <w:r>
              <w:rPr>
                <w:rFonts w:ascii="Arial"/>
                <w:sz w:val="24"/>
              </w:rPr>
              <w:t>1,443</w:t>
            </w:r>
          </w:p>
        </w:tc>
        <w:tc>
          <w:tcPr>
            <w:tcW w:w="882"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6" w:right="0"/>
              <w:jc w:val="lef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033" w:type="dxa"/>
            <w:tcBorders>
              <w:top w:val="nil" w:sz="6" w:space="0" w:color="auto"/>
              <w:left w:val="nil" w:sz="6" w:space="0" w:color="auto"/>
              <w:bottom w:val="nil" w:sz="6" w:space="0" w:color="auto"/>
              <w:right w:val="nil" w:sz="6" w:space="0" w:color="auto"/>
            </w:tcBorders>
          </w:tcPr>
          <w:p>
            <w:pPr/>
          </w:p>
        </w:tc>
        <w:tc>
          <w:tcPr>
            <w:tcW w:w="3166" w:type="dxa"/>
            <w:gridSpan w:val="4"/>
            <w:tcBorders>
              <w:top w:val="nil" w:sz="6" w:space="0" w:color="auto"/>
              <w:left w:val="nil" w:sz="6" w:space="0" w:color="auto"/>
              <w:bottom w:val="nil" w:sz="6" w:space="0" w:color="auto"/>
              <w:right w:val="nil" w:sz="6" w:space="0" w:color="auto"/>
            </w:tcBorders>
          </w:tcPr>
          <w:p>
            <w:pPr>
              <w:pStyle w:val="TableParagraph"/>
              <w:tabs>
                <w:tab w:pos="3002" w:val="left" w:leader="none"/>
                <w:tab w:pos="3257" w:val="left" w:leader="none"/>
              </w:tabs>
              <w:spacing w:line="240" w:lineRule="auto" w:before="21"/>
              <w:ind w:left="727" w:right="-92"/>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w:t>
              <w:tab/>
            </w:r>
            <w:r>
              <w:rPr>
                <w:rFonts w:ascii="Arial"/>
                <w:sz w:val="24"/>
              </w:rPr>
            </w:r>
          </w:p>
        </w:tc>
        <w:tc>
          <w:tcPr>
            <w:tcW w:w="3428" w:type="dxa"/>
            <w:gridSpan w:val="5"/>
            <w:tcBorders>
              <w:top w:val="nil" w:sz="6" w:space="0" w:color="auto"/>
              <w:left w:val="nil" w:sz="6" w:space="0" w:color="auto"/>
              <w:bottom w:val="nil" w:sz="6" w:space="0" w:color="auto"/>
              <w:right w:val="nil" w:sz="6" w:space="0" w:color="auto"/>
            </w:tcBorders>
          </w:tcPr>
          <w:p>
            <w:pPr>
              <w:pStyle w:val="TableParagraph"/>
              <w:tabs>
                <w:tab w:pos="3077" w:val="left" w:leader="none"/>
                <w:tab w:pos="3333" w:val="left" w:leader="none"/>
              </w:tabs>
              <w:spacing w:line="240" w:lineRule="auto" w:before="21"/>
              <w:ind w:left="80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w:t>
              <w:tab/>
            </w:r>
            <w:r>
              <w:rPr>
                <w:rFonts w:ascii="Arial"/>
                <w:sz w:val="24"/>
              </w:rPr>
            </w:r>
          </w:p>
        </w:tc>
      </w:tr>
      <w:tr>
        <w:trPr>
          <w:trHeight w:val="296"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3166" w:type="dxa"/>
            <w:gridSpan w:val="4"/>
            <w:tcBorders>
              <w:top w:val="nil" w:sz="6" w:space="0" w:color="auto"/>
              <w:left w:val="nil" w:sz="6" w:space="0" w:color="auto"/>
              <w:bottom w:val="nil" w:sz="6" w:space="0" w:color="auto"/>
              <w:right w:val="nil" w:sz="6" w:space="0" w:color="auto"/>
            </w:tcBorders>
          </w:tcPr>
          <w:p>
            <w:pPr>
              <w:pStyle w:val="TableParagraph"/>
              <w:tabs>
                <w:tab w:pos="2066" w:val="left" w:leader="none"/>
                <w:tab w:pos="3257" w:val="left" w:leader="none"/>
              </w:tabs>
              <w:spacing w:line="268" w:lineRule="exact"/>
              <w:ind w:left="727" w:right="-9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2,215,934</w:t>
              <w:tab/>
            </w:r>
            <w:r>
              <w:rPr>
                <w:rFonts w:ascii="Arial"/>
                <w:sz w:val="24"/>
              </w:rPr>
            </w:r>
          </w:p>
        </w:tc>
        <w:tc>
          <w:tcPr>
            <w:tcW w:w="3428" w:type="dxa"/>
            <w:gridSpan w:val="5"/>
            <w:tcBorders>
              <w:top w:val="nil" w:sz="6" w:space="0" w:color="auto"/>
              <w:left w:val="nil" w:sz="6" w:space="0" w:color="auto"/>
              <w:bottom w:val="nil" w:sz="6" w:space="0" w:color="auto"/>
              <w:right w:val="nil" w:sz="6" w:space="0" w:color="auto"/>
            </w:tcBorders>
          </w:tcPr>
          <w:p>
            <w:pPr>
              <w:pStyle w:val="TableParagraph"/>
              <w:tabs>
                <w:tab w:pos="2143" w:val="left" w:leader="none"/>
                <w:tab w:pos="3333" w:val="left" w:leader="none"/>
              </w:tabs>
              <w:spacing w:line="268" w:lineRule="exact"/>
              <w:ind w:left="80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1,091,333</w:t>
              <w:tab/>
            </w:r>
            <w:r>
              <w:rPr>
                <w:rFonts w:ascii="Arial"/>
                <w:sz w:val="24"/>
              </w:rPr>
            </w:r>
          </w:p>
        </w:tc>
      </w:tr>
      <w:tr>
        <w:trPr>
          <w:trHeight w:val="433"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05" w:right="0"/>
              <w:jc w:val="left"/>
              <w:rPr>
                <w:rFonts w:ascii="Arial" w:hAnsi="Arial" w:cs="Arial" w:eastAsia="Arial" w:hint="default"/>
                <w:sz w:val="24"/>
                <w:szCs w:val="24"/>
              </w:rPr>
            </w:pPr>
            <w:r>
              <w:rPr>
                <w:rFonts w:ascii="Arial"/>
                <w:sz w:val="24"/>
              </w:rPr>
              <w:t>(b)</w:t>
            </w:r>
          </w:p>
        </w:tc>
        <w:tc>
          <w:tcPr>
            <w:tcW w:w="6102" w:type="dxa"/>
            <w:gridSpan w:val="6"/>
            <w:tcBorders>
              <w:top w:val="nil" w:sz="6" w:space="0" w:color="auto"/>
              <w:left w:val="nil" w:sz="6" w:space="0" w:color="auto"/>
              <w:bottom w:val="nil" w:sz="6" w:space="0" w:color="auto"/>
              <w:right w:val="nil" w:sz="6" w:space="0" w:color="auto"/>
            </w:tcBorders>
          </w:tcPr>
          <w:p>
            <w:pPr>
              <w:pStyle w:val="TableParagraph"/>
              <w:spacing w:line="279" w:lineRule="exact"/>
              <w:ind w:left="127" w:right="0"/>
              <w:jc w:val="left"/>
              <w:rPr>
                <w:rFonts w:ascii="宋体" w:hAnsi="宋体" w:cs="宋体" w:eastAsia="宋体" w:hint="default"/>
                <w:sz w:val="24"/>
                <w:szCs w:val="24"/>
              </w:rPr>
            </w:pPr>
            <w:r>
              <w:rPr>
                <w:rFonts w:ascii="宋体" w:hAnsi="宋体" w:cs="宋体" w:eastAsia="宋体" w:hint="default"/>
                <w:sz w:val="24"/>
                <w:szCs w:val="24"/>
              </w:rPr>
              <w:t>其他应收账按类别分析如下：</w:t>
            </w:r>
          </w:p>
        </w:tc>
        <w:tc>
          <w:tcPr>
            <w:tcW w:w="2696" w:type="dxa"/>
            <w:gridSpan w:val="4"/>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41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3077"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90"/>
              <w:ind w:left="982"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1122" w:type="dxa"/>
            <w:tcBorders>
              <w:top w:val="nil" w:sz="6" w:space="0" w:color="auto"/>
              <w:left w:val="nil" w:sz="6" w:space="0" w:color="auto"/>
              <w:bottom w:val="single" w:sz="12" w:space="0" w:color="000000"/>
              <w:right w:val="nil" w:sz="6" w:space="0" w:color="auto"/>
            </w:tcBorders>
          </w:tcPr>
          <w:p>
            <w:pPr/>
          </w:p>
        </w:tc>
        <w:tc>
          <w:tcPr>
            <w:tcW w:w="2696"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90"/>
              <w:ind w:left="71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732"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858" w:type="dxa"/>
            <w:gridSpan w:val="2"/>
            <w:tcBorders>
              <w:top w:val="single" w:sz="12" w:space="0" w:color="000000"/>
              <w:left w:val="nil" w:sz="6" w:space="0" w:color="auto"/>
              <w:bottom w:val="single" w:sz="12" w:space="0" w:color="000000"/>
              <w:right w:val="nil" w:sz="6" w:space="0" w:color="auto"/>
            </w:tcBorders>
          </w:tcPr>
          <w:p>
            <w:pPr>
              <w:pStyle w:val="TableParagraph"/>
              <w:spacing w:line="243" w:lineRule="exact"/>
              <w:ind w:left="5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40" w:type="dxa"/>
            <w:gridSpan w:val="3"/>
            <w:tcBorders>
              <w:top w:val="nil" w:sz="6" w:space="0" w:color="auto"/>
              <w:left w:val="nil" w:sz="6" w:space="0" w:color="auto"/>
              <w:bottom w:val="nil" w:sz="6" w:space="0" w:color="auto"/>
              <w:right w:val="nil" w:sz="6" w:space="0" w:color="auto"/>
            </w:tcBorders>
          </w:tcPr>
          <w:p>
            <w:pPr>
              <w:pStyle w:val="TableParagraph"/>
              <w:spacing w:line="258" w:lineRule="exact"/>
              <w:ind w:left="7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45" w:type="dxa"/>
            <w:gridSpan w:val="2"/>
            <w:tcBorders>
              <w:top w:val="single" w:sz="12" w:space="0" w:color="000000"/>
              <w:left w:val="nil" w:sz="6" w:space="0" w:color="auto"/>
              <w:bottom w:val="single" w:sz="12" w:space="0" w:color="000000"/>
              <w:right w:val="nil" w:sz="6" w:space="0" w:color="auto"/>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3" w:type="dxa"/>
            <w:gridSpan w:val="3"/>
            <w:tcBorders>
              <w:top w:val="single" w:sz="12" w:space="0" w:color="000000"/>
              <w:left w:val="nil" w:sz="6" w:space="0" w:color="auto"/>
              <w:bottom w:val="nil" w:sz="6" w:space="0" w:color="auto"/>
              <w:right w:val="nil" w:sz="6" w:space="0" w:color="auto"/>
            </w:tcBorders>
          </w:tcPr>
          <w:p>
            <w:pPr>
              <w:pStyle w:val="TableParagraph"/>
              <w:spacing w:line="243"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2"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033" w:type="dxa"/>
            <w:tcBorders>
              <w:top w:val="single" w:sz="12" w:space="0" w:color="000000"/>
              <w:left w:val="nil" w:sz="6" w:space="0" w:color="auto"/>
              <w:bottom w:val="nil" w:sz="6" w:space="0" w:color="auto"/>
              <w:right w:val="nil" w:sz="6" w:space="0" w:color="auto"/>
            </w:tcBorders>
          </w:tcPr>
          <w:p>
            <w:pPr>
              <w:pStyle w:val="TableParagraph"/>
              <w:spacing w:line="244" w:lineRule="exact"/>
              <w:ind w:left="2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26" w:type="dxa"/>
            <w:tcBorders>
              <w:top w:val="single" w:sz="12" w:space="0" w:color="000000"/>
              <w:left w:val="nil" w:sz="6" w:space="0" w:color="auto"/>
              <w:bottom w:val="nil" w:sz="6" w:space="0" w:color="auto"/>
              <w:right w:val="nil" w:sz="6" w:space="0" w:color="auto"/>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比例</w:t>
            </w: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single" w:sz="12" w:space="0" w:color="000000"/>
              <w:left w:val="nil" w:sz="6" w:space="0" w:color="auto"/>
              <w:bottom w:val="nil" w:sz="6" w:space="0" w:color="auto"/>
              <w:right w:val="nil" w:sz="6" w:space="0" w:color="auto"/>
            </w:tcBorders>
          </w:tcPr>
          <w:p>
            <w:pPr>
              <w:pStyle w:val="TableParagraph"/>
              <w:spacing w:line="244" w:lineRule="exact"/>
              <w:ind w:left="2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22" w:type="dxa"/>
            <w:tcBorders>
              <w:top w:val="single" w:sz="12" w:space="0" w:color="000000"/>
              <w:left w:val="nil" w:sz="6" w:space="0" w:color="auto"/>
              <w:bottom w:val="nil" w:sz="6" w:space="0" w:color="auto"/>
              <w:right w:val="nil" w:sz="6" w:space="0" w:color="auto"/>
            </w:tcBorders>
          </w:tcPr>
          <w:p>
            <w:pPr>
              <w:pStyle w:val="TableParagraph"/>
              <w:spacing w:line="243" w:lineRule="exact"/>
              <w:ind w:left="11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82" w:type="dxa"/>
            <w:tcBorders>
              <w:top w:val="single" w:sz="12" w:space="0" w:color="000000"/>
              <w:left w:val="nil" w:sz="6" w:space="0" w:color="auto"/>
              <w:bottom w:val="nil" w:sz="6" w:space="0" w:color="auto"/>
              <w:right w:val="nil" w:sz="6" w:space="0" w:color="auto"/>
            </w:tcBorders>
          </w:tcPr>
          <w:p>
            <w:pPr>
              <w:pStyle w:val="TableParagraph"/>
              <w:spacing w:line="244" w:lineRule="exact"/>
              <w:ind w:left="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12" w:space="0" w:color="000000"/>
              <w:left w:val="nil" w:sz="6" w:space="0" w:color="auto"/>
              <w:bottom w:val="nil" w:sz="6" w:space="0" w:color="auto"/>
              <w:right w:val="nil" w:sz="6" w:space="0" w:color="auto"/>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sz w:val="21"/>
                <w:szCs w:val="21"/>
              </w:rPr>
              <w:t>占总额</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比例</w:t>
            </w: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single" w:sz="12" w:space="0" w:color="000000"/>
              <w:left w:val="nil" w:sz="6" w:space="0" w:color="auto"/>
              <w:bottom w:val="nil" w:sz="6" w:space="0" w:color="auto"/>
              <w:right w:val="nil" w:sz="6" w:space="0" w:color="auto"/>
            </w:tcBorders>
          </w:tcPr>
          <w:p>
            <w:pPr>
              <w:pStyle w:val="TableParagraph"/>
              <w:spacing w:line="244" w:lineRule="exact"/>
              <w:ind w:left="2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2" w:type="dxa"/>
            <w:tcBorders>
              <w:top w:val="single" w:sz="12" w:space="0" w:color="000000"/>
              <w:left w:val="nil" w:sz="6" w:space="0" w:color="auto"/>
              <w:bottom w:val="nil" w:sz="6" w:space="0" w:color="auto"/>
              <w:right w:val="nil" w:sz="6" w:space="0" w:color="auto"/>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224"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exact"/>
              <w:ind w:left="343" w:right="0" w:hanging="216"/>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1"/>
                <w:sz w:val="21"/>
                <w:szCs w:val="21"/>
              </w:rPr>
              <w:t> </w:t>
            </w:r>
            <w:r>
              <w:rPr>
                <w:rFonts w:ascii="宋体" w:hAnsi="宋体" w:cs="宋体" w:eastAsia="宋体" w:hint="default"/>
                <w:sz w:val="21"/>
                <w:szCs w:val="21"/>
              </w:rPr>
              <w:t>项</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额</w:t>
            </w:r>
            <w:r>
              <w:rPr>
                <w:rFonts w:ascii="宋体" w:hAnsi="宋体" w:cs="宋体" w:eastAsia="宋体" w:hint="default"/>
                <w:spacing w:val="-71"/>
                <w:sz w:val="21"/>
                <w:szCs w:val="21"/>
              </w:rPr>
              <w:t> </w:t>
            </w:r>
            <w:r>
              <w:rPr>
                <w:rFonts w:ascii="宋体" w:hAnsi="宋体" w:cs="宋体" w:eastAsia="宋体" w:hint="default"/>
                <w:sz w:val="21"/>
                <w:szCs w:val="21"/>
              </w:rPr>
              <w:t>重</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pacing w:val="-73"/>
                <w:sz w:val="21"/>
                <w:szCs w:val="21"/>
              </w:rPr>
              <w:t> </w:t>
            </w:r>
            <w:r>
              <w:rPr>
                <w:rFonts w:ascii="宋体" w:hAnsi="宋体" w:cs="宋体" w:eastAsia="宋体" w:hint="default"/>
                <w:sz w:val="21"/>
                <w:szCs w:val="21"/>
              </w:rPr>
              <w:t>并</w:t>
            </w:r>
          </w:p>
          <w:p>
            <w:pPr>
              <w:pStyle w:val="TableParagraph"/>
              <w:spacing w:line="240" w:lineRule="auto"/>
              <w:ind w:left="343" w:right="104"/>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独</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9"/>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spacing w:val="-66"/>
                <w:sz w:val="21"/>
                <w:szCs w:val="21"/>
              </w:rPr>
              <w:t> </w:t>
            </w:r>
            <w:r>
              <w:rPr>
                <w:rFonts w:ascii="宋体" w:hAnsi="宋体" w:cs="宋体" w:eastAsia="宋体" w:hint="default"/>
                <w:sz w:val="21"/>
                <w:szCs w:val="21"/>
              </w:rPr>
              <w:t>备</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31"/>
              <w:jc w:val="right"/>
              <w:rPr>
                <w:rFonts w:ascii="Arial" w:hAnsi="Arial" w:cs="Arial" w:eastAsia="Arial" w:hint="default"/>
                <w:sz w:val="21"/>
                <w:szCs w:val="21"/>
              </w:rPr>
            </w:pPr>
            <w:r>
              <w:rPr>
                <w:rFonts w:ascii="Arial"/>
                <w:w w:val="100"/>
                <w:sz w:val="2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83"/>
              <w:jc w:val="right"/>
              <w:rPr>
                <w:rFonts w:ascii="Arial" w:hAnsi="Arial" w:cs="Arial" w:eastAsia="Arial" w:hint="default"/>
                <w:sz w:val="21"/>
                <w:szCs w:val="21"/>
              </w:rPr>
            </w:pPr>
            <w:r>
              <w:rPr>
                <w:rFonts w:ascii="Arial"/>
                <w:w w:val="100"/>
                <w:sz w:val="21"/>
              </w:rPr>
              <w:t>-</w:t>
            </w: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59"/>
              <w:jc w:val="right"/>
              <w:rPr>
                <w:rFonts w:ascii="Arial" w:hAnsi="Arial" w:cs="Arial" w:eastAsia="Arial" w:hint="default"/>
                <w:sz w:val="21"/>
                <w:szCs w:val="21"/>
              </w:rPr>
            </w:pPr>
            <w:r>
              <w:rPr>
                <w:rFonts w:ascii="Arial"/>
                <w:w w:val="100"/>
                <w:sz w:val="21"/>
              </w:rPr>
              <w:t>-</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64"/>
              <w:jc w:val="center"/>
              <w:rPr>
                <w:rFonts w:ascii="Arial" w:hAnsi="Arial" w:cs="Arial" w:eastAsia="Arial" w:hint="default"/>
                <w:sz w:val="21"/>
                <w:szCs w:val="21"/>
              </w:rPr>
            </w:pPr>
            <w:r>
              <w:rPr>
                <w:rFonts w:ascii="Arial"/>
                <w:w w:val="100"/>
                <w:sz w:val="21"/>
              </w:rPr>
              <w:t>-</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1" w:right="0"/>
              <w:jc w:val="left"/>
              <w:rPr>
                <w:rFonts w:ascii="Arial" w:hAnsi="Arial" w:cs="Arial" w:eastAsia="Arial" w:hint="default"/>
                <w:sz w:val="21"/>
                <w:szCs w:val="21"/>
              </w:rPr>
            </w:pPr>
            <w:r>
              <w:rPr>
                <w:rFonts w:ascii="Arial"/>
                <w:sz w:val="21"/>
              </w:rPr>
              <w:t>700,000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234" w:right="0"/>
              <w:jc w:val="left"/>
              <w:rPr>
                <w:rFonts w:ascii="Arial" w:hAnsi="Arial" w:cs="Arial" w:eastAsia="Arial" w:hint="default"/>
                <w:sz w:val="21"/>
                <w:szCs w:val="21"/>
              </w:rPr>
            </w:pPr>
            <w:r>
              <w:rPr>
                <w:rFonts w:ascii="Arial"/>
                <w:sz w:val="21"/>
              </w:rPr>
              <w:t>64%</w:t>
            </w: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59"/>
              <w:jc w:val="right"/>
              <w:rPr>
                <w:rFonts w:ascii="Arial" w:hAnsi="Arial" w:cs="Arial" w:eastAsia="Arial" w:hint="default"/>
                <w:sz w:val="21"/>
                <w:szCs w:val="21"/>
              </w:rPr>
            </w:pPr>
            <w:r>
              <w:rPr>
                <w:rFonts w:ascii="Arial"/>
                <w:w w:val="100"/>
                <w:sz w:val="21"/>
              </w:rPr>
              <w:t>-</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07"/>
              <w:jc w:val="right"/>
              <w:rPr>
                <w:rFonts w:ascii="Arial" w:hAnsi="Arial" w:cs="Arial" w:eastAsia="Arial" w:hint="default"/>
                <w:sz w:val="21"/>
                <w:szCs w:val="21"/>
              </w:rPr>
            </w:pPr>
            <w:r>
              <w:rPr>
                <w:rFonts w:ascii="Arial"/>
                <w:w w:val="100"/>
                <w:sz w:val="21"/>
              </w:rPr>
              <w:t>-</w:t>
            </w:r>
          </w:p>
        </w:tc>
      </w:tr>
      <w:tr>
        <w:trPr>
          <w:trHeight w:val="394"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27" w:right="0"/>
              <w:jc w:val="left"/>
              <w:rPr>
                <w:rFonts w:ascii="宋体" w:hAnsi="宋体" w:cs="宋体" w:eastAsia="宋体" w:hint="default"/>
                <w:sz w:val="21"/>
                <w:szCs w:val="21"/>
              </w:rPr>
            </w:pPr>
            <w:r>
              <w:rPr>
                <w:rFonts w:ascii="宋体" w:hAnsi="宋体" w:cs="宋体" w:eastAsia="宋体" w:hint="default"/>
                <w:sz w:val="21"/>
                <w:szCs w:val="21"/>
              </w:rPr>
              <w:t>应收其他款项组合</w:t>
            </w:r>
          </w:p>
        </w:tc>
        <w:tc>
          <w:tcPr>
            <w:tcW w:w="1033" w:type="dxa"/>
            <w:tcBorders>
              <w:top w:val="nil" w:sz="6" w:space="0" w:color="auto"/>
              <w:left w:val="nil" w:sz="6" w:space="0" w:color="auto"/>
              <w:bottom w:val="nil" w:sz="6" w:space="0" w:color="auto"/>
              <w:right w:val="nil" w:sz="6" w:space="0" w:color="auto"/>
            </w:tcBorders>
          </w:tcPr>
          <w:p>
            <w:pPr>
              <w:pStyle w:val="TableParagraph"/>
              <w:tabs>
                <w:tab w:pos="1212" w:val="left" w:leader="none"/>
              </w:tabs>
              <w:spacing w:line="240" w:lineRule="auto" w:before="136"/>
              <w:ind w:left="7" w:right="-181"/>
              <w:jc w:val="left"/>
              <w:rPr>
                <w:rFonts w:ascii="Arial" w:hAnsi="Arial" w:cs="Arial" w:eastAsia="Arial" w:hint="default"/>
                <w:sz w:val="21"/>
                <w:szCs w:val="21"/>
              </w:rPr>
            </w:pPr>
            <w:r>
              <w:rPr>
                <w:rFonts w:ascii="Arial"/>
                <w:w w:val="100"/>
                <w:sz w:val="21"/>
              </w:rPr>
            </w:r>
            <w:r>
              <w:rPr>
                <w:rFonts w:ascii="Arial"/>
                <w:sz w:val="21"/>
                <w:u w:val="single" w:color="000000"/>
              </w:rPr>
              <w:t>2,215,934</w:t>
              <w:tab/>
            </w:r>
            <w:r>
              <w:rPr>
                <w:rFonts w:ascii="Arial"/>
                <w:sz w:val="21"/>
              </w:rPr>
            </w:r>
          </w:p>
        </w:tc>
        <w:tc>
          <w:tcPr>
            <w:tcW w:w="826"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136"/>
              <w:ind w:right="0"/>
              <w:jc w:val="righ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40" w:lineRule="auto" w:before="136"/>
              <w:ind w:left="26" w:right="-54"/>
              <w:jc w:val="left"/>
              <w:rPr>
                <w:rFonts w:ascii="Arial" w:hAnsi="Arial" w:cs="Arial" w:eastAsia="Arial" w:hint="default"/>
                <w:sz w:val="21"/>
                <w:szCs w:val="21"/>
              </w:rPr>
            </w:pPr>
            <w:r>
              <w:rPr>
                <w:rFonts w:ascii="Arial"/>
                <w:w w:val="100"/>
                <w:sz w:val="21"/>
              </w:rPr>
            </w:r>
            <w:r>
              <w:rPr>
                <w:rFonts w:ascii="Arial"/>
                <w:sz w:val="21"/>
                <w:u w:val="single" w:color="000000"/>
              </w:rPr>
              <w:t>(12,819)</w:t>
              <w:tab/>
            </w:r>
            <w:r>
              <w:rPr>
                <w:rFonts w:ascii="Arial"/>
                <w:sz w:val="21"/>
              </w:rPr>
            </w:r>
          </w:p>
        </w:tc>
        <w:tc>
          <w:tcPr>
            <w:tcW w:w="1122" w:type="dxa"/>
            <w:tcBorders>
              <w:top w:val="nil" w:sz="6" w:space="0" w:color="auto"/>
              <w:left w:val="nil" w:sz="6" w:space="0" w:color="auto"/>
              <w:bottom w:val="nil" w:sz="6" w:space="0" w:color="auto"/>
              <w:right w:val="nil" w:sz="6" w:space="0" w:color="auto"/>
            </w:tcBorders>
          </w:tcPr>
          <w:p>
            <w:pPr>
              <w:pStyle w:val="TableParagraph"/>
              <w:tabs>
                <w:tab w:pos="927" w:val="left" w:leader="none"/>
                <w:tab w:pos="1246" w:val="left" w:leader="none"/>
              </w:tabs>
              <w:spacing w:line="240" w:lineRule="auto" w:before="136"/>
              <w:ind w:left="53" w:right="-125"/>
              <w:jc w:val="left"/>
              <w:rPr>
                <w:rFonts w:ascii="Arial" w:hAnsi="Arial" w:cs="Arial" w:eastAsia="Arial" w:hint="default"/>
                <w:sz w:val="21"/>
                <w:szCs w:val="21"/>
              </w:rPr>
            </w:pPr>
            <w:r>
              <w:rPr>
                <w:rFonts w:ascii="Arial"/>
                <w:w w:val="100"/>
                <w:sz w:val="21"/>
              </w:rPr>
            </w:r>
            <w:r>
              <w:rPr>
                <w:rFonts w:ascii="Arial"/>
                <w:sz w:val="21"/>
                <w:u w:val="single" w:color="000000"/>
              </w:rPr>
              <w:t>0.6% </w:t>
            </w:r>
            <w:r>
              <w:rPr>
                <w:rFonts w:ascii="Arial"/>
                <w:spacing w:val="7"/>
                <w:sz w:val="21"/>
                <w:u w:val="single" w:color="000000"/>
              </w:rPr>
              <w:t> </w:t>
            </w:r>
            <w:r>
              <w:rPr>
                <w:rFonts w:ascii="Arial"/>
                <w:spacing w:val="7"/>
                <w:sz w:val="21"/>
              </w:rPr>
            </w:r>
            <w:r>
              <w:rPr>
                <w:rFonts w:ascii="Arial"/>
                <w:sz w:val="21"/>
              </w:rPr>
              <w:tab/>
            </w:r>
            <w:r>
              <w:rPr>
                <w:rFonts w:ascii="Arial"/>
                <w:w w:val="100"/>
                <w:sz w:val="21"/>
              </w:rPr>
            </w:r>
            <w:r>
              <w:rPr>
                <w:rFonts w:ascii="Arial"/>
                <w:w w:val="100"/>
                <w:sz w:val="21"/>
                <w:u w:val="single" w:color="000000"/>
              </w:rPr>
              <w:t> </w:t>
            </w:r>
            <w:r>
              <w:rPr>
                <w:rFonts w:ascii="Arial"/>
                <w:sz w:val="21"/>
                <w:u w:val="single" w:color="000000"/>
              </w:rPr>
              <w:tab/>
            </w:r>
            <w:r>
              <w:rPr>
                <w:rFonts w:ascii="Arial"/>
                <w:sz w:val="21"/>
              </w:rPr>
            </w:r>
          </w:p>
        </w:tc>
        <w:tc>
          <w:tcPr>
            <w:tcW w:w="882" w:type="dxa"/>
            <w:tcBorders>
              <w:top w:val="nil" w:sz="6" w:space="0" w:color="auto"/>
              <w:left w:val="nil" w:sz="6" w:space="0" w:color="auto"/>
              <w:bottom w:val="nil" w:sz="6" w:space="0" w:color="auto"/>
              <w:right w:val="nil" w:sz="6" w:space="0" w:color="auto"/>
            </w:tcBorders>
          </w:tcPr>
          <w:p>
            <w:pPr>
              <w:pStyle w:val="TableParagraph"/>
              <w:tabs>
                <w:tab w:pos="1116" w:val="left" w:leader="none"/>
              </w:tabs>
              <w:spacing w:line="240" w:lineRule="auto" w:before="136"/>
              <w:ind w:left="124" w:right="-235"/>
              <w:jc w:val="left"/>
              <w:rPr>
                <w:rFonts w:ascii="Arial" w:hAnsi="Arial" w:cs="Arial" w:eastAsia="Arial" w:hint="default"/>
                <w:sz w:val="21"/>
                <w:szCs w:val="21"/>
              </w:rPr>
            </w:pPr>
            <w:r>
              <w:rPr>
                <w:rFonts w:ascii="Arial"/>
                <w:w w:val="100"/>
                <w:sz w:val="21"/>
              </w:rPr>
            </w:r>
            <w:r>
              <w:rPr>
                <w:rFonts w:ascii="Arial"/>
                <w:sz w:val="21"/>
                <w:u w:val="single" w:color="000000"/>
              </w:rPr>
              <w:t>391,33</w:t>
              <w:tab/>
            </w:r>
            <w:r>
              <w:rPr>
                <w:rFonts w:ascii="Arial"/>
                <w:sz w:val="21"/>
              </w:rPr>
            </w:r>
          </w:p>
        </w:tc>
        <w:tc>
          <w:tcPr>
            <w:tcW w:w="763" w:type="dxa"/>
            <w:tcBorders>
              <w:top w:val="nil" w:sz="6" w:space="0" w:color="auto"/>
              <w:left w:val="nil" w:sz="6" w:space="0" w:color="auto"/>
              <w:bottom w:val="nil" w:sz="6" w:space="0" w:color="auto"/>
              <w:right w:val="nil" w:sz="6" w:space="0" w:color="auto"/>
            </w:tcBorders>
          </w:tcPr>
          <w:p>
            <w:pPr>
              <w:pStyle w:val="TableParagraph"/>
              <w:tabs>
                <w:tab w:pos="762" w:val="left" w:leader="none"/>
              </w:tabs>
              <w:spacing w:line="240" w:lineRule="auto" w:before="136"/>
              <w:ind w:left="234" w:right="0"/>
              <w:jc w:val="left"/>
              <w:rPr>
                <w:rFonts w:ascii="Arial" w:hAnsi="Arial" w:cs="Arial" w:eastAsia="Arial" w:hint="default"/>
                <w:sz w:val="21"/>
                <w:szCs w:val="21"/>
              </w:rPr>
            </w:pPr>
            <w:r>
              <w:rPr>
                <w:rFonts w:ascii="Arial"/>
                <w:w w:val="100"/>
                <w:sz w:val="21"/>
              </w:rPr>
            </w:r>
            <w:r>
              <w:rPr>
                <w:rFonts w:ascii="Arial"/>
                <w:sz w:val="21"/>
                <w:u w:val="single" w:color="000000"/>
              </w:rPr>
              <w:t>36%</w:t>
              <w:tab/>
            </w:r>
            <w:r>
              <w:rPr>
                <w:rFonts w:ascii="Arial"/>
                <w:sz w:val="21"/>
              </w:rPr>
            </w: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136"/>
              <w:ind w:left="7" w:right="-145"/>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pacing w:val="26"/>
                <w:sz w:val="21"/>
                <w:u w:val="single" w:color="000000"/>
              </w:rPr>
              <w:t> </w:t>
            </w:r>
            <w:r>
              <w:rPr>
                <w:rFonts w:ascii="Arial"/>
                <w:sz w:val="21"/>
                <w:u w:val="single" w:color="000000"/>
              </w:rPr>
              <w:t>(7,142)</w:t>
              <w:tab/>
            </w:r>
            <w:r>
              <w:rPr>
                <w:rFonts w:ascii="Arial"/>
                <w:sz w:val="21"/>
              </w:rPr>
            </w:r>
          </w:p>
        </w:tc>
        <w:tc>
          <w:tcPr>
            <w:tcW w:w="732" w:type="dxa"/>
            <w:tcBorders>
              <w:top w:val="nil" w:sz="6" w:space="0" w:color="auto"/>
              <w:left w:val="nil" w:sz="6" w:space="0" w:color="auto"/>
              <w:bottom w:val="nil" w:sz="6" w:space="0" w:color="auto"/>
              <w:right w:val="nil" w:sz="6" w:space="0" w:color="auto"/>
            </w:tcBorders>
          </w:tcPr>
          <w:p>
            <w:pPr>
              <w:pStyle w:val="TableParagraph"/>
              <w:tabs>
                <w:tab w:pos="587" w:val="left" w:leader="none"/>
              </w:tabs>
              <w:spacing w:line="240" w:lineRule="auto" w:before="136"/>
              <w:ind w:right="0"/>
              <w:jc w:val="right"/>
              <w:rPr>
                <w:rFonts w:ascii="Arial" w:hAnsi="Arial" w:cs="Arial" w:eastAsia="Arial" w:hint="default"/>
                <w:sz w:val="21"/>
                <w:szCs w:val="21"/>
              </w:rPr>
            </w:pPr>
            <w:r>
              <w:rPr>
                <w:rFonts w:ascii="Arial"/>
                <w:w w:val="100"/>
                <w:sz w:val="21"/>
              </w:rPr>
            </w:r>
            <w:r>
              <w:rPr>
                <w:rFonts w:ascii="Arial"/>
                <w:spacing w:val="-1"/>
                <w:sz w:val="21"/>
                <w:u w:val="single" w:color="000000"/>
              </w:rPr>
              <w:t>1.8%</w:t>
              <w:tab/>
            </w:r>
            <w:r>
              <w:rPr>
                <w:rFonts w:ascii="Arial"/>
                <w:spacing w:val="-1"/>
                <w:sz w:val="21"/>
              </w:rPr>
            </w:r>
          </w:p>
        </w:tc>
      </w:tr>
      <w:tr>
        <w:trPr>
          <w:trHeight w:val="256" w:hRule="exact"/>
        </w:trPr>
        <w:tc>
          <w:tcPr>
            <w:tcW w:w="776"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single" w:sz="12" w:space="0" w:color="000000"/>
              <w:right w:val="nil" w:sz="6" w:space="0" w:color="auto"/>
            </w:tcBorders>
          </w:tcPr>
          <w:p>
            <w:pPr>
              <w:pStyle w:val="TableParagraph"/>
              <w:spacing w:line="236" w:lineRule="exact"/>
              <w:ind w:left="7" w:right="0"/>
              <w:jc w:val="left"/>
              <w:rPr>
                <w:rFonts w:ascii="Arial" w:hAnsi="Arial" w:cs="Arial" w:eastAsia="Arial" w:hint="default"/>
                <w:sz w:val="21"/>
                <w:szCs w:val="21"/>
              </w:rPr>
            </w:pPr>
            <w:r>
              <w:rPr>
                <w:rFonts w:ascii="Arial"/>
                <w:sz w:val="21"/>
              </w:rPr>
              <w:t>2,215,934</w:t>
            </w:r>
          </w:p>
        </w:tc>
        <w:tc>
          <w:tcPr>
            <w:tcW w:w="826" w:type="dxa"/>
            <w:tcBorders>
              <w:top w:val="nil" w:sz="6" w:space="0" w:color="auto"/>
              <w:left w:val="nil" w:sz="6" w:space="0" w:color="auto"/>
              <w:bottom w:val="single" w:sz="12" w:space="0" w:color="000000"/>
              <w:right w:val="nil" w:sz="6" w:space="0" w:color="auto"/>
            </w:tcBorders>
          </w:tcPr>
          <w:p>
            <w:pPr>
              <w:pStyle w:val="TableParagraph"/>
              <w:spacing w:line="236" w:lineRule="exact"/>
              <w:ind w:left="180" w:right="0"/>
              <w:jc w:val="left"/>
              <w:rPr>
                <w:rFonts w:ascii="Arial" w:hAnsi="Arial" w:cs="Arial" w:eastAsia="Arial" w:hint="default"/>
                <w:sz w:val="21"/>
                <w:szCs w:val="21"/>
              </w:rPr>
            </w:pPr>
            <w:r>
              <w:rPr>
                <w:rFonts w:ascii="Arial"/>
                <w:sz w:val="21"/>
              </w:rPr>
              <w:t>100%</w:t>
            </w:r>
          </w:p>
        </w:tc>
        <w:tc>
          <w:tcPr>
            <w:tcW w:w="353"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single" w:sz="12" w:space="0" w:color="000000"/>
              <w:right w:val="nil" w:sz="6" w:space="0" w:color="auto"/>
            </w:tcBorders>
          </w:tcPr>
          <w:p>
            <w:pPr>
              <w:pStyle w:val="TableParagraph"/>
              <w:spacing w:line="236" w:lineRule="exact"/>
              <w:ind w:left="26" w:right="0"/>
              <w:jc w:val="left"/>
              <w:rPr>
                <w:rFonts w:ascii="Arial" w:hAnsi="Arial" w:cs="Arial" w:eastAsia="Arial" w:hint="default"/>
                <w:sz w:val="21"/>
                <w:szCs w:val="21"/>
              </w:rPr>
            </w:pPr>
            <w:r>
              <w:rPr>
                <w:rFonts w:ascii="Arial"/>
                <w:sz w:val="21"/>
              </w:rPr>
              <w:t>(12,819)</w:t>
            </w:r>
          </w:p>
        </w:tc>
        <w:tc>
          <w:tcPr>
            <w:tcW w:w="2004"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left="1006" w:right="0"/>
              <w:jc w:val="left"/>
              <w:rPr>
                <w:rFonts w:ascii="Arial" w:hAnsi="Arial" w:cs="Arial" w:eastAsia="Arial" w:hint="default"/>
                <w:sz w:val="21"/>
                <w:szCs w:val="21"/>
              </w:rPr>
            </w:pPr>
            <w:r>
              <w:rPr>
                <w:rFonts w:ascii="Arial"/>
                <w:sz w:val="21"/>
              </w:rPr>
              <w:t>1,091,333</w:t>
            </w:r>
          </w:p>
        </w:tc>
        <w:tc>
          <w:tcPr>
            <w:tcW w:w="763" w:type="dxa"/>
            <w:tcBorders>
              <w:top w:val="nil" w:sz="6" w:space="0" w:color="auto"/>
              <w:left w:val="nil" w:sz="6" w:space="0" w:color="auto"/>
              <w:bottom w:val="single" w:sz="12" w:space="0" w:color="000000"/>
              <w:right w:val="nil" w:sz="6" w:space="0" w:color="auto"/>
            </w:tcBorders>
          </w:tcPr>
          <w:p>
            <w:pPr>
              <w:pStyle w:val="TableParagraph"/>
              <w:spacing w:line="236" w:lineRule="exact"/>
              <w:ind w:left="116" w:right="0"/>
              <w:jc w:val="left"/>
              <w:rPr>
                <w:rFonts w:ascii="Arial" w:hAnsi="Arial" w:cs="Arial" w:eastAsia="Arial" w:hint="default"/>
                <w:sz w:val="21"/>
                <w:szCs w:val="21"/>
              </w:rPr>
            </w:pPr>
            <w:r>
              <w:rPr>
                <w:rFonts w:ascii="Arial"/>
                <w:sz w:val="21"/>
              </w:rPr>
              <w:t>100%</w:t>
            </w:r>
          </w:p>
        </w:tc>
        <w:tc>
          <w:tcPr>
            <w:tcW w:w="230"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single" w:sz="12" w:space="0" w:color="000000"/>
              <w:right w:val="nil" w:sz="6" w:space="0" w:color="auto"/>
            </w:tcBorders>
          </w:tcPr>
          <w:p>
            <w:pPr>
              <w:pStyle w:val="TableParagraph"/>
              <w:spacing w:line="236" w:lineRule="exact"/>
              <w:ind w:left="151" w:right="0"/>
              <w:jc w:val="left"/>
              <w:rPr>
                <w:rFonts w:ascii="Arial" w:hAnsi="Arial" w:cs="Arial" w:eastAsia="Arial" w:hint="default"/>
                <w:sz w:val="21"/>
                <w:szCs w:val="21"/>
              </w:rPr>
            </w:pPr>
            <w:r>
              <w:rPr>
                <w:rFonts w:ascii="Arial"/>
                <w:spacing w:val="-1"/>
                <w:sz w:val="21"/>
              </w:rPr>
              <w:t>(7,142)</w:t>
            </w:r>
          </w:p>
        </w:tc>
        <w:tc>
          <w:tcPr>
            <w:tcW w:w="732" w:type="dxa"/>
            <w:tcBorders>
              <w:top w:val="nil" w:sz="6" w:space="0" w:color="auto"/>
              <w:left w:val="nil" w:sz="6" w:space="0" w:color="auto"/>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7"/>
          <w:szCs w:val="27"/>
        </w:rPr>
      </w:pPr>
    </w:p>
    <w:tbl>
      <w:tblPr>
        <w:tblW w:w="0" w:type="auto"/>
        <w:jc w:val="left"/>
        <w:tblInd w:w="192" w:type="dxa"/>
        <w:tblLayout w:type="fixed"/>
        <w:tblCellMar>
          <w:top w:w="0" w:type="dxa"/>
          <w:left w:w="0" w:type="dxa"/>
          <w:bottom w:w="0" w:type="dxa"/>
          <w:right w:w="0" w:type="dxa"/>
        </w:tblCellMar>
        <w:tblLook w:val="01E0"/>
      </w:tblPr>
      <w:tblGrid>
        <w:gridCol w:w="713"/>
        <w:gridCol w:w="1163"/>
        <w:gridCol w:w="1215"/>
        <w:gridCol w:w="1051"/>
        <w:gridCol w:w="1186"/>
        <w:gridCol w:w="928"/>
        <w:gridCol w:w="1086"/>
        <w:gridCol w:w="1099"/>
        <w:gridCol w:w="1127"/>
        <w:gridCol w:w="790"/>
      </w:tblGrid>
      <w:tr>
        <w:trPr>
          <w:trHeight w:val="399"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5" w:lineRule="exact"/>
              <w:ind w:left="110" w:right="0"/>
              <w:jc w:val="left"/>
              <w:rPr>
                <w:rFonts w:ascii="Arial" w:hAnsi="Arial" w:cs="Arial" w:eastAsia="Arial" w:hint="default"/>
                <w:sz w:val="24"/>
                <w:szCs w:val="24"/>
              </w:rPr>
            </w:pPr>
            <w:r>
              <w:rPr>
                <w:rFonts w:ascii="Arial"/>
                <w:sz w:val="24"/>
              </w:rPr>
              <w:t>(c)</w:t>
            </w:r>
          </w:p>
        </w:tc>
        <w:tc>
          <w:tcPr>
            <w:tcW w:w="8853" w:type="dxa"/>
            <w:gridSpan w:val="8"/>
            <w:tcBorders>
              <w:top w:val="nil" w:sz="6" w:space="0" w:color="auto"/>
              <w:left w:val="nil" w:sz="6" w:space="0" w:color="auto"/>
              <w:bottom w:val="nil" w:sz="6" w:space="0" w:color="auto"/>
              <w:right w:val="nil" w:sz="6" w:space="0" w:color="auto"/>
            </w:tcBorders>
          </w:tcPr>
          <w:p>
            <w:pPr>
              <w:pStyle w:val="TableParagraph"/>
              <w:spacing w:line="245" w:lineRule="exact"/>
              <w:ind w:left="110" w:right="0"/>
              <w:jc w:val="left"/>
              <w:rPr>
                <w:rFonts w:ascii="宋体" w:hAnsi="宋体" w:cs="宋体" w:eastAsia="宋体" w:hint="default"/>
                <w:sz w:val="24"/>
                <w:szCs w:val="24"/>
              </w:rPr>
            </w:pPr>
            <w:r>
              <w:rPr>
                <w:rFonts w:ascii="宋体" w:hAnsi="宋体" w:cs="宋体" w:eastAsia="宋体" w:hint="default"/>
                <w:sz w:val="24"/>
                <w:szCs w:val="24"/>
              </w:rPr>
              <w:t>按组合计提坏账准备的其他应收款中，采用账龄分析法的组合分析如下：</w:t>
            </w:r>
          </w:p>
        </w:tc>
        <w:tc>
          <w:tcPr>
            <w:tcW w:w="790" w:type="dxa"/>
            <w:tcBorders>
              <w:top w:val="nil" w:sz="6" w:space="0" w:color="auto"/>
              <w:left w:val="nil" w:sz="6" w:space="0" w:color="auto"/>
              <w:bottom w:val="nil" w:sz="6" w:space="0" w:color="auto"/>
              <w:right w:val="nil" w:sz="6" w:space="0" w:color="auto"/>
            </w:tcBorders>
          </w:tcPr>
          <w:p>
            <w:pPr/>
          </w:p>
        </w:tc>
      </w:tr>
      <w:tr>
        <w:trPr>
          <w:trHeight w:val="411"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1" w:space="0" w:color="FFFF99"/>
              <w:right w:val="nil" w:sz="6" w:space="0" w:color="auto"/>
            </w:tcBorders>
          </w:tcPr>
          <w:p>
            <w:pPr/>
          </w:p>
        </w:tc>
        <w:tc>
          <w:tcPr>
            <w:tcW w:w="1215" w:type="dxa"/>
            <w:tcBorders>
              <w:top w:val="nil" w:sz="6" w:space="0" w:color="auto"/>
              <w:left w:val="nil" w:sz="6" w:space="0" w:color="auto"/>
              <w:bottom w:val="single" w:sz="12" w:space="0" w:color="000000"/>
              <w:right w:val="nil" w:sz="6" w:space="0" w:color="auto"/>
            </w:tcBorders>
          </w:tcPr>
          <w:p>
            <w:pPr/>
          </w:p>
        </w:tc>
        <w:tc>
          <w:tcPr>
            <w:tcW w:w="223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0"/>
              <w:ind w:left="42"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928" w:type="dxa"/>
            <w:tcBorders>
              <w:top w:val="nil" w:sz="6" w:space="0" w:color="auto"/>
              <w:left w:val="nil" w:sz="6" w:space="0" w:color="auto"/>
              <w:bottom w:val="single" w:sz="12" w:space="0" w:color="000000"/>
              <w:right w:val="nil" w:sz="6" w:space="0" w:color="auto"/>
            </w:tcBorders>
          </w:tcPr>
          <w:p>
            <w:pPr/>
          </w:p>
        </w:tc>
        <w:tc>
          <w:tcPr>
            <w:tcW w:w="1086" w:type="dxa"/>
            <w:tcBorders>
              <w:top w:val="nil" w:sz="6" w:space="0" w:color="auto"/>
              <w:left w:val="nil" w:sz="6" w:space="0" w:color="auto"/>
              <w:bottom w:val="single" w:sz="12" w:space="0" w:color="000000"/>
              <w:right w:val="nil" w:sz="6" w:space="0" w:color="auto"/>
            </w:tcBorders>
          </w:tcPr>
          <w:p>
            <w:pPr/>
          </w:p>
        </w:tc>
        <w:tc>
          <w:tcPr>
            <w:tcW w:w="222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90"/>
              <w:ind w:left="9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790"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single" w:sz="1" w:space="0" w:color="FFFF99"/>
              <w:left w:val="nil" w:sz="6" w:space="0" w:color="auto"/>
              <w:bottom w:val="single" w:sz="1" w:space="0" w:color="FFFF99"/>
              <w:right w:val="nil" w:sz="6" w:space="0" w:color="auto"/>
            </w:tcBorders>
          </w:tcPr>
          <w:p>
            <w:pPr/>
          </w:p>
        </w:tc>
        <w:tc>
          <w:tcPr>
            <w:tcW w:w="2265"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5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4"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6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7" w:type="dxa"/>
            <w:gridSpan w:val="2"/>
            <w:tcBorders>
              <w:top w:val="single" w:sz="12" w:space="0" w:color="000000"/>
              <w:left w:val="nil" w:sz="6" w:space="0" w:color="auto"/>
              <w:bottom w:val="single" w:sz="12" w:space="0" w:color="000000"/>
              <w:right w:val="nil" w:sz="6" w:space="0" w:color="auto"/>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83"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single" w:sz="1" w:space="0" w:color="FFFF99"/>
              <w:left w:val="nil" w:sz="6" w:space="0" w:color="auto"/>
              <w:bottom w:val="nil" w:sz="6" w:space="0" w:color="auto"/>
              <w:right w:val="nil" w:sz="6" w:space="0" w:color="auto"/>
            </w:tcBorders>
          </w:tcPr>
          <w:p>
            <w:pPr/>
          </w:p>
        </w:tc>
        <w:tc>
          <w:tcPr>
            <w:tcW w:w="1215" w:type="dxa"/>
            <w:tcBorders>
              <w:top w:val="single" w:sz="12" w:space="0" w:color="000000"/>
              <w:left w:val="nil" w:sz="6" w:space="0" w:color="auto"/>
              <w:bottom w:val="nil" w:sz="6" w:space="0" w:color="auto"/>
              <w:right w:val="nil" w:sz="6" w:space="0" w:color="auto"/>
            </w:tcBorders>
          </w:tcPr>
          <w:p>
            <w:pPr>
              <w:pStyle w:val="TableParagraph"/>
              <w:spacing w:line="243" w:lineRule="exact"/>
              <w:ind w:left="4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51" w:type="dxa"/>
            <w:tcBorders>
              <w:top w:val="single" w:sz="12" w:space="0" w:color="000000"/>
              <w:left w:val="nil" w:sz="6" w:space="0" w:color="auto"/>
              <w:bottom w:val="nil" w:sz="6" w:space="0" w:color="auto"/>
              <w:right w:val="nil" w:sz="6" w:space="0" w:color="auto"/>
            </w:tcBorders>
          </w:tcPr>
          <w:p>
            <w:pPr>
              <w:pStyle w:val="TableParagraph"/>
              <w:spacing w:line="243" w:lineRule="exact"/>
              <w:ind w:left="25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86" w:type="dxa"/>
            <w:tcBorders>
              <w:top w:val="single" w:sz="12" w:space="0" w:color="000000"/>
              <w:left w:val="nil" w:sz="6" w:space="0" w:color="auto"/>
              <w:bottom w:val="nil" w:sz="6" w:space="0" w:color="auto"/>
              <w:right w:val="nil" w:sz="6" w:space="0" w:color="auto"/>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8" w:type="dxa"/>
            <w:tcBorders>
              <w:top w:val="single" w:sz="12" w:space="0" w:color="000000"/>
              <w:left w:val="nil" w:sz="6" w:space="0" w:color="auto"/>
              <w:bottom w:val="nil" w:sz="6" w:space="0" w:color="auto"/>
              <w:right w:val="nil" w:sz="6" w:space="0" w:color="auto"/>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86" w:type="dxa"/>
            <w:tcBorders>
              <w:top w:val="single" w:sz="12" w:space="0" w:color="000000"/>
              <w:left w:val="nil" w:sz="6" w:space="0" w:color="auto"/>
              <w:bottom w:val="nil" w:sz="6" w:space="0" w:color="auto"/>
              <w:right w:val="nil" w:sz="6" w:space="0" w:color="auto"/>
            </w:tcBorders>
          </w:tcPr>
          <w:p>
            <w:pPr>
              <w:pStyle w:val="TableParagraph"/>
              <w:spacing w:line="243" w:lineRule="exact"/>
              <w:ind w:left="3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99" w:type="dxa"/>
            <w:tcBorders>
              <w:top w:val="single" w:sz="12" w:space="0" w:color="000000"/>
              <w:left w:val="nil" w:sz="6" w:space="0" w:color="auto"/>
              <w:bottom w:val="nil" w:sz="6" w:space="0" w:color="auto"/>
              <w:right w:val="nil" w:sz="6" w:space="0" w:color="auto"/>
            </w:tcBorders>
          </w:tcPr>
          <w:p>
            <w:pPr>
              <w:pStyle w:val="TableParagraph"/>
              <w:spacing w:line="243" w:lineRule="exact"/>
              <w:ind w:left="25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27" w:type="dxa"/>
            <w:tcBorders>
              <w:top w:val="single" w:sz="12" w:space="0" w:color="000000"/>
              <w:left w:val="nil" w:sz="6" w:space="0" w:color="auto"/>
              <w:bottom w:val="nil" w:sz="6" w:space="0" w:color="auto"/>
              <w:right w:val="nil" w:sz="6" w:space="0" w:color="auto"/>
            </w:tcBorders>
          </w:tcPr>
          <w:p>
            <w:pPr>
              <w:pStyle w:val="TableParagraph"/>
              <w:spacing w:line="243" w:lineRule="exact"/>
              <w:ind w:left="3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12" w:space="0" w:color="000000"/>
              <w:left w:val="nil" w:sz="6" w:space="0" w:color="auto"/>
              <w:bottom w:val="nil" w:sz="6" w:space="0" w:color="auto"/>
              <w:right w:val="nil" w:sz="6" w:space="0" w:color="auto"/>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6"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9" w:right="0"/>
              <w:jc w:val="left"/>
              <w:rPr>
                <w:rFonts w:ascii="Arial" w:hAnsi="Arial" w:cs="Arial" w:eastAsia="Arial" w:hint="default"/>
                <w:sz w:val="21"/>
                <w:szCs w:val="21"/>
              </w:rPr>
            </w:pPr>
            <w:r>
              <w:rPr>
                <w:rFonts w:ascii="Arial"/>
                <w:sz w:val="21"/>
              </w:rPr>
              <w:t>2,165,221</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86" w:right="0"/>
              <w:jc w:val="left"/>
              <w:rPr>
                <w:rFonts w:ascii="Arial" w:hAnsi="Arial" w:cs="Arial" w:eastAsia="Arial" w:hint="default"/>
                <w:sz w:val="21"/>
                <w:szCs w:val="21"/>
              </w:rPr>
            </w:pPr>
            <w:r>
              <w:rPr>
                <w:rFonts w:ascii="Arial"/>
                <w:sz w:val="21"/>
              </w:rPr>
              <w:t>97.7%</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83" w:right="0"/>
              <w:jc w:val="left"/>
              <w:rPr>
                <w:rFonts w:ascii="Arial" w:hAnsi="Arial" w:cs="Arial" w:eastAsia="Arial" w:hint="default"/>
                <w:sz w:val="21"/>
                <w:szCs w:val="21"/>
              </w:rPr>
            </w:pPr>
            <w:r>
              <w:rPr>
                <w:rFonts w:ascii="Arial"/>
                <w:sz w:val="21"/>
              </w:rPr>
              <w:t>(4,659)</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1"/>
              <w:jc w:val="center"/>
              <w:rPr>
                <w:rFonts w:ascii="Arial" w:hAnsi="Arial" w:cs="Arial" w:eastAsia="Arial" w:hint="default"/>
                <w:sz w:val="21"/>
                <w:szCs w:val="21"/>
              </w:rPr>
            </w:pPr>
            <w:r>
              <w:rPr>
                <w:rFonts w:ascii="Arial"/>
                <w:sz w:val="21"/>
              </w:rPr>
              <w:t>0.2%</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55" w:right="0"/>
              <w:jc w:val="left"/>
              <w:rPr>
                <w:rFonts w:ascii="Arial" w:hAnsi="Arial" w:cs="Arial" w:eastAsia="Arial" w:hint="default"/>
                <w:sz w:val="21"/>
                <w:szCs w:val="21"/>
              </w:rPr>
            </w:pPr>
            <w:r>
              <w:rPr>
                <w:rFonts w:ascii="Arial"/>
                <w:sz w:val="21"/>
              </w:rPr>
              <w:t>357,584</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87" w:right="0"/>
              <w:jc w:val="left"/>
              <w:rPr>
                <w:rFonts w:ascii="Arial" w:hAnsi="Arial" w:cs="Arial" w:eastAsia="Arial" w:hint="default"/>
                <w:sz w:val="21"/>
                <w:szCs w:val="21"/>
              </w:rPr>
            </w:pPr>
            <w:r>
              <w:rPr>
                <w:rFonts w:ascii="Arial"/>
                <w:sz w:val="21"/>
              </w:rPr>
              <w:t>91.4%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13" w:right="0"/>
              <w:jc w:val="left"/>
              <w:rPr>
                <w:rFonts w:ascii="Arial" w:hAnsi="Arial" w:cs="Arial" w:eastAsia="Arial" w:hint="default"/>
                <w:sz w:val="21"/>
                <w:szCs w:val="21"/>
              </w:rPr>
            </w:pPr>
            <w:r>
              <w:rPr>
                <w:rFonts w:ascii="Arial"/>
                <w:sz w:val="21"/>
              </w:rPr>
              <w:t>(3,226)</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6" w:right="0"/>
              <w:jc w:val="left"/>
              <w:rPr>
                <w:rFonts w:ascii="Arial" w:hAnsi="Arial" w:cs="Arial" w:eastAsia="Arial" w:hint="default"/>
                <w:sz w:val="21"/>
                <w:szCs w:val="21"/>
              </w:rPr>
            </w:pPr>
            <w:r>
              <w:rPr>
                <w:rFonts w:ascii="Arial"/>
                <w:sz w:val="21"/>
              </w:rPr>
              <w:t>0.9%</w:t>
            </w:r>
          </w:p>
        </w:tc>
      </w:tr>
      <w:tr>
        <w:trPr>
          <w:trHeight w:val="272"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7" w:right="0"/>
              <w:jc w:val="left"/>
              <w:rPr>
                <w:rFonts w:ascii="Arial" w:hAnsi="Arial" w:cs="Arial" w:eastAsia="Arial" w:hint="default"/>
                <w:sz w:val="21"/>
                <w:szCs w:val="21"/>
              </w:rPr>
            </w:pPr>
            <w:r>
              <w:rPr>
                <w:rFonts w:ascii="Arial"/>
                <w:sz w:val="21"/>
              </w:rPr>
              <w:t>27,170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1.2%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83" w:right="0"/>
              <w:jc w:val="left"/>
              <w:rPr>
                <w:rFonts w:ascii="Arial" w:hAnsi="Arial" w:cs="Arial" w:eastAsia="Arial" w:hint="default"/>
                <w:sz w:val="21"/>
                <w:szCs w:val="21"/>
              </w:rPr>
            </w:pPr>
            <w:r>
              <w:rPr>
                <w:rFonts w:ascii="Arial"/>
                <w:sz w:val="21"/>
              </w:rPr>
              <w:t>(2,717)</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center"/>
              <w:rPr>
                <w:rFonts w:ascii="Arial" w:hAnsi="Arial" w:cs="Arial" w:eastAsia="Arial" w:hint="default"/>
                <w:sz w:val="21"/>
                <w:szCs w:val="21"/>
              </w:rPr>
            </w:pPr>
            <w:r>
              <w:rPr>
                <w:rFonts w:ascii="Arial"/>
                <w:sz w:val="21"/>
              </w:rPr>
              <w:t>10%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0" w:right="0"/>
              <w:jc w:val="left"/>
              <w:rPr>
                <w:rFonts w:ascii="Arial" w:hAnsi="Arial" w:cs="Arial" w:eastAsia="Arial" w:hint="default"/>
                <w:sz w:val="21"/>
                <w:szCs w:val="21"/>
              </w:rPr>
            </w:pPr>
            <w:r>
              <w:rPr>
                <w:rFonts w:ascii="Arial"/>
                <w:sz w:val="21"/>
              </w:rPr>
              <w:t>30,305</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7.7%</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3" w:right="0"/>
              <w:jc w:val="left"/>
              <w:rPr>
                <w:rFonts w:ascii="Arial" w:hAnsi="Arial" w:cs="Arial" w:eastAsia="Arial" w:hint="default"/>
                <w:sz w:val="21"/>
                <w:szCs w:val="21"/>
              </w:rPr>
            </w:pPr>
            <w:r>
              <w:rPr>
                <w:rFonts w:ascii="Arial"/>
                <w:sz w:val="21"/>
              </w:rPr>
              <w:t>(3,030)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3" w:right="0"/>
              <w:jc w:val="left"/>
              <w:rPr>
                <w:rFonts w:ascii="Arial" w:hAnsi="Arial" w:cs="Arial" w:eastAsia="Arial" w:hint="default"/>
                <w:sz w:val="21"/>
                <w:szCs w:val="21"/>
              </w:rPr>
            </w:pPr>
            <w:r>
              <w:rPr>
                <w:rFonts w:ascii="Arial"/>
                <w:sz w:val="21"/>
              </w:rPr>
              <w:t>10%</w:t>
            </w:r>
          </w:p>
        </w:tc>
      </w:tr>
      <w:tr>
        <w:trPr>
          <w:trHeight w:val="272"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30" w:lineRule="exact"/>
              <w:ind w:left="11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7" w:right="0"/>
              <w:jc w:val="left"/>
              <w:rPr>
                <w:rFonts w:ascii="Arial" w:hAnsi="Arial" w:cs="Arial" w:eastAsia="Arial" w:hint="default"/>
                <w:sz w:val="21"/>
                <w:szCs w:val="21"/>
              </w:rPr>
            </w:pPr>
            <w:r>
              <w:rPr>
                <w:rFonts w:ascii="Arial"/>
                <w:sz w:val="21"/>
              </w:rPr>
              <w:t>20,586</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3" w:right="0"/>
              <w:jc w:val="left"/>
              <w:rPr>
                <w:rFonts w:ascii="Arial" w:hAnsi="Arial" w:cs="Arial" w:eastAsia="Arial" w:hint="default"/>
                <w:sz w:val="21"/>
                <w:szCs w:val="21"/>
              </w:rPr>
            </w:pPr>
            <w:r>
              <w:rPr>
                <w:rFonts w:ascii="Arial"/>
                <w:sz w:val="21"/>
              </w:rPr>
              <w:t>0.9%</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7" w:right="0"/>
              <w:jc w:val="left"/>
              <w:rPr>
                <w:rFonts w:ascii="Arial" w:hAnsi="Arial" w:cs="Arial" w:eastAsia="Arial" w:hint="default"/>
                <w:sz w:val="21"/>
                <w:szCs w:val="21"/>
              </w:rPr>
            </w:pPr>
            <w:r>
              <w:rPr>
                <w:rFonts w:ascii="Arial"/>
                <w:spacing w:val="-3"/>
                <w:sz w:val="21"/>
              </w:rPr>
              <w:t>(4,117)</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
              <w:jc w:val="center"/>
              <w:rPr>
                <w:rFonts w:ascii="Arial" w:hAnsi="Arial" w:cs="Arial" w:eastAsia="Arial" w:hint="default"/>
                <w:sz w:val="21"/>
                <w:szCs w:val="21"/>
              </w:rPr>
            </w:pPr>
            <w:r>
              <w:rPr>
                <w:rFonts w:ascii="Arial"/>
                <w:sz w:val="21"/>
              </w:rPr>
              <w:t>20%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8" w:right="0"/>
              <w:jc w:val="left"/>
              <w:rPr>
                <w:rFonts w:ascii="Arial" w:hAnsi="Arial" w:cs="Arial" w:eastAsia="Arial" w:hint="default"/>
                <w:sz w:val="21"/>
                <w:szCs w:val="21"/>
              </w:rPr>
            </w:pPr>
            <w:r>
              <w:rPr>
                <w:rFonts w:ascii="Arial"/>
                <w:sz w:val="21"/>
              </w:rPr>
              <w:t>1,522</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21"/>
                <w:szCs w:val="21"/>
              </w:rPr>
            </w:pPr>
            <w:r>
              <w:rPr>
                <w:rFonts w:ascii="Arial"/>
                <w:sz w:val="21"/>
              </w:rPr>
              <w:t>0.4%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8" w:right="0"/>
              <w:jc w:val="left"/>
              <w:rPr>
                <w:rFonts w:ascii="Arial" w:hAnsi="Arial" w:cs="Arial" w:eastAsia="Arial" w:hint="default"/>
                <w:sz w:val="21"/>
                <w:szCs w:val="21"/>
              </w:rPr>
            </w:pPr>
            <w:r>
              <w:rPr>
                <w:rFonts w:ascii="Arial"/>
                <w:sz w:val="21"/>
              </w:rPr>
              <w:t>(304)</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3" w:right="0"/>
              <w:jc w:val="left"/>
              <w:rPr>
                <w:rFonts w:ascii="Arial" w:hAnsi="Arial" w:cs="Arial" w:eastAsia="Arial" w:hint="default"/>
                <w:sz w:val="21"/>
                <w:szCs w:val="21"/>
              </w:rPr>
            </w:pPr>
            <w:r>
              <w:rPr>
                <w:rFonts w:ascii="Arial"/>
                <w:sz w:val="21"/>
              </w:rPr>
              <w:t>20%</w:t>
            </w:r>
          </w:p>
        </w:tc>
      </w:tr>
      <w:tr>
        <w:trPr>
          <w:trHeight w:val="274"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三到四年</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15" w:right="0"/>
              <w:jc w:val="left"/>
              <w:rPr>
                <w:rFonts w:ascii="Arial" w:hAnsi="Arial" w:cs="Arial" w:eastAsia="Arial" w:hint="default"/>
                <w:sz w:val="21"/>
                <w:szCs w:val="21"/>
              </w:rPr>
            </w:pPr>
            <w:r>
              <w:rPr>
                <w:rFonts w:ascii="Arial"/>
                <w:sz w:val="21"/>
              </w:rPr>
              <w:t>1,506</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0.1%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58" w:right="0"/>
              <w:jc w:val="left"/>
              <w:rPr>
                <w:rFonts w:ascii="Arial" w:hAnsi="Arial" w:cs="Arial" w:eastAsia="Arial" w:hint="default"/>
                <w:sz w:val="21"/>
                <w:szCs w:val="21"/>
              </w:rPr>
            </w:pPr>
            <w:r>
              <w:rPr>
                <w:rFonts w:ascii="Arial"/>
                <w:sz w:val="21"/>
              </w:rPr>
              <w:t>(452)</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center"/>
              <w:rPr>
                <w:rFonts w:ascii="Arial" w:hAnsi="Arial" w:cs="Arial" w:eastAsia="Arial" w:hint="default"/>
                <w:sz w:val="21"/>
                <w:szCs w:val="21"/>
              </w:rPr>
            </w:pPr>
            <w:r>
              <w:rPr>
                <w:rFonts w:ascii="Arial"/>
                <w:sz w:val="21"/>
              </w:rPr>
              <w:t>30%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88" w:right="0"/>
              <w:jc w:val="left"/>
              <w:rPr>
                <w:rFonts w:ascii="Arial" w:hAnsi="Arial" w:cs="Arial" w:eastAsia="Arial" w:hint="default"/>
                <w:sz w:val="21"/>
                <w:szCs w:val="21"/>
              </w:rPr>
            </w:pPr>
            <w:r>
              <w:rPr>
                <w:rFonts w:ascii="Arial"/>
                <w:sz w:val="21"/>
              </w:rPr>
              <w:t>1,914</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0.5%</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88" w:right="0"/>
              <w:jc w:val="left"/>
              <w:rPr>
                <w:rFonts w:ascii="Arial" w:hAnsi="Arial" w:cs="Arial" w:eastAsia="Arial" w:hint="default"/>
                <w:sz w:val="21"/>
                <w:szCs w:val="21"/>
              </w:rPr>
            </w:pPr>
            <w:r>
              <w:rPr>
                <w:rFonts w:ascii="Arial"/>
                <w:sz w:val="21"/>
              </w:rPr>
              <w:t>(574)</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3" w:right="0"/>
              <w:jc w:val="left"/>
              <w:rPr>
                <w:rFonts w:ascii="Arial" w:hAnsi="Arial" w:cs="Arial" w:eastAsia="Arial" w:hint="default"/>
                <w:sz w:val="21"/>
                <w:szCs w:val="21"/>
              </w:rPr>
            </w:pPr>
            <w:r>
              <w:rPr>
                <w:rFonts w:ascii="Arial"/>
                <w:sz w:val="21"/>
              </w:rPr>
              <w:t>30%</w:t>
            </w:r>
          </w:p>
        </w:tc>
      </w:tr>
      <w:tr>
        <w:trPr>
          <w:trHeight w:val="274"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四到五年</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15" w:right="0"/>
              <w:jc w:val="left"/>
              <w:rPr>
                <w:rFonts w:ascii="Arial" w:hAnsi="Arial" w:cs="Arial" w:eastAsia="Arial" w:hint="default"/>
                <w:sz w:val="21"/>
                <w:szCs w:val="21"/>
              </w:rPr>
            </w:pPr>
            <w:r>
              <w:rPr>
                <w:rFonts w:ascii="Arial"/>
                <w:sz w:val="21"/>
              </w:rPr>
              <w:t>1,443</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3" w:right="0"/>
              <w:jc w:val="left"/>
              <w:rPr>
                <w:rFonts w:ascii="Arial" w:hAnsi="Arial" w:cs="Arial" w:eastAsia="Arial" w:hint="default"/>
                <w:sz w:val="21"/>
                <w:szCs w:val="21"/>
              </w:rPr>
            </w:pPr>
            <w:r>
              <w:rPr>
                <w:rFonts w:ascii="Arial"/>
                <w:sz w:val="21"/>
              </w:rPr>
              <w:t>0.1%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61" w:right="0"/>
              <w:jc w:val="left"/>
              <w:rPr>
                <w:rFonts w:ascii="Arial" w:hAnsi="Arial" w:cs="Arial" w:eastAsia="Arial" w:hint="default"/>
                <w:sz w:val="21"/>
                <w:szCs w:val="21"/>
              </w:rPr>
            </w:pPr>
            <w:r>
              <w:rPr>
                <w:rFonts w:ascii="Arial"/>
                <w:sz w:val="21"/>
              </w:rPr>
              <w:t>(866)</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
              <w:jc w:val="center"/>
              <w:rPr>
                <w:rFonts w:ascii="Arial" w:hAnsi="Arial" w:cs="Arial" w:eastAsia="Arial" w:hint="default"/>
                <w:sz w:val="21"/>
                <w:szCs w:val="21"/>
              </w:rPr>
            </w:pPr>
            <w:r>
              <w:rPr>
                <w:rFonts w:ascii="Arial"/>
                <w:sz w:val="21"/>
              </w:rPr>
              <w:t>60%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9"/>
              <w:jc w:val="right"/>
              <w:rPr>
                <w:rFonts w:ascii="Arial" w:hAnsi="Arial" w:cs="Arial" w:eastAsia="Arial" w:hint="default"/>
                <w:sz w:val="21"/>
                <w:szCs w:val="21"/>
              </w:rPr>
            </w:pPr>
            <w:r>
              <w:rPr>
                <w:rFonts w:ascii="Arial"/>
                <w:w w:val="100"/>
                <w:sz w:val="21"/>
              </w:rPr>
              <w:t>-</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4" w:right="0"/>
              <w:jc w:val="left"/>
              <w:rPr>
                <w:rFonts w:ascii="Arial" w:hAnsi="Arial" w:cs="Arial" w:eastAsia="Arial" w:hint="default"/>
                <w:sz w:val="21"/>
                <w:szCs w:val="21"/>
              </w:rPr>
            </w:pPr>
            <w:r>
              <w:rPr>
                <w:rFonts w:ascii="Arial"/>
                <w:sz w:val="21"/>
              </w:rPr>
              <w:t>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21"/>
                <w:szCs w:val="21"/>
              </w:rPr>
            </w:pPr>
            <w:r>
              <w:rPr>
                <w:rFonts w:ascii="Arial"/>
                <w:w w:val="100"/>
                <w:sz w:val="21"/>
              </w:rPr>
              <w:t>-</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3" w:right="0"/>
              <w:jc w:val="left"/>
              <w:rPr>
                <w:rFonts w:ascii="Arial" w:hAnsi="Arial" w:cs="Arial" w:eastAsia="Arial" w:hint="default"/>
                <w:sz w:val="21"/>
                <w:szCs w:val="21"/>
              </w:rPr>
            </w:pPr>
            <w:r>
              <w:rPr>
                <w:rFonts w:ascii="Arial"/>
                <w:sz w:val="21"/>
              </w:rPr>
              <w:t>60%</w:t>
            </w:r>
          </w:p>
        </w:tc>
      </w:tr>
      <w:tr>
        <w:trPr>
          <w:trHeight w:val="274" w:hRule="exact"/>
        </w:trPr>
        <w:tc>
          <w:tcPr>
            <w:tcW w:w="713"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31" w:lineRule="exact"/>
              <w:ind w:left="110"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215" w:type="dxa"/>
            <w:tcBorders>
              <w:top w:val="nil" w:sz="6" w:space="0" w:color="auto"/>
              <w:left w:val="nil" w:sz="6" w:space="0" w:color="auto"/>
              <w:bottom w:val="nil" w:sz="6" w:space="0" w:color="auto"/>
              <w:right w:val="nil" w:sz="6" w:space="0" w:color="auto"/>
            </w:tcBorders>
          </w:tcPr>
          <w:p>
            <w:pPr>
              <w:pStyle w:val="TableParagraph"/>
              <w:tabs>
                <w:tab w:pos="1026" w:val="left" w:leader="none"/>
                <w:tab w:pos="1518" w:val="left" w:leader="none"/>
              </w:tabs>
              <w:spacing w:line="240" w:lineRule="auto" w:before="16"/>
              <w:ind w:left="99" w:right="-304"/>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1051"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16"/>
              <w:ind w:left="303" w:right="0"/>
              <w:jc w:val="left"/>
              <w:rPr>
                <w:rFonts w:ascii="Arial" w:hAnsi="Arial" w:cs="Arial" w:eastAsia="Arial" w:hint="default"/>
                <w:sz w:val="21"/>
                <w:szCs w:val="21"/>
              </w:rPr>
            </w:pPr>
            <w:r>
              <w:rPr>
                <w:rFonts w:ascii="Arial"/>
                <w:w w:val="100"/>
                <w:sz w:val="21"/>
              </w:rPr>
            </w:r>
            <w:r>
              <w:rPr>
                <w:rFonts w:ascii="Arial"/>
                <w:sz w:val="21"/>
                <w:u w:val="single" w:color="000000"/>
              </w:rPr>
              <w:t>0.0%</w:t>
              <w:tab/>
            </w:r>
            <w:r>
              <w:rPr>
                <w:rFonts w:ascii="Arial"/>
                <w:sz w:val="21"/>
              </w:rPr>
            </w:r>
          </w:p>
        </w:tc>
        <w:tc>
          <w:tcPr>
            <w:tcW w:w="1186" w:type="dxa"/>
            <w:tcBorders>
              <w:top w:val="nil" w:sz="6" w:space="0" w:color="auto"/>
              <w:left w:val="nil" w:sz="6" w:space="0" w:color="auto"/>
              <w:bottom w:val="nil" w:sz="6" w:space="0" w:color="auto"/>
              <w:right w:val="nil" w:sz="6" w:space="0" w:color="auto"/>
            </w:tcBorders>
          </w:tcPr>
          <w:p>
            <w:pPr>
              <w:pStyle w:val="TableParagraph"/>
              <w:tabs>
                <w:tab w:pos="793" w:val="left" w:leader="none"/>
                <w:tab w:pos="1317" w:val="left" w:leader="none"/>
              </w:tabs>
              <w:spacing w:line="240" w:lineRule="auto" w:before="16"/>
              <w:ind w:left="71" w:right="-132"/>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928"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16"/>
              <w:ind w:right="16"/>
              <w:jc w:val="center"/>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c>
          <w:tcPr>
            <w:tcW w:w="1086" w:type="dxa"/>
            <w:tcBorders>
              <w:top w:val="nil" w:sz="6" w:space="0" w:color="auto"/>
              <w:left w:val="nil" w:sz="6" w:space="0" w:color="auto"/>
              <w:bottom w:val="nil" w:sz="6" w:space="0" w:color="auto"/>
              <w:right w:val="nil" w:sz="6" w:space="0" w:color="auto"/>
            </w:tcBorders>
          </w:tcPr>
          <w:p>
            <w:pPr>
              <w:pStyle w:val="TableParagraph"/>
              <w:tabs>
                <w:tab w:pos="895" w:val="left" w:leader="none"/>
                <w:tab w:pos="1390" w:val="left" w:leader="none"/>
              </w:tabs>
              <w:spacing w:line="240" w:lineRule="auto" w:before="16"/>
              <w:ind w:left="89" w:right="-305"/>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1099" w:type="dxa"/>
            <w:tcBorders>
              <w:top w:val="nil" w:sz="6" w:space="0" w:color="auto"/>
              <w:left w:val="nil" w:sz="6" w:space="0" w:color="auto"/>
              <w:bottom w:val="nil" w:sz="6" w:space="0" w:color="auto"/>
              <w:right w:val="nil" w:sz="6" w:space="0" w:color="auto"/>
            </w:tcBorders>
          </w:tcPr>
          <w:p>
            <w:pPr>
              <w:pStyle w:val="TableParagraph"/>
              <w:tabs>
                <w:tab w:pos="888" w:val="left" w:leader="none"/>
              </w:tabs>
              <w:spacing w:line="240" w:lineRule="auto" w:before="16"/>
              <w:ind w:left="304" w:right="0"/>
              <w:jc w:val="left"/>
              <w:rPr>
                <w:rFonts w:ascii="Arial" w:hAnsi="Arial" w:cs="Arial" w:eastAsia="Arial" w:hint="default"/>
                <w:sz w:val="21"/>
                <w:szCs w:val="21"/>
              </w:rPr>
            </w:pPr>
            <w:r>
              <w:rPr>
                <w:rFonts w:ascii="Arial"/>
                <w:w w:val="100"/>
                <w:sz w:val="21"/>
              </w:rPr>
            </w:r>
            <w:r>
              <w:rPr>
                <w:rFonts w:ascii="Arial"/>
                <w:sz w:val="21"/>
                <w:u w:val="single" w:color="000000"/>
              </w:rPr>
              <w:t>0.0%</w:t>
              <w:tab/>
            </w:r>
            <w:r>
              <w:rPr>
                <w:rFonts w:ascii="Arial"/>
                <w:sz w:val="21"/>
              </w:rPr>
            </w:r>
          </w:p>
        </w:tc>
        <w:tc>
          <w:tcPr>
            <w:tcW w:w="1127" w:type="dxa"/>
            <w:tcBorders>
              <w:top w:val="nil" w:sz="6" w:space="0" w:color="auto"/>
              <w:left w:val="nil" w:sz="6" w:space="0" w:color="auto"/>
              <w:bottom w:val="nil" w:sz="6" w:space="0" w:color="auto"/>
              <w:right w:val="nil" w:sz="6" w:space="0" w:color="auto"/>
            </w:tcBorders>
          </w:tcPr>
          <w:p>
            <w:pPr>
              <w:pStyle w:val="TableParagraph"/>
              <w:tabs>
                <w:tab w:pos="720" w:val="left" w:leader="none"/>
                <w:tab w:pos="1272" w:val="left" w:leader="none"/>
              </w:tabs>
              <w:spacing w:line="240" w:lineRule="auto" w:before="16"/>
              <w:ind w:left="29" w:right="-147"/>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(8)</w:t>
              <w:tab/>
            </w:r>
            <w:r>
              <w:rPr>
                <w:rFonts w:ascii="Arial"/>
                <w:sz w:val="21"/>
              </w:rPr>
            </w:r>
          </w:p>
        </w:tc>
        <w:tc>
          <w:tcPr>
            <w:tcW w:w="790"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16"/>
              <w:ind w:left="146" w:right="0"/>
              <w:jc w:val="left"/>
              <w:rPr>
                <w:rFonts w:ascii="Arial" w:hAnsi="Arial" w:cs="Arial" w:eastAsia="Arial" w:hint="default"/>
                <w:sz w:val="21"/>
                <w:szCs w:val="21"/>
              </w:rPr>
            </w:pPr>
            <w:r>
              <w:rPr>
                <w:rFonts w:ascii="Arial"/>
                <w:w w:val="100"/>
                <w:sz w:val="21"/>
              </w:rPr>
            </w:r>
            <w:r>
              <w:rPr>
                <w:rFonts w:ascii="Arial"/>
                <w:sz w:val="21"/>
                <w:u w:val="single" w:color="000000"/>
              </w:rPr>
              <w:t>100%</w:t>
              <w:tab/>
            </w:r>
            <w:r>
              <w:rPr>
                <w:rFonts w:ascii="Arial"/>
                <w:sz w:val="21"/>
              </w:rPr>
            </w:r>
          </w:p>
        </w:tc>
      </w:tr>
      <w:tr>
        <w:trPr>
          <w:trHeight w:val="241" w:hRule="exact"/>
        </w:trPr>
        <w:tc>
          <w:tcPr>
            <w:tcW w:w="713" w:type="dxa"/>
            <w:tcBorders>
              <w:top w:val="nil" w:sz="6" w:space="0" w:color="auto"/>
              <w:left w:val="nil" w:sz="6" w:space="0" w:color="auto"/>
              <w:bottom w:val="single" w:sz="1" w:space="0" w:color="FFFF99"/>
              <w:right w:val="nil" w:sz="6" w:space="0" w:color="auto"/>
            </w:tcBorders>
          </w:tcPr>
          <w:p>
            <w:pPr/>
          </w:p>
        </w:tc>
        <w:tc>
          <w:tcPr>
            <w:tcW w:w="1163" w:type="dxa"/>
            <w:tcBorders>
              <w:top w:val="nil" w:sz="6" w:space="0" w:color="auto"/>
              <w:left w:val="nil" w:sz="6" w:space="0" w:color="auto"/>
              <w:bottom w:val="single" w:sz="1" w:space="0" w:color="FFFF99"/>
              <w:right w:val="nil" w:sz="6" w:space="0" w:color="auto"/>
            </w:tcBorders>
          </w:tcPr>
          <w:p>
            <w:pPr/>
          </w:p>
        </w:tc>
        <w:tc>
          <w:tcPr>
            <w:tcW w:w="1215" w:type="dxa"/>
            <w:tcBorders>
              <w:top w:val="nil" w:sz="6" w:space="0" w:color="auto"/>
              <w:left w:val="nil" w:sz="6" w:space="0" w:color="auto"/>
              <w:bottom w:val="single" w:sz="12" w:space="0" w:color="000000"/>
              <w:right w:val="nil" w:sz="6" w:space="0" w:color="auto"/>
            </w:tcBorders>
          </w:tcPr>
          <w:p>
            <w:pPr>
              <w:pStyle w:val="TableParagraph"/>
              <w:spacing w:line="236" w:lineRule="exact"/>
              <w:ind w:left="207" w:right="0"/>
              <w:jc w:val="left"/>
              <w:rPr>
                <w:rFonts w:ascii="Arial" w:hAnsi="Arial" w:cs="Arial" w:eastAsia="Arial" w:hint="default"/>
                <w:sz w:val="21"/>
                <w:szCs w:val="21"/>
              </w:rPr>
            </w:pPr>
            <w:r>
              <w:rPr>
                <w:rFonts w:ascii="Arial"/>
                <w:sz w:val="21"/>
              </w:rPr>
              <w:t>2,215,934</w:t>
            </w:r>
          </w:p>
        </w:tc>
        <w:tc>
          <w:tcPr>
            <w:tcW w:w="1051" w:type="dxa"/>
            <w:tcBorders>
              <w:top w:val="nil" w:sz="6" w:space="0" w:color="auto"/>
              <w:left w:val="nil" w:sz="6" w:space="0" w:color="auto"/>
              <w:bottom w:val="single" w:sz="12" w:space="0" w:color="000000"/>
              <w:right w:val="nil" w:sz="6" w:space="0" w:color="auto"/>
            </w:tcBorders>
          </w:tcPr>
          <w:p>
            <w:pPr>
              <w:pStyle w:val="TableParagraph"/>
              <w:spacing w:line="236" w:lineRule="exact"/>
              <w:ind w:left="68" w:right="0"/>
              <w:jc w:val="left"/>
              <w:rPr>
                <w:rFonts w:ascii="Arial" w:hAnsi="Arial" w:cs="Arial" w:eastAsia="Arial" w:hint="default"/>
                <w:sz w:val="21"/>
                <w:szCs w:val="21"/>
              </w:rPr>
            </w:pPr>
            <w:r>
              <w:rPr>
                <w:rFonts w:ascii="Arial"/>
                <w:sz w:val="21"/>
              </w:rPr>
              <w:t>100.0%</w:t>
            </w:r>
          </w:p>
        </w:tc>
        <w:tc>
          <w:tcPr>
            <w:tcW w:w="1186" w:type="dxa"/>
            <w:tcBorders>
              <w:top w:val="nil" w:sz="6" w:space="0" w:color="auto"/>
              <w:left w:val="nil" w:sz="6" w:space="0" w:color="auto"/>
              <w:bottom w:val="single" w:sz="12" w:space="0" w:color="000000"/>
              <w:right w:val="nil" w:sz="6" w:space="0" w:color="auto"/>
            </w:tcBorders>
          </w:tcPr>
          <w:p>
            <w:pPr>
              <w:pStyle w:val="TableParagraph"/>
              <w:spacing w:line="236" w:lineRule="exact"/>
              <w:ind w:left="265" w:right="0"/>
              <w:jc w:val="left"/>
              <w:rPr>
                <w:rFonts w:ascii="Arial" w:hAnsi="Arial" w:cs="Arial" w:eastAsia="Arial" w:hint="default"/>
                <w:sz w:val="21"/>
                <w:szCs w:val="21"/>
              </w:rPr>
            </w:pPr>
            <w:r>
              <w:rPr>
                <w:rFonts w:ascii="Arial"/>
                <w:sz w:val="21"/>
              </w:rPr>
              <w:t>(12,819)</w:t>
            </w:r>
          </w:p>
        </w:tc>
        <w:tc>
          <w:tcPr>
            <w:tcW w:w="928" w:type="dxa"/>
            <w:tcBorders>
              <w:top w:val="nil" w:sz="6" w:space="0" w:color="auto"/>
              <w:left w:val="nil" w:sz="6" w:space="0" w:color="auto"/>
              <w:bottom w:val="single" w:sz="12" w:space="0" w:color="000000"/>
              <w:right w:val="nil" w:sz="6" w:space="0" w:color="auto"/>
            </w:tcBorders>
          </w:tcPr>
          <w:p>
            <w:pPr/>
          </w:p>
        </w:tc>
        <w:tc>
          <w:tcPr>
            <w:tcW w:w="1086" w:type="dxa"/>
            <w:tcBorders>
              <w:top w:val="nil" w:sz="6" w:space="0" w:color="auto"/>
              <w:left w:val="nil" w:sz="6" w:space="0" w:color="auto"/>
              <w:bottom w:val="single" w:sz="12" w:space="0" w:color="000000"/>
              <w:right w:val="nil" w:sz="6" w:space="0" w:color="auto"/>
            </w:tcBorders>
          </w:tcPr>
          <w:p>
            <w:pPr>
              <w:pStyle w:val="TableParagraph"/>
              <w:spacing w:line="236" w:lineRule="exact"/>
              <w:ind w:left="255" w:right="0"/>
              <w:jc w:val="left"/>
              <w:rPr>
                <w:rFonts w:ascii="Arial" w:hAnsi="Arial" w:cs="Arial" w:eastAsia="Arial" w:hint="default"/>
                <w:sz w:val="21"/>
                <w:szCs w:val="21"/>
              </w:rPr>
            </w:pPr>
            <w:r>
              <w:rPr>
                <w:rFonts w:ascii="Arial"/>
                <w:sz w:val="21"/>
              </w:rPr>
              <w:t>391,333</w:t>
            </w:r>
          </w:p>
        </w:tc>
        <w:tc>
          <w:tcPr>
            <w:tcW w:w="1099" w:type="dxa"/>
            <w:tcBorders>
              <w:top w:val="nil" w:sz="6" w:space="0" w:color="auto"/>
              <w:left w:val="nil" w:sz="6" w:space="0" w:color="auto"/>
              <w:bottom w:val="single" w:sz="12" w:space="0" w:color="000000"/>
              <w:right w:val="nil" w:sz="6" w:space="0" w:color="auto"/>
            </w:tcBorders>
          </w:tcPr>
          <w:p>
            <w:pPr>
              <w:pStyle w:val="TableParagraph"/>
              <w:spacing w:line="236" w:lineRule="exact"/>
              <w:ind w:left="69" w:right="0"/>
              <w:jc w:val="left"/>
              <w:rPr>
                <w:rFonts w:ascii="Arial" w:hAnsi="Arial" w:cs="Arial" w:eastAsia="Arial" w:hint="default"/>
                <w:sz w:val="21"/>
                <w:szCs w:val="21"/>
              </w:rPr>
            </w:pPr>
            <w:r>
              <w:rPr>
                <w:rFonts w:ascii="Arial"/>
                <w:sz w:val="21"/>
              </w:rPr>
              <w:t>100.0%</w:t>
            </w:r>
          </w:p>
        </w:tc>
        <w:tc>
          <w:tcPr>
            <w:tcW w:w="1127" w:type="dxa"/>
            <w:tcBorders>
              <w:top w:val="nil" w:sz="6" w:space="0" w:color="auto"/>
              <w:left w:val="nil" w:sz="6" w:space="0" w:color="auto"/>
              <w:bottom w:val="single" w:sz="12" w:space="0" w:color="000000"/>
              <w:right w:val="nil" w:sz="6" w:space="0" w:color="auto"/>
            </w:tcBorders>
          </w:tcPr>
          <w:p>
            <w:pPr>
              <w:pStyle w:val="TableParagraph"/>
              <w:spacing w:line="236" w:lineRule="exact"/>
              <w:ind w:left="313" w:right="0"/>
              <w:jc w:val="left"/>
              <w:rPr>
                <w:rFonts w:ascii="Arial" w:hAnsi="Arial" w:cs="Arial" w:eastAsia="Arial" w:hint="default"/>
                <w:sz w:val="21"/>
                <w:szCs w:val="21"/>
              </w:rPr>
            </w:pPr>
            <w:r>
              <w:rPr>
                <w:rFonts w:ascii="Arial"/>
                <w:sz w:val="21"/>
              </w:rPr>
              <w:t>(7,142)</w:t>
            </w:r>
          </w:p>
        </w:tc>
        <w:tc>
          <w:tcPr>
            <w:tcW w:w="790" w:type="dxa"/>
            <w:tcBorders>
              <w:top w:val="nil" w:sz="6" w:space="0" w:color="auto"/>
              <w:left w:val="nil" w:sz="6" w:space="0" w:color="auto"/>
              <w:bottom w:val="single" w:sz="12" w:space="0" w:color="000000"/>
              <w:right w:val="nil" w:sz="6" w:space="0" w:color="auto"/>
            </w:tcBorders>
          </w:tcPr>
          <w:p>
            <w:pPr/>
          </w:p>
        </w:tc>
      </w:tr>
    </w:tbl>
    <w:p>
      <w:pPr>
        <w:spacing w:after="0"/>
        <w:sectPr>
          <w:pgSz w:w="11910" w:h="16850"/>
          <w:pgMar w:header="754" w:footer="956" w:top="2240" w:bottom="1140" w:left="82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080"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776"/>
        <w:gridCol w:w="2647"/>
      </w:tblGrid>
      <w:tr>
        <w:trPr>
          <w:trHeight w:val="533"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647"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22"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700"/>
        <w:gridCol w:w="2010"/>
      </w:tblGrid>
      <w:tr>
        <w:trPr>
          <w:trHeight w:val="257"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2010" w:type="dxa"/>
            <w:tcBorders>
              <w:top w:val="nil" w:sz="6" w:space="0" w:color="auto"/>
              <w:left w:val="nil" w:sz="6" w:space="0" w:color="auto"/>
              <w:bottom w:val="nil" w:sz="6" w:space="0" w:color="auto"/>
              <w:right w:val="nil" w:sz="6" w:space="0" w:color="auto"/>
            </w:tcBorders>
          </w:tcPr>
          <w:p>
            <w:pPr>
              <w:pStyle w:val="TableParagraph"/>
              <w:spacing w:line="262" w:lineRule="exact"/>
              <w:ind w:left="206" w:right="0"/>
              <w:jc w:val="left"/>
              <w:rPr>
                <w:rFonts w:ascii="Arial" w:hAnsi="Arial" w:cs="Arial" w:eastAsia="Arial" w:hint="default"/>
                <w:sz w:val="24"/>
                <w:szCs w:val="24"/>
              </w:rPr>
            </w:pPr>
            <w:r>
              <w:rPr>
                <w:rFonts w:ascii="宋体" w:hAnsi="宋体" w:cs="宋体" w:eastAsia="宋体" w:hint="default"/>
                <w:b/>
                <w:bCs/>
                <w:sz w:val="24"/>
                <w:szCs w:val="24"/>
              </w:rPr>
              <w:t>其他应收款</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8"/>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696"/>
        <w:gridCol w:w="3632"/>
        <w:gridCol w:w="475"/>
        <w:gridCol w:w="651"/>
        <w:gridCol w:w="608"/>
        <w:gridCol w:w="551"/>
        <w:gridCol w:w="675"/>
        <w:gridCol w:w="1338"/>
        <w:gridCol w:w="1639"/>
      </w:tblGrid>
      <w:tr>
        <w:trPr>
          <w:trHeight w:val="419"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Arial" w:hAnsi="Arial" w:cs="Arial" w:eastAsia="Arial" w:hint="default"/>
                <w:sz w:val="24"/>
                <w:szCs w:val="24"/>
              </w:rPr>
            </w:pPr>
            <w:r>
              <w:rPr>
                <w:rFonts w:ascii="Arial"/>
                <w:sz w:val="24"/>
              </w:rPr>
              <w:t>(d)</w:t>
            </w:r>
          </w:p>
        </w:tc>
        <w:tc>
          <w:tcPr>
            <w:tcW w:w="4758" w:type="dxa"/>
            <w:gridSpan w:val="3"/>
            <w:tcBorders>
              <w:top w:val="nil" w:sz="6" w:space="0" w:color="auto"/>
              <w:left w:val="nil" w:sz="6" w:space="0" w:color="auto"/>
              <w:bottom w:val="nil" w:sz="6" w:space="0" w:color="auto"/>
              <w:right w:val="nil" w:sz="6" w:space="0" w:color="auto"/>
            </w:tcBorders>
          </w:tcPr>
          <w:p>
            <w:pPr>
              <w:pStyle w:val="TableParagraph"/>
              <w:spacing w:line="245" w:lineRule="exact"/>
              <w:ind w:left="216"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本年度实际核销的其他应收款分析如下：</w:t>
            </w:r>
          </w:p>
        </w:tc>
        <w:tc>
          <w:tcPr>
            <w:tcW w:w="608" w:type="dxa"/>
            <w:tcBorders>
              <w:top w:val="nil" w:sz="6" w:space="0" w:color="auto"/>
              <w:left w:val="nil" w:sz="6" w:space="0" w:color="auto"/>
              <w:bottom w:val="nil" w:sz="6" w:space="0" w:color="auto"/>
              <w:right w:val="nil" w:sz="6" w:space="0" w:color="auto"/>
            </w:tcBorders>
          </w:tcPr>
          <w:p>
            <w:pPr/>
          </w:p>
        </w:tc>
        <w:tc>
          <w:tcPr>
            <w:tcW w:w="5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900" w:hRule="exact"/>
        </w:trPr>
        <w:tc>
          <w:tcPr>
            <w:tcW w:w="696" w:type="dxa"/>
            <w:tcBorders>
              <w:top w:val="nil" w:sz="6" w:space="0" w:color="auto"/>
              <w:left w:val="nil" w:sz="6" w:space="0" w:color="auto"/>
              <w:bottom w:val="nil" w:sz="6" w:space="0" w:color="auto"/>
              <w:right w:val="nil" w:sz="6" w:space="0" w:color="auto"/>
            </w:tcBorders>
          </w:tcPr>
          <w:p>
            <w:pPr/>
          </w:p>
        </w:tc>
        <w:tc>
          <w:tcPr>
            <w:tcW w:w="475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2982" w:right="0"/>
              <w:jc w:val="left"/>
              <w:rPr>
                <w:rFonts w:ascii="宋体" w:hAnsi="宋体" w:cs="宋体" w:eastAsia="宋体" w:hint="default"/>
                <w:sz w:val="24"/>
                <w:szCs w:val="24"/>
              </w:rPr>
            </w:pPr>
            <w:r>
              <w:rPr>
                <w:rFonts w:ascii="宋体" w:hAnsi="宋体" w:cs="宋体" w:eastAsia="宋体" w:hint="default"/>
                <w:sz w:val="24"/>
                <w:szCs w:val="24"/>
              </w:rPr>
              <w:t>其他应收款性质</w:t>
            </w:r>
          </w:p>
        </w:tc>
        <w:tc>
          <w:tcPr>
            <w:tcW w:w="11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96" w:right="0"/>
              <w:jc w:val="left"/>
              <w:rPr>
                <w:rFonts w:ascii="宋体" w:hAnsi="宋体" w:cs="宋体" w:eastAsia="宋体" w:hint="default"/>
                <w:sz w:val="24"/>
                <w:szCs w:val="24"/>
              </w:rPr>
            </w:pPr>
            <w:r>
              <w:rPr>
                <w:rFonts w:ascii="宋体" w:hAnsi="宋体" w:cs="宋体" w:eastAsia="宋体" w:hint="default"/>
                <w:sz w:val="24"/>
                <w:szCs w:val="24"/>
              </w:rPr>
              <w:t>核销金额</w:t>
            </w:r>
          </w:p>
        </w:tc>
        <w:tc>
          <w:tcPr>
            <w:tcW w:w="675"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388" w:right="-11"/>
              <w:jc w:val="left"/>
              <w:rPr>
                <w:rFonts w:ascii="宋体" w:hAnsi="宋体" w:cs="宋体" w:eastAsia="宋体" w:hint="default"/>
                <w:sz w:val="24"/>
                <w:szCs w:val="24"/>
              </w:rPr>
            </w:pPr>
            <w:r>
              <w:rPr>
                <w:rFonts w:ascii="宋体" w:hAnsi="宋体" w:cs="宋体" w:eastAsia="宋体" w:hint="default"/>
                <w:sz w:val="24"/>
                <w:szCs w:val="24"/>
              </w:rPr>
              <w:t>核销原因</w:t>
            </w:r>
          </w:p>
        </w:tc>
        <w:tc>
          <w:tcPr>
            <w:tcW w:w="163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479" w:right="198" w:hanging="240"/>
              <w:jc w:val="left"/>
              <w:rPr>
                <w:rFonts w:ascii="宋体" w:hAnsi="宋体" w:cs="宋体" w:eastAsia="宋体" w:hint="default"/>
                <w:sz w:val="24"/>
                <w:szCs w:val="24"/>
              </w:rPr>
            </w:pPr>
            <w:r>
              <w:rPr>
                <w:rFonts w:ascii="宋体" w:hAnsi="宋体" w:cs="宋体" w:eastAsia="宋体" w:hint="default"/>
                <w:sz w:val="24"/>
                <w:szCs w:val="24"/>
              </w:rPr>
              <w:t>是否因关联 交易产生</w:t>
            </w:r>
          </w:p>
        </w:tc>
      </w:tr>
      <w:tr>
        <w:trPr>
          <w:trHeight w:val="778"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312" w:lineRule="exact" w:before="131"/>
              <w:ind w:left="696" w:right="1493" w:hanging="480"/>
              <w:jc w:val="left"/>
              <w:rPr>
                <w:rFonts w:ascii="宋体" w:hAnsi="宋体" w:cs="宋体" w:eastAsia="宋体" w:hint="default"/>
                <w:sz w:val="24"/>
                <w:szCs w:val="24"/>
              </w:rPr>
            </w:pPr>
            <w:r>
              <w:rPr>
                <w:rFonts w:ascii="宋体" w:hAnsi="宋体" w:cs="宋体" w:eastAsia="宋体" w:hint="default"/>
                <w:sz w:val="24"/>
                <w:szCs w:val="24"/>
              </w:rPr>
              <w:t>江苏华夏轻纺实业 有限公司</w:t>
            </w:r>
          </w:p>
        </w:tc>
        <w:tc>
          <w:tcPr>
            <w:tcW w:w="11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5"/>
                <w:szCs w:val="35"/>
              </w:rPr>
            </w:pPr>
          </w:p>
          <w:p>
            <w:pPr>
              <w:pStyle w:val="TableParagraph"/>
              <w:spacing w:line="240" w:lineRule="auto"/>
              <w:ind w:left="69" w:right="0"/>
              <w:jc w:val="left"/>
              <w:rPr>
                <w:rFonts w:ascii="宋体" w:hAnsi="宋体" w:cs="宋体" w:eastAsia="宋体" w:hint="default"/>
                <w:sz w:val="24"/>
                <w:szCs w:val="24"/>
              </w:rPr>
            </w:pPr>
            <w:r>
              <w:rPr>
                <w:rFonts w:ascii="宋体" w:hAnsi="宋体" w:cs="宋体" w:eastAsia="宋体" w:hint="default"/>
                <w:sz w:val="24"/>
                <w:szCs w:val="24"/>
              </w:rPr>
              <w:t>应收货款</w:t>
            </w:r>
          </w:p>
        </w:tc>
        <w:tc>
          <w:tcPr>
            <w:tcW w:w="115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10"/>
              <w:ind w:left="453" w:right="0"/>
              <w:jc w:val="left"/>
              <w:rPr>
                <w:rFonts w:ascii="Arial" w:hAnsi="Arial" w:cs="Arial" w:eastAsia="Arial" w:hint="default"/>
                <w:sz w:val="24"/>
                <w:szCs w:val="24"/>
              </w:rPr>
            </w:pPr>
            <w:r>
              <w:rPr>
                <w:rFonts w:ascii="Arial"/>
                <w:sz w:val="24"/>
              </w:rPr>
              <w:t>1,463</w:t>
            </w:r>
          </w:p>
        </w:tc>
        <w:tc>
          <w:tcPr>
            <w:tcW w:w="20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5"/>
                <w:szCs w:val="35"/>
              </w:rPr>
            </w:pPr>
          </w:p>
          <w:p>
            <w:pPr>
              <w:pStyle w:val="TableParagraph"/>
              <w:spacing w:line="240" w:lineRule="auto"/>
              <w:ind w:left="103" w:right="-11"/>
              <w:jc w:val="lef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5"/>
                <w:szCs w:val="35"/>
              </w:rPr>
            </w:pPr>
          </w:p>
          <w:p>
            <w:pPr>
              <w:pStyle w:val="TableParagraph"/>
              <w:spacing w:line="240" w:lineRule="auto"/>
              <w:ind w:right="24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14"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78" w:lineRule="exact"/>
              <w:ind w:left="216" w:right="0"/>
              <w:jc w:val="left"/>
              <w:rPr>
                <w:rFonts w:ascii="Arial" w:hAnsi="Arial" w:cs="Arial" w:eastAsia="Arial"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w:t>
            </w:r>
            <w:r>
              <w:rPr>
                <w:rFonts w:ascii="宋体" w:hAnsi="宋体" w:cs="宋体" w:eastAsia="宋体" w:hint="default"/>
                <w:sz w:val="24"/>
                <w:szCs w:val="24"/>
              </w:rPr>
              <w:t>单笔金额较小</w:t>
            </w:r>
            <w:r>
              <w:rPr>
                <w:rFonts w:ascii="Arial" w:hAnsi="Arial" w:cs="Arial" w:eastAsia="Arial" w:hint="default"/>
                <w:sz w:val="24"/>
                <w:szCs w:val="24"/>
              </w:rPr>
              <w:t>)</w:t>
            </w:r>
          </w:p>
        </w:tc>
        <w:tc>
          <w:tcPr>
            <w:tcW w:w="1126"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69" w:right="0"/>
              <w:jc w:val="left"/>
              <w:rPr>
                <w:rFonts w:ascii="宋体" w:hAnsi="宋体" w:cs="宋体" w:eastAsia="宋体" w:hint="default"/>
                <w:sz w:val="24"/>
                <w:szCs w:val="24"/>
              </w:rPr>
            </w:pPr>
            <w:r>
              <w:rPr>
                <w:rFonts w:ascii="宋体" w:hAnsi="宋体" w:cs="宋体" w:eastAsia="宋体" w:hint="default"/>
                <w:sz w:val="24"/>
                <w:szCs w:val="24"/>
              </w:rPr>
              <w:t>应收货款</w:t>
            </w:r>
          </w:p>
        </w:tc>
        <w:tc>
          <w:tcPr>
            <w:tcW w:w="1159" w:type="dxa"/>
            <w:gridSpan w:val="2"/>
            <w:tcBorders>
              <w:top w:val="nil" w:sz="6" w:space="0" w:color="auto"/>
              <w:left w:val="nil" w:sz="6" w:space="0" w:color="auto"/>
              <w:bottom w:val="nil" w:sz="6" w:space="0" w:color="auto"/>
              <w:right w:val="nil" w:sz="6" w:space="0" w:color="auto"/>
            </w:tcBorders>
          </w:tcPr>
          <w:p>
            <w:pPr>
              <w:pStyle w:val="TableParagraph"/>
              <w:tabs>
                <w:tab w:pos="652" w:val="left" w:leader="none"/>
                <w:tab w:pos="1164" w:val="left" w:leader="none"/>
              </w:tabs>
              <w:spacing w:line="240" w:lineRule="auto" w:before="21"/>
              <w:ind w:left="14" w:right="-5"/>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849</w:t>
              <w:tab/>
            </w:r>
            <w:r>
              <w:rPr>
                <w:rFonts w:ascii="Arial"/>
                <w:sz w:val="24"/>
              </w:rPr>
            </w:r>
          </w:p>
        </w:tc>
        <w:tc>
          <w:tcPr>
            <w:tcW w:w="2013"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03" w:right="-11"/>
              <w:jc w:val="left"/>
              <w:rPr>
                <w:rFonts w:ascii="宋体" w:hAnsi="宋体" w:cs="宋体" w:eastAsia="宋体" w:hint="default"/>
                <w:sz w:val="24"/>
                <w:szCs w:val="24"/>
              </w:rPr>
            </w:pPr>
            <w:r>
              <w:rPr>
                <w:rFonts w:ascii="宋体" w:hAnsi="宋体" w:cs="宋体" w:eastAsia="宋体" w:hint="default"/>
                <w:sz w:val="24"/>
                <w:szCs w:val="24"/>
              </w:rPr>
              <w:t>长时间催讨无结果</w:t>
            </w:r>
          </w:p>
        </w:tc>
        <w:tc>
          <w:tcPr>
            <w:tcW w:w="1639" w:type="dxa"/>
            <w:tcBorders>
              <w:top w:val="nil" w:sz="6" w:space="0" w:color="auto"/>
              <w:left w:val="nil" w:sz="6" w:space="0" w:color="auto"/>
              <w:bottom w:val="nil" w:sz="6" w:space="0" w:color="auto"/>
              <w:right w:val="nil" w:sz="6" w:space="0" w:color="auto"/>
            </w:tcBorders>
          </w:tcPr>
          <w:p>
            <w:pPr>
              <w:pStyle w:val="TableParagraph"/>
              <w:spacing w:line="261" w:lineRule="exact"/>
              <w:ind w:right="241"/>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34" w:hRule="exact"/>
        </w:trPr>
        <w:tc>
          <w:tcPr>
            <w:tcW w:w="10266" w:type="dxa"/>
            <w:gridSpan w:val="9"/>
            <w:tcBorders>
              <w:top w:val="nil" w:sz="6" w:space="0" w:color="auto"/>
              <w:left w:val="nil" w:sz="6" w:space="0" w:color="auto"/>
              <w:bottom w:val="nil" w:sz="6" w:space="0" w:color="auto"/>
              <w:right w:val="nil" w:sz="6" w:space="0" w:color="auto"/>
            </w:tcBorders>
          </w:tcPr>
          <w:p>
            <w:pPr>
              <w:pStyle w:val="TableParagraph"/>
              <w:tabs>
                <w:tab w:pos="2261" w:val="left" w:leader="none"/>
                <w:tab w:pos="2971" w:val="left" w:leader="none"/>
              </w:tabs>
              <w:spacing w:line="268" w:lineRule="exact"/>
              <w:ind w:left="1822"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2,312</w:t>
              <w:tab/>
            </w:r>
            <w:r>
              <w:rPr>
                <w:rFonts w:ascii="Arial"/>
                <w:sz w:val="24"/>
              </w:rPr>
            </w:r>
          </w:p>
        </w:tc>
      </w:tr>
      <w:tr>
        <w:trPr>
          <w:trHeight w:val="906"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4"/>
                <w:szCs w:val="24"/>
              </w:rPr>
            </w:pPr>
            <w:r>
              <w:rPr>
                <w:rFonts w:ascii="Arial"/>
                <w:sz w:val="24"/>
              </w:rPr>
              <w:t>(e)</w:t>
            </w:r>
          </w:p>
        </w:tc>
        <w:tc>
          <w:tcPr>
            <w:tcW w:w="9570"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33"/>
              <w:ind w:left="202" w:right="207"/>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4"/>
                <w:sz w:val="24"/>
                <w:szCs w:val="24"/>
              </w:rPr>
              <w:t>2011</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日及</w:t>
            </w:r>
            <w:r>
              <w:rPr>
                <w:rFonts w:ascii="宋体" w:hAnsi="宋体" w:cs="宋体" w:eastAsia="宋体" w:hint="default"/>
                <w:spacing w:val="-57"/>
                <w:sz w:val="24"/>
                <w:szCs w:val="24"/>
              </w:rPr>
              <w:t> </w:t>
            </w:r>
            <w:r>
              <w:rPr>
                <w:rFonts w:ascii="Arial" w:hAnsi="Arial" w:cs="Arial" w:eastAsia="Arial" w:hint="default"/>
                <w:sz w:val="24"/>
                <w:szCs w:val="24"/>
              </w:rPr>
              <w:t>2010</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日，其他应收款中无应收持有本公司</w:t>
            </w:r>
            <w:r>
              <w:rPr>
                <w:rFonts w:ascii="宋体" w:hAnsi="宋体" w:cs="宋体" w:eastAsia="宋体" w:hint="default"/>
                <w:spacing w:val="-56"/>
                <w:sz w:val="24"/>
                <w:szCs w:val="24"/>
              </w:rPr>
              <w:t> </w:t>
            </w:r>
            <w:r>
              <w:rPr>
                <w:rFonts w:ascii="Arial" w:hAnsi="Arial" w:cs="Arial" w:eastAsia="Arial" w:hint="default"/>
                <w:sz w:val="24"/>
                <w:szCs w:val="24"/>
              </w:rPr>
              <w:t>5%(</w:t>
            </w:r>
            <w:r>
              <w:rPr>
                <w:rFonts w:ascii="宋体" w:hAnsi="宋体" w:cs="宋体" w:eastAsia="宋体" w:hint="default"/>
                <w:sz w:val="24"/>
                <w:szCs w:val="24"/>
              </w:rPr>
              <w:t>含 </w:t>
            </w:r>
            <w:r>
              <w:rPr>
                <w:rFonts w:ascii="Arial" w:hAnsi="Arial" w:cs="Arial" w:eastAsia="Arial" w:hint="default"/>
                <w:sz w:val="24"/>
                <w:szCs w:val="24"/>
              </w:rPr>
              <w:t>5%)</w:t>
            </w:r>
            <w:r>
              <w:rPr>
                <w:rFonts w:ascii="宋体" w:hAnsi="宋体" w:cs="宋体" w:eastAsia="宋体" w:hint="default"/>
                <w:sz w:val="24"/>
                <w:szCs w:val="24"/>
              </w:rPr>
              <w:t>以上表决权股份的股东的款项。</w:t>
            </w:r>
          </w:p>
        </w:tc>
      </w:tr>
      <w:tr>
        <w:trPr>
          <w:trHeight w:val="59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5"/>
              <w:jc w:val="center"/>
              <w:rPr>
                <w:rFonts w:ascii="Arial" w:hAnsi="Arial" w:cs="Arial" w:eastAsia="Arial" w:hint="default"/>
                <w:sz w:val="24"/>
                <w:szCs w:val="24"/>
              </w:rPr>
            </w:pPr>
            <w:r>
              <w:rPr>
                <w:rFonts w:ascii="Arial"/>
                <w:sz w:val="24"/>
              </w:rPr>
              <w:t>(f)</w:t>
            </w:r>
          </w:p>
        </w:tc>
        <w:tc>
          <w:tcPr>
            <w:tcW w:w="79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6"/>
              <w:ind w:left="20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日，余额前五名的其他应收款分析如下：</w:t>
            </w:r>
          </w:p>
        </w:tc>
        <w:tc>
          <w:tcPr>
            <w:tcW w:w="1639" w:type="dxa"/>
            <w:tcBorders>
              <w:top w:val="nil" w:sz="6" w:space="0" w:color="auto"/>
              <w:left w:val="nil" w:sz="6" w:space="0" w:color="auto"/>
              <w:bottom w:val="nil" w:sz="6" w:space="0" w:color="auto"/>
              <w:right w:val="nil" w:sz="6" w:space="0" w:color="auto"/>
            </w:tcBorders>
          </w:tcPr>
          <w:p>
            <w:pPr/>
          </w:p>
        </w:tc>
      </w:tr>
      <w:tr>
        <w:trPr>
          <w:trHeight w:val="895"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1259" w:type="dxa"/>
            <w:gridSpan w:val="2"/>
            <w:tcBorders>
              <w:top w:val="nil" w:sz="6" w:space="0" w:color="auto"/>
              <w:left w:val="nil" w:sz="6" w:space="0" w:color="auto"/>
              <w:bottom w:val="nil" w:sz="6" w:space="0" w:color="auto"/>
              <w:right w:val="nil" w:sz="6" w:space="0" w:color="auto"/>
            </w:tcBorders>
          </w:tcPr>
          <w:p>
            <w:pPr>
              <w:pStyle w:val="TableParagraph"/>
              <w:spacing w:line="313" w:lineRule="exact" w:before="94"/>
              <w:ind w:left="65" w:right="0"/>
              <w:jc w:val="left"/>
              <w:rPr>
                <w:rFonts w:ascii="宋体" w:hAnsi="宋体" w:cs="宋体" w:eastAsia="宋体" w:hint="default"/>
                <w:sz w:val="24"/>
                <w:szCs w:val="24"/>
              </w:rPr>
            </w:pPr>
            <w:r>
              <w:rPr>
                <w:rFonts w:ascii="宋体" w:hAnsi="宋体" w:cs="宋体" w:eastAsia="宋体" w:hint="default"/>
                <w:sz w:val="24"/>
                <w:szCs w:val="24"/>
              </w:rPr>
              <w:t>与本公司</w:t>
            </w:r>
          </w:p>
          <w:p>
            <w:pPr>
              <w:pStyle w:val="TableParagraph"/>
              <w:spacing w:line="313" w:lineRule="exact"/>
              <w:ind w:left="545" w:right="0"/>
              <w:jc w:val="left"/>
              <w:rPr>
                <w:rFonts w:ascii="宋体" w:hAnsi="宋体" w:cs="宋体" w:eastAsia="宋体" w:hint="default"/>
                <w:sz w:val="24"/>
                <w:szCs w:val="24"/>
              </w:rPr>
            </w:pPr>
            <w:r>
              <w:rPr>
                <w:rFonts w:ascii="宋体" w:hAnsi="宋体" w:cs="宋体" w:eastAsia="宋体" w:hint="default"/>
                <w:sz w:val="24"/>
                <w:szCs w:val="24"/>
              </w:rPr>
              <w:t>关系</w:t>
            </w:r>
          </w:p>
        </w:tc>
        <w:tc>
          <w:tcPr>
            <w:tcW w:w="551"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7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602" w:right="0"/>
              <w:jc w:val="left"/>
              <w:rPr>
                <w:rFonts w:ascii="宋体" w:hAnsi="宋体" w:cs="宋体" w:eastAsia="宋体" w:hint="default"/>
                <w:sz w:val="24"/>
                <w:szCs w:val="24"/>
              </w:rPr>
            </w:pPr>
            <w:r>
              <w:rPr>
                <w:rFonts w:ascii="宋体" w:hAnsi="宋体" w:cs="宋体" w:eastAsia="宋体" w:hint="default"/>
                <w:sz w:val="24"/>
                <w:szCs w:val="24"/>
              </w:rPr>
              <w:t>年限</w:t>
            </w:r>
          </w:p>
        </w:tc>
        <w:tc>
          <w:tcPr>
            <w:tcW w:w="1639" w:type="dxa"/>
            <w:tcBorders>
              <w:top w:val="nil" w:sz="6" w:space="0" w:color="auto"/>
              <w:left w:val="nil" w:sz="6" w:space="0" w:color="auto"/>
              <w:bottom w:val="nil" w:sz="6" w:space="0" w:color="auto"/>
              <w:right w:val="nil" w:sz="6" w:space="0" w:color="auto"/>
            </w:tcBorders>
          </w:tcPr>
          <w:p>
            <w:pPr>
              <w:pStyle w:val="TableParagraph"/>
              <w:spacing w:line="313" w:lineRule="exact" w:before="94"/>
              <w:ind w:left="-11"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3" w:lineRule="exact"/>
              <w:ind w:left="469" w:right="0"/>
              <w:jc w:val="left"/>
              <w:rPr>
                <w:rFonts w:ascii="宋体" w:hAnsi="宋体" w:cs="宋体" w:eastAsia="宋体" w:hint="default"/>
                <w:sz w:val="24"/>
                <w:szCs w:val="24"/>
              </w:rPr>
            </w:pPr>
            <w:r>
              <w:rPr>
                <w:rFonts w:ascii="宋体" w:hAnsi="宋体" w:cs="宋体" w:eastAsia="宋体" w:hint="default"/>
                <w:sz w:val="24"/>
                <w:szCs w:val="24"/>
              </w:rPr>
              <w:t>总额比例</w:t>
            </w:r>
          </w:p>
        </w:tc>
      </w:tr>
      <w:tr>
        <w:trPr>
          <w:trHeight w:val="465"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2" w:right="0"/>
              <w:jc w:val="left"/>
              <w:rPr>
                <w:rFonts w:ascii="宋体" w:hAnsi="宋体" w:cs="宋体" w:eastAsia="宋体" w:hint="default"/>
                <w:sz w:val="24"/>
                <w:szCs w:val="24"/>
              </w:rPr>
            </w:pPr>
            <w:r>
              <w:rPr>
                <w:rFonts w:ascii="宋体" w:hAnsi="宋体" w:cs="宋体" w:eastAsia="宋体" w:hint="default"/>
                <w:sz w:val="24"/>
                <w:szCs w:val="24"/>
              </w:rPr>
              <w:t>江苏苏宁地铁商业管理有限公司</w:t>
            </w:r>
          </w:p>
        </w:tc>
        <w:tc>
          <w:tcPr>
            <w:tcW w:w="475" w:type="dxa"/>
            <w:tcBorders>
              <w:top w:val="nil" w:sz="6" w:space="0" w:color="auto"/>
              <w:left w:val="nil" w:sz="6" w:space="0" w:color="auto"/>
              <w:bottom w:val="nil" w:sz="6" w:space="0" w:color="auto"/>
              <w:right w:val="nil" w:sz="6" w:space="0" w:color="auto"/>
            </w:tcBorders>
          </w:tcPr>
          <w:p>
            <w:pPr/>
          </w:p>
        </w:tc>
        <w:tc>
          <w:tcPr>
            <w:tcW w:w="12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05"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234" w:right="0"/>
              <w:jc w:val="left"/>
              <w:rPr>
                <w:rFonts w:ascii="Arial" w:hAnsi="Arial" w:cs="Arial" w:eastAsia="Arial" w:hint="default"/>
                <w:sz w:val="24"/>
                <w:szCs w:val="24"/>
              </w:rPr>
            </w:pPr>
            <w:r>
              <w:rPr>
                <w:rFonts w:ascii="Arial"/>
                <w:sz w:val="24"/>
              </w:rPr>
              <w:t>902,661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47" w:right="0"/>
              <w:jc w:val="left"/>
              <w:rPr>
                <w:rFonts w:ascii="Arial" w:hAnsi="Arial" w:cs="Arial" w:eastAsia="Arial" w:hint="default"/>
                <w:sz w:val="24"/>
                <w:szCs w:val="24"/>
              </w:rPr>
            </w:pPr>
            <w:r>
              <w:rPr>
                <w:rFonts w:ascii="Arial"/>
                <w:sz w:val="24"/>
              </w:rPr>
              <w:t>40.7%</w:t>
            </w:r>
          </w:p>
        </w:tc>
      </w:tr>
      <w:tr>
        <w:trPr>
          <w:trHeight w:val="312"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杭州苏宁电器有限公司</w:t>
            </w:r>
          </w:p>
        </w:tc>
        <w:tc>
          <w:tcPr>
            <w:tcW w:w="475" w:type="dxa"/>
            <w:tcBorders>
              <w:top w:val="nil" w:sz="6" w:space="0" w:color="auto"/>
              <w:left w:val="nil" w:sz="6" w:space="0" w:color="auto"/>
              <w:bottom w:val="nil" w:sz="6" w:space="0" w:color="auto"/>
              <w:right w:val="nil" w:sz="6" w:space="0" w:color="auto"/>
            </w:tcBorders>
          </w:tcPr>
          <w:p>
            <w:pPr/>
          </w:p>
        </w:tc>
        <w:tc>
          <w:tcPr>
            <w:tcW w:w="125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05"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34" w:right="0"/>
              <w:jc w:val="left"/>
              <w:rPr>
                <w:rFonts w:ascii="Arial" w:hAnsi="Arial" w:cs="Arial" w:eastAsia="Arial" w:hint="default"/>
                <w:sz w:val="24"/>
                <w:szCs w:val="24"/>
              </w:rPr>
            </w:pPr>
            <w:r>
              <w:rPr>
                <w:rFonts w:ascii="Arial"/>
                <w:sz w:val="24"/>
              </w:rPr>
              <w:t>703,703</w:t>
            </w:r>
          </w:p>
        </w:tc>
        <w:tc>
          <w:tcPr>
            <w:tcW w:w="1338"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47" w:right="0"/>
              <w:jc w:val="left"/>
              <w:rPr>
                <w:rFonts w:ascii="Arial" w:hAnsi="Arial" w:cs="Arial" w:eastAsia="Arial" w:hint="default"/>
                <w:sz w:val="24"/>
                <w:szCs w:val="24"/>
              </w:rPr>
            </w:pPr>
            <w:r>
              <w:rPr>
                <w:rFonts w:ascii="Arial"/>
                <w:sz w:val="24"/>
              </w:rPr>
              <w:t>31.8%</w:t>
            </w:r>
          </w:p>
        </w:tc>
      </w:tr>
      <w:tr>
        <w:trPr>
          <w:trHeight w:val="312"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汕头市龙湖苏宁电器有限公司</w:t>
            </w:r>
          </w:p>
        </w:tc>
        <w:tc>
          <w:tcPr>
            <w:tcW w:w="475" w:type="dxa"/>
            <w:tcBorders>
              <w:top w:val="nil" w:sz="6" w:space="0" w:color="auto"/>
              <w:left w:val="nil" w:sz="6" w:space="0" w:color="auto"/>
              <w:bottom w:val="nil" w:sz="6" w:space="0" w:color="auto"/>
              <w:right w:val="nil" w:sz="6" w:space="0" w:color="auto"/>
            </w:tcBorders>
          </w:tcPr>
          <w:p>
            <w:pPr/>
          </w:p>
        </w:tc>
        <w:tc>
          <w:tcPr>
            <w:tcW w:w="125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05"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234" w:right="0"/>
              <w:jc w:val="left"/>
              <w:rPr>
                <w:rFonts w:ascii="Arial" w:hAnsi="Arial" w:cs="Arial" w:eastAsia="Arial" w:hint="default"/>
                <w:sz w:val="24"/>
                <w:szCs w:val="24"/>
              </w:rPr>
            </w:pPr>
            <w:r>
              <w:rPr>
                <w:rFonts w:ascii="Arial"/>
                <w:sz w:val="24"/>
              </w:rPr>
              <w:t>351,279</w:t>
            </w:r>
          </w:p>
        </w:tc>
        <w:tc>
          <w:tcPr>
            <w:tcW w:w="1338"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47" w:right="0"/>
              <w:jc w:val="left"/>
              <w:rPr>
                <w:rFonts w:ascii="Arial" w:hAnsi="Arial" w:cs="Arial" w:eastAsia="Arial" w:hint="default"/>
                <w:sz w:val="24"/>
                <w:szCs w:val="24"/>
              </w:rPr>
            </w:pPr>
            <w:r>
              <w:rPr>
                <w:rFonts w:ascii="Arial"/>
                <w:sz w:val="24"/>
              </w:rPr>
              <w:t>15.9%</w:t>
            </w:r>
          </w:p>
        </w:tc>
      </w:tr>
      <w:tr>
        <w:trPr>
          <w:trHeight w:val="312" w:hRule="exact"/>
        </w:trPr>
        <w:tc>
          <w:tcPr>
            <w:tcW w:w="696" w:type="dxa"/>
            <w:tcBorders>
              <w:top w:val="nil" w:sz="6" w:space="0" w:color="auto"/>
              <w:left w:val="nil" w:sz="6" w:space="0" w:color="auto"/>
              <w:bottom w:val="nil" w:sz="6" w:space="0" w:color="auto"/>
              <w:right w:val="nil" w:sz="6" w:space="0" w:color="auto"/>
            </w:tcBorders>
          </w:tcPr>
          <w:p>
            <w:pPr/>
          </w:p>
        </w:tc>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哈尔滨苏宁电器采购中心有限公司</w:t>
            </w:r>
          </w:p>
        </w:tc>
        <w:tc>
          <w:tcPr>
            <w:tcW w:w="1259"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305"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2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66" w:right="0"/>
              <w:jc w:val="left"/>
              <w:rPr>
                <w:rFonts w:ascii="Arial" w:hAnsi="Arial" w:cs="Arial" w:eastAsia="Arial" w:hint="default"/>
                <w:sz w:val="24"/>
                <w:szCs w:val="24"/>
              </w:rPr>
            </w:pPr>
            <w:r>
              <w:rPr>
                <w:rFonts w:ascii="Arial"/>
                <w:sz w:val="24"/>
              </w:rPr>
              <w:t>47,830</w:t>
            </w:r>
          </w:p>
        </w:tc>
        <w:tc>
          <w:tcPr>
            <w:tcW w:w="1338"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82" w:right="0"/>
              <w:jc w:val="left"/>
              <w:rPr>
                <w:rFonts w:ascii="Arial" w:hAnsi="Arial" w:cs="Arial" w:eastAsia="Arial" w:hint="default"/>
                <w:sz w:val="24"/>
                <w:szCs w:val="24"/>
              </w:rPr>
            </w:pPr>
            <w:r>
              <w:rPr>
                <w:rFonts w:ascii="Arial"/>
                <w:sz w:val="24"/>
              </w:rPr>
              <w:t>2.2%</w:t>
            </w:r>
          </w:p>
        </w:tc>
      </w:tr>
      <w:tr>
        <w:trPr>
          <w:trHeight w:val="314"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北京中电广通科技有限公司</w:t>
            </w:r>
          </w:p>
        </w:tc>
        <w:tc>
          <w:tcPr>
            <w:tcW w:w="475" w:type="dxa"/>
            <w:tcBorders>
              <w:top w:val="nil" w:sz="6" w:space="0" w:color="auto"/>
              <w:left w:val="nil" w:sz="6" w:space="0" w:color="auto"/>
              <w:bottom w:val="nil" w:sz="6" w:space="0" w:color="auto"/>
              <w:right w:val="nil" w:sz="6" w:space="0" w:color="auto"/>
            </w:tcBorders>
          </w:tcPr>
          <w:p>
            <w:pPr/>
          </w:p>
        </w:tc>
        <w:tc>
          <w:tcPr>
            <w:tcW w:w="1259" w:type="dxa"/>
            <w:gridSpan w:val="2"/>
            <w:tcBorders>
              <w:top w:val="nil" w:sz="6" w:space="0" w:color="auto"/>
              <w:left w:val="nil" w:sz="6" w:space="0" w:color="auto"/>
              <w:bottom w:val="nil" w:sz="6" w:space="0" w:color="auto"/>
              <w:right w:val="nil" w:sz="6" w:space="0" w:color="auto"/>
            </w:tcBorders>
          </w:tcPr>
          <w:p>
            <w:pPr>
              <w:pStyle w:val="TableParagraph"/>
              <w:tabs>
                <w:tab w:pos="1625" w:val="left" w:leader="none"/>
              </w:tabs>
              <w:spacing w:line="260" w:lineRule="exact"/>
              <w:ind w:left="305" w:right="-367"/>
              <w:jc w:val="left"/>
              <w:rPr>
                <w:rFonts w:ascii="Arial" w:hAnsi="Arial" w:cs="Arial" w:eastAsia="Arial" w:hint="default"/>
                <w:sz w:val="24"/>
                <w:szCs w:val="24"/>
              </w:rPr>
            </w:pPr>
            <w:r>
              <w:rPr>
                <w:rFonts w:ascii="宋体" w:hAnsi="宋体" w:cs="宋体" w:eastAsia="宋体" w:hint="default"/>
                <w:position w:val="2"/>
                <w:sz w:val="24"/>
                <w:szCs w:val="24"/>
              </w:rPr>
              <w:t>第三方</w:t>
            </w:r>
            <w:r>
              <w:rPr>
                <w:rFonts w:ascii="宋体" w:hAnsi="宋体" w:cs="宋体" w:eastAsia="宋体" w:hint="default"/>
                <w:spacing w:val="-12"/>
                <w:position w:val="2"/>
                <w:sz w:val="24"/>
                <w:szCs w:val="24"/>
              </w:rPr>
              <w:t> </w:t>
            </w:r>
            <w:r>
              <w:rPr>
                <w:rFonts w:ascii="Arial" w:hAnsi="Arial" w:cs="Arial" w:eastAsia="Arial" w:hint="default"/>
                <w:spacing w:val="-12"/>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226" w:type="dxa"/>
            <w:gridSpan w:val="2"/>
            <w:tcBorders>
              <w:top w:val="nil" w:sz="6" w:space="0" w:color="auto"/>
              <w:left w:val="nil" w:sz="6" w:space="0" w:color="auto"/>
              <w:bottom w:val="nil" w:sz="6" w:space="0" w:color="auto"/>
              <w:right w:val="nil" w:sz="6" w:space="0" w:color="auto"/>
            </w:tcBorders>
          </w:tcPr>
          <w:p>
            <w:pPr>
              <w:pStyle w:val="TableParagraph"/>
              <w:tabs>
                <w:tab w:pos="1210" w:val="left" w:leader="none"/>
              </w:tabs>
              <w:spacing w:line="240" w:lineRule="auto" w:before="21"/>
              <w:ind w:left="366" w:right="0"/>
              <w:jc w:val="left"/>
              <w:rPr>
                <w:rFonts w:ascii="Arial" w:hAnsi="Arial" w:cs="Arial" w:eastAsia="Arial" w:hint="default"/>
                <w:sz w:val="24"/>
                <w:szCs w:val="24"/>
              </w:rPr>
            </w:pPr>
            <w:r>
              <w:rPr>
                <w:rFonts w:ascii="Arial"/>
                <w:w w:val="99"/>
                <w:sz w:val="24"/>
              </w:rPr>
            </w:r>
            <w:r>
              <w:rPr>
                <w:rFonts w:ascii="Arial"/>
                <w:sz w:val="24"/>
                <w:u w:val="single" w:color="000000"/>
              </w:rPr>
              <w:t>24,000</w:t>
              <w:tab/>
            </w:r>
            <w:r>
              <w:rPr>
                <w:rFonts w:ascii="Arial"/>
                <w:sz w:val="24"/>
              </w:rPr>
            </w:r>
          </w:p>
        </w:tc>
        <w:tc>
          <w:tcPr>
            <w:tcW w:w="1338" w:type="dxa"/>
            <w:tcBorders>
              <w:top w:val="nil" w:sz="6" w:space="0" w:color="auto"/>
              <w:left w:val="nil" w:sz="6" w:space="0" w:color="auto"/>
              <w:bottom w:val="nil" w:sz="6" w:space="0" w:color="auto"/>
              <w:right w:val="nil" w:sz="6" w:space="0" w:color="auto"/>
            </w:tcBorders>
          </w:tcPr>
          <w:p>
            <w:pPr>
              <w:pStyle w:val="TableParagraph"/>
              <w:tabs>
                <w:tab w:pos="2220" w:val="left" w:leader="none"/>
              </w:tabs>
              <w:spacing w:line="260" w:lineRule="exact"/>
              <w:ind w:left="122" w:right="-883"/>
              <w:jc w:val="left"/>
              <w:rPr>
                <w:rFonts w:ascii="Arial" w:hAnsi="Arial" w:cs="Arial" w:eastAsia="Arial" w:hint="default"/>
                <w:sz w:val="24"/>
                <w:szCs w:val="24"/>
              </w:rPr>
            </w:pPr>
            <w:r>
              <w:rPr>
                <w:rFonts w:ascii="宋体" w:hAnsi="宋体" w:cs="宋体" w:eastAsia="宋体" w:hint="default"/>
                <w:position w:val="2"/>
                <w:sz w:val="24"/>
                <w:szCs w:val="24"/>
              </w:rPr>
              <w:t>一年以内</w:t>
            </w:r>
            <w:r>
              <w:rPr>
                <w:rFonts w:ascii="宋体" w:hAnsi="宋体" w:cs="宋体" w:eastAsia="宋体" w:hint="default"/>
                <w:spacing w:val="-14"/>
                <w:position w:val="2"/>
                <w:sz w:val="24"/>
                <w:szCs w:val="24"/>
              </w:rPr>
              <w:t> </w:t>
            </w:r>
            <w:r>
              <w:rPr>
                <w:rFonts w:ascii="Arial" w:hAnsi="Arial" w:cs="Arial" w:eastAsia="Arial" w:hint="default"/>
                <w:spacing w:val="-14"/>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39"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40" w:lineRule="auto" w:before="21"/>
              <w:ind w:left="882" w:right="0"/>
              <w:jc w:val="left"/>
              <w:rPr>
                <w:rFonts w:ascii="Arial" w:hAnsi="Arial" w:cs="Arial" w:eastAsia="Arial" w:hint="default"/>
                <w:sz w:val="24"/>
                <w:szCs w:val="24"/>
              </w:rPr>
            </w:pPr>
            <w:r>
              <w:rPr>
                <w:rFonts w:ascii="Arial"/>
                <w:w w:val="100"/>
                <w:sz w:val="24"/>
              </w:rPr>
            </w:r>
            <w:r>
              <w:rPr>
                <w:rFonts w:ascii="Arial"/>
                <w:sz w:val="24"/>
                <w:u w:val="single" w:color="000000"/>
              </w:rPr>
              <w:t>1.0%</w:t>
              <w:tab/>
            </w:r>
            <w:r>
              <w:rPr>
                <w:rFonts w:ascii="Arial"/>
                <w:sz w:val="24"/>
              </w:rPr>
            </w:r>
          </w:p>
        </w:tc>
      </w:tr>
      <w:tr>
        <w:trPr>
          <w:trHeight w:val="452" w:hRule="exact"/>
        </w:trPr>
        <w:tc>
          <w:tcPr>
            <w:tcW w:w="696" w:type="dxa"/>
            <w:tcBorders>
              <w:top w:val="nil" w:sz="6" w:space="0" w:color="auto"/>
              <w:left w:val="nil" w:sz="6" w:space="0" w:color="auto"/>
              <w:bottom w:val="nil" w:sz="6" w:space="0" w:color="auto"/>
              <w:right w:val="nil" w:sz="6" w:space="0" w:color="auto"/>
            </w:tcBorders>
          </w:tcPr>
          <w:p>
            <w:pPr/>
          </w:p>
        </w:tc>
        <w:tc>
          <w:tcPr>
            <w:tcW w:w="363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
        </w:tc>
        <w:tc>
          <w:tcPr>
            <w:tcW w:w="1834" w:type="dxa"/>
            <w:gridSpan w:val="3"/>
            <w:tcBorders>
              <w:top w:val="nil" w:sz="6" w:space="0" w:color="auto"/>
              <w:left w:val="nil" w:sz="6" w:space="0" w:color="auto"/>
              <w:bottom w:val="nil" w:sz="6" w:space="0" w:color="auto"/>
              <w:right w:val="nil" w:sz="6" w:space="0" w:color="auto"/>
            </w:tcBorders>
          </w:tcPr>
          <w:p>
            <w:pPr>
              <w:pStyle w:val="TableParagraph"/>
              <w:tabs>
                <w:tab w:pos="1819" w:val="left" w:leader="none"/>
              </w:tabs>
              <w:spacing w:line="268" w:lineRule="exact"/>
              <w:ind w:left="48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7"/>
                <w:sz w:val="24"/>
                <w:u w:val="thick" w:color="000000"/>
              </w:rPr>
              <w:t> </w:t>
            </w:r>
            <w:r>
              <w:rPr>
                <w:rFonts w:ascii="Arial"/>
                <w:sz w:val="24"/>
                <w:u w:val="thick" w:color="000000"/>
              </w:rPr>
              <w:t>2,029,473</w:t>
              <w:tab/>
            </w:r>
            <w:r>
              <w:rPr>
                <w:rFonts w:ascii="Arial"/>
                <w:sz w:val="24"/>
              </w:rPr>
            </w:r>
          </w:p>
        </w:tc>
        <w:tc>
          <w:tcPr>
            <w:tcW w:w="2977" w:type="dxa"/>
            <w:gridSpan w:val="2"/>
            <w:tcBorders>
              <w:top w:val="nil" w:sz="6" w:space="0" w:color="auto"/>
              <w:left w:val="nil" w:sz="6" w:space="0" w:color="auto"/>
              <w:bottom w:val="nil" w:sz="6" w:space="0" w:color="auto"/>
              <w:right w:val="nil" w:sz="6" w:space="0" w:color="auto"/>
            </w:tcBorders>
          </w:tcPr>
          <w:p>
            <w:pPr>
              <w:pStyle w:val="TableParagraph"/>
              <w:tabs>
                <w:tab w:pos="2085" w:val="left" w:leader="none"/>
                <w:tab w:pos="2873" w:val="left" w:leader="none"/>
              </w:tabs>
              <w:spacing w:line="268" w:lineRule="exact"/>
              <w:ind w:left="118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91.6%</w:t>
              <w:tab/>
            </w:r>
            <w:r>
              <w:rPr>
                <w:rFonts w:ascii="Arial"/>
                <w:sz w:val="24"/>
              </w:rPr>
            </w:r>
          </w:p>
        </w:tc>
      </w:tr>
      <w:tr>
        <w:trPr>
          <w:trHeight w:val="446"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
              <w:jc w:val="center"/>
              <w:rPr>
                <w:rFonts w:ascii="Arial" w:hAnsi="Arial" w:cs="Arial" w:eastAsia="Arial" w:hint="default"/>
                <w:sz w:val="24"/>
                <w:szCs w:val="24"/>
              </w:rPr>
            </w:pPr>
            <w:r>
              <w:rPr>
                <w:rFonts w:ascii="Arial"/>
                <w:sz w:val="24"/>
              </w:rPr>
              <w:t>(g)</w:t>
            </w:r>
          </w:p>
        </w:tc>
        <w:tc>
          <w:tcPr>
            <w:tcW w:w="95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0"/>
              <w:ind w:left="20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日，其他应收款中无应收关联方款项。</w:t>
            </w:r>
          </w:p>
        </w:tc>
      </w:tr>
    </w:tbl>
    <w:p>
      <w:pPr>
        <w:spacing w:line="240" w:lineRule="auto" w:before="8"/>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696"/>
        <w:gridCol w:w="3707"/>
        <w:gridCol w:w="2981"/>
        <w:gridCol w:w="2874"/>
      </w:tblGrid>
      <w:tr>
        <w:trPr>
          <w:trHeight w:val="28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w:t>
            </w:r>
          </w:p>
        </w:tc>
        <w:tc>
          <w:tcPr>
            <w:tcW w:w="3707" w:type="dxa"/>
            <w:tcBorders>
              <w:top w:val="nil" w:sz="6" w:space="0" w:color="auto"/>
              <w:left w:val="nil" w:sz="6" w:space="0" w:color="auto"/>
              <w:bottom w:val="nil" w:sz="6" w:space="0" w:color="auto"/>
              <w:right w:val="nil" w:sz="6" w:space="0" w:color="auto"/>
            </w:tcBorders>
          </w:tcPr>
          <w:p>
            <w:pPr>
              <w:pStyle w:val="TableParagraph"/>
              <w:spacing w:line="245" w:lineRule="exact"/>
              <w:ind w:left="202" w:right="0"/>
              <w:jc w:val="left"/>
              <w:rPr>
                <w:rFonts w:ascii="宋体" w:hAnsi="宋体" w:cs="宋体" w:eastAsia="宋体" w:hint="default"/>
                <w:sz w:val="24"/>
                <w:szCs w:val="24"/>
              </w:rPr>
            </w:pPr>
            <w:r>
              <w:rPr>
                <w:rFonts w:ascii="宋体" w:hAnsi="宋体" w:cs="宋体" w:eastAsia="宋体" w:hint="default"/>
                <w:b/>
                <w:bCs/>
                <w:sz w:val="24"/>
                <w:szCs w:val="24"/>
              </w:rPr>
              <w:t>长期股权投资</w:t>
            </w:r>
            <w:r>
              <w:rPr>
                <w:rFonts w:ascii="宋体" w:hAnsi="宋体" w:cs="宋体" w:eastAsia="宋体" w:hint="default"/>
                <w:sz w:val="24"/>
                <w:szCs w:val="24"/>
              </w:rPr>
            </w:r>
          </w:p>
        </w:tc>
        <w:tc>
          <w:tcPr>
            <w:tcW w:w="2981" w:type="dxa"/>
            <w:tcBorders>
              <w:top w:val="nil" w:sz="6" w:space="0" w:color="auto"/>
              <w:left w:val="nil" w:sz="6" w:space="0" w:color="auto"/>
              <w:bottom w:val="nil" w:sz="6" w:space="0" w:color="auto"/>
              <w:right w:val="nil" w:sz="6" w:space="0" w:color="auto"/>
            </w:tcBorders>
          </w:tcPr>
          <w:p>
            <w:pPr/>
          </w:p>
        </w:tc>
        <w:tc>
          <w:tcPr>
            <w:tcW w:w="2874" w:type="dxa"/>
            <w:tcBorders>
              <w:top w:val="nil" w:sz="6" w:space="0" w:color="auto"/>
              <w:left w:val="nil" w:sz="6" w:space="0" w:color="auto"/>
              <w:bottom w:val="nil" w:sz="6" w:space="0" w:color="auto"/>
              <w:right w:val="nil" w:sz="6" w:space="0" w:color="auto"/>
            </w:tcBorders>
          </w:tcPr>
          <w:p>
            <w:pPr/>
          </w:p>
        </w:tc>
      </w:tr>
      <w:tr>
        <w:trPr>
          <w:trHeight w:val="456" w:hRule="exact"/>
        </w:trPr>
        <w:tc>
          <w:tcPr>
            <w:tcW w:w="69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
        </w:tc>
        <w:tc>
          <w:tcPr>
            <w:tcW w:w="2981" w:type="dxa"/>
            <w:tcBorders>
              <w:top w:val="nil" w:sz="6" w:space="0" w:color="auto"/>
              <w:left w:val="nil" w:sz="6" w:space="0" w:color="auto"/>
              <w:bottom w:val="nil" w:sz="6" w:space="0" w:color="auto"/>
              <w:right w:val="nil" w:sz="6" w:space="0" w:color="auto"/>
            </w:tcBorders>
          </w:tcPr>
          <w:p>
            <w:pPr>
              <w:pStyle w:val="TableParagraph"/>
              <w:spacing w:line="293" w:lineRule="exact"/>
              <w:ind w:left="326" w:right="0"/>
              <w:jc w:val="left"/>
              <w:rPr>
                <w:rFonts w:ascii="宋体" w:hAnsi="宋体" w:cs="宋体" w:eastAsia="宋体" w:hint="default"/>
                <w:sz w:val="24"/>
                <w:szCs w:val="24"/>
              </w:rPr>
            </w:pPr>
            <w:r>
              <w:rPr>
                <w:rFonts w:ascii="Arial" w:hAnsi="Arial" w:cs="Arial" w:eastAsia="Arial" w:hint="default"/>
                <w:spacing w:val="-5"/>
                <w:sz w:val="24"/>
                <w:szCs w:val="24"/>
              </w:rPr>
              <w:t>2011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c>
          <w:tcPr>
            <w:tcW w:w="2874" w:type="dxa"/>
            <w:tcBorders>
              <w:top w:val="nil" w:sz="6" w:space="0" w:color="auto"/>
              <w:left w:val="nil" w:sz="6" w:space="0" w:color="auto"/>
              <w:bottom w:val="nil" w:sz="6" w:space="0" w:color="auto"/>
              <w:right w:val="nil" w:sz="6" w:space="0" w:color="auto"/>
            </w:tcBorders>
          </w:tcPr>
          <w:p>
            <w:pPr>
              <w:pStyle w:val="TableParagraph"/>
              <w:spacing w:line="293" w:lineRule="exact"/>
              <w:ind w:left="583"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p>
        </w:tc>
      </w:tr>
      <w:tr>
        <w:trPr>
          <w:trHeight w:val="460" w:hRule="exact"/>
        </w:trPr>
        <w:tc>
          <w:tcPr>
            <w:tcW w:w="69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9"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(a)</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284" w:right="0"/>
              <w:jc w:val="left"/>
              <w:rPr>
                <w:rFonts w:ascii="Arial" w:hAnsi="Arial" w:cs="Arial" w:eastAsia="Arial" w:hint="default"/>
                <w:sz w:val="24"/>
                <w:szCs w:val="24"/>
              </w:rPr>
            </w:pPr>
            <w:r>
              <w:rPr>
                <w:rFonts w:ascii="Arial"/>
                <w:sz w:val="24"/>
              </w:rPr>
              <w:t>8,174,732</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567" w:right="0"/>
              <w:jc w:val="left"/>
              <w:rPr>
                <w:rFonts w:ascii="Arial" w:hAnsi="Arial" w:cs="Arial" w:eastAsia="Arial" w:hint="default"/>
                <w:sz w:val="24"/>
                <w:szCs w:val="24"/>
              </w:rPr>
            </w:pPr>
            <w:r>
              <w:rPr>
                <w:rFonts w:ascii="Arial"/>
                <w:sz w:val="24"/>
              </w:rPr>
              <w:t>5,945,793</w:t>
            </w:r>
          </w:p>
        </w:tc>
      </w:tr>
      <w:tr>
        <w:trPr>
          <w:trHeight w:val="314" w:hRule="exact"/>
        </w:trPr>
        <w:tc>
          <w:tcPr>
            <w:tcW w:w="69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Style w:val="TableParagraph"/>
              <w:spacing w:line="278" w:lineRule="exact"/>
              <w:ind w:left="209" w:right="0"/>
              <w:jc w:val="left"/>
              <w:rPr>
                <w:rFonts w:ascii="Arial" w:hAnsi="Arial" w:cs="Arial" w:eastAsia="Arial" w:hint="default"/>
                <w:sz w:val="24"/>
                <w:szCs w:val="24"/>
              </w:rPr>
            </w:pPr>
            <w:r>
              <w:rPr>
                <w:rFonts w:ascii="宋体" w:hAnsi="宋体" w:cs="宋体" w:eastAsia="宋体" w:hint="default"/>
                <w:sz w:val="24"/>
                <w:szCs w:val="24"/>
              </w:rPr>
              <w:t>其他长期股权投资</w:t>
            </w:r>
            <w:r>
              <w:rPr>
                <w:rFonts w:ascii="Arial" w:hAnsi="Arial" w:cs="Arial" w:eastAsia="Arial" w:hint="default"/>
                <w:sz w:val="24"/>
                <w:szCs w:val="24"/>
              </w:rPr>
              <w:t>(b)</w:t>
            </w:r>
          </w:p>
        </w:tc>
        <w:tc>
          <w:tcPr>
            <w:tcW w:w="2981" w:type="dxa"/>
            <w:tcBorders>
              <w:top w:val="nil" w:sz="6" w:space="0" w:color="auto"/>
              <w:left w:val="nil" w:sz="6" w:space="0" w:color="auto"/>
              <w:bottom w:val="nil" w:sz="6" w:space="0" w:color="auto"/>
              <w:right w:val="nil" w:sz="6" w:space="0" w:color="auto"/>
            </w:tcBorders>
          </w:tcPr>
          <w:p>
            <w:pPr>
              <w:pStyle w:val="TableParagraph"/>
              <w:tabs>
                <w:tab w:pos="1485" w:val="left" w:leader="none"/>
                <w:tab w:pos="2503"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545,793</w:t>
              <w:tab/>
            </w:r>
            <w:r>
              <w:rPr>
                <w:rFonts w:ascii="Arial"/>
                <w:sz w:val="24"/>
              </w:rPr>
            </w:r>
          </w:p>
        </w:tc>
        <w:tc>
          <w:tcPr>
            <w:tcW w:w="2874" w:type="dxa"/>
            <w:tcBorders>
              <w:top w:val="nil" w:sz="6" w:space="0" w:color="auto"/>
              <w:left w:val="nil" w:sz="6" w:space="0" w:color="auto"/>
              <w:bottom w:val="nil" w:sz="6" w:space="0" w:color="auto"/>
              <w:right w:val="nil" w:sz="6" w:space="0" w:color="auto"/>
            </w:tcBorders>
          </w:tcPr>
          <w:p>
            <w:pPr>
              <w:pStyle w:val="TableParagraph"/>
              <w:tabs>
                <w:tab w:pos="1769" w:val="left" w:leader="none"/>
                <w:tab w:pos="2776" w:val="left" w:leader="none"/>
              </w:tabs>
              <w:spacing w:line="240" w:lineRule="auto" w:before="21"/>
              <w:ind w:left="9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540,993</w:t>
              <w:tab/>
            </w:r>
            <w:r>
              <w:rPr>
                <w:rFonts w:ascii="Arial"/>
                <w:sz w:val="24"/>
              </w:rPr>
            </w:r>
          </w:p>
        </w:tc>
      </w:tr>
      <w:tr>
        <w:trPr>
          <w:trHeight w:val="437" w:hRule="exact"/>
        </w:trPr>
        <w:tc>
          <w:tcPr>
            <w:tcW w:w="696" w:type="dxa"/>
            <w:tcBorders>
              <w:top w:val="nil" w:sz="6" w:space="0" w:color="auto"/>
              <w:left w:val="nil" w:sz="6" w:space="0" w:color="auto"/>
              <w:bottom w:val="nil" w:sz="6" w:space="0" w:color="auto"/>
              <w:right w:val="nil" w:sz="6" w:space="0" w:color="auto"/>
            </w:tcBorders>
          </w:tcPr>
          <w:p>
            <w:pPr/>
          </w:p>
        </w:tc>
        <w:tc>
          <w:tcPr>
            <w:tcW w:w="3707" w:type="dxa"/>
            <w:tcBorders>
              <w:top w:val="nil" w:sz="6" w:space="0" w:color="auto"/>
              <w:left w:val="nil" w:sz="6" w:space="0" w:color="auto"/>
              <w:bottom w:val="nil" w:sz="6" w:space="0" w:color="auto"/>
              <w:right w:val="nil" w:sz="6" w:space="0" w:color="auto"/>
            </w:tcBorders>
          </w:tcPr>
          <w:p>
            <w:pPr/>
          </w:p>
        </w:tc>
        <w:tc>
          <w:tcPr>
            <w:tcW w:w="2981" w:type="dxa"/>
            <w:tcBorders>
              <w:top w:val="nil" w:sz="6" w:space="0" w:color="auto"/>
              <w:left w:val="nil" w:sz="6" w:space="0" w:color="auto"/>
              <w:bottom w:val="nil" w:sz="6" w:space="0" w:color="auto"/>
              <w:right w:val="nil" w:sz="6" w:space="0" w:color="auto"/>
            </w:tcBorders>
          </w:tcPr>
          <w:p>
            <w:pPr>
              <w:pStyle w:val="TableParagraph"/>
              <w:tabs>
                <w:tab w:pos="1284" w:val="left" w:leader="none"/>
                <w:tab w:pos="2503" w:val="left" w:leader="none"/>
              </w:tabs>
              <w:spacing w:line="268" w:lineRule="exact"/>
              <w:ind w:left="1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8,720,525</w:t>
              <w:tab/>
            </w:r>
            <w:r>
              <w:rPr>
                <w:rFonts w:ascii="Arial"/>
                <w:sz w:val="24"/>
              </w:rPr>
            </w:r>
          </w:p>
        </w:tc>
        <w:tc>
          <w:tcPr>
            <w:tcW w:w="2874" w:type="dxa"/>
            <w:tcBorders>
              <w:top w:val="nil" w:sz="6" w:space="0" w:color="auto"/>
              <w:left w:val="nil" w:sz="6" w:space="0" w:color="auto"/>
              <w:bottom w:val="nil" w:sz="6" w:space="0" w:color="auto"/>
              <w:right w:val="nil" w:sz="6" w:space="0" w:color="auto"/>
            </w:tcBorders>
          </w:tcPr>
          <w:p>
            <w:pPr>
              <w:pStyle w:val="TableParagraph"/>
              <w:tabs>
                <w:tab w:pos="1567" w:val="left" w:leader="none"/>
                <w:tab w:pos="2776" w:val="left" w:leader="none"/>
              </w:tabs>
              <w:spacing w:line="268" w:lineRule="exact"/>
              <w:ind w:left="9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6,486,786</w:t>
              <w:tab/>
            </w:r>
            <w:r>
              <w:rPr>
                <w:rFonts w:ascii="Arial"/>
                <w:sz w:val="24"/>
              </w:rPr>
            </w:r>
          </w:p>
        </w:tc>
      </w:tr>
      <w:tr>
        <w:trPr>
          <w:trHeight w:val="414" w:hRule="exact"/>
        </w:trPr>
        <w:tc>
          <w:tcPr>
            <w:tcW w:w="696" w:type="dxa"/>
            <w:tcBorders>
              <w:top w:val="nil" w:sz="6" w:space="0" w:color="auto"/>
              <w:left w:val="nil" w:sz="6" w:space="0" w:color="auto"/>
              <w:bottom w:val="nil" w:sz="6" w:space="0" w:color="auto"/>
              <w:right w:val="nil" w:sz="6" w:space="0" w:color="auto"/>
            </w:tcBorders>
          </w:tcPr>
          <w:p>
            <w:pPr/>
          </w:p>
        </w:tc>
        <w:tc>
          <w:tcPr>
            <w:tcW w:w="66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09" w:right="0"/>
              <w:jc w:val="left"/>
              <w:rPr>
                <w:rFonts w:ascii="宋体" w:hAnsi="宋体" w:cs="宋体" w:eastAsia="宋体" w:hint="default"/>
                <w:sz w:val="24"/>
                <w:szCs w:val="24"/>
              </w:rPr>
            </w:pPr>
            <w:r>
              <w:rPr>
                <w:rFonts w:ascii="宋体" w:hAnsi="宋体" w:cs="宋体" w:eastAsia="宋体" w:hint="default"/>
                <w:sz w:val="24"/>
                <w:szCs w:val="24"/>
              </w:rPr>
              <w:t>本公司不存在长期投资变现的重大限制。</w:t>
            </w:r>
          </w:p>
        </w:tc>
        <w:tc>
          <w:tcPr>
            <w:tcW w:w="2874"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95"/>
        <w:gridCol w:w="2401"/>
        <w:gridCol w:w="1007"/>
        <w:gridCol w:w="1321"/>
        <w:gridCol w:w="1321"/>
        <w:gridCol w:w="1476"/>
        <w:gridCol w:w="1202"/>
        <w:gridCol w:w="559"/>
        <w:gridCol w:w="620"/>
        <w:gridCol w:w="1521"/>
        <w:gridCol w:w="851"/>
        <w:gridCol w:w="876"/>
        <w:gridCol w:w="1531"/>
      </w:tblGrid>
      <w:tr>
        <w:trPr>
          <w:trHeight w:val="69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40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43"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07" w:type="dxa"/>
            <w:tcBorders>
              <w:top w:val="single" w:sz="6" w:space="0" w:color="000000"/>
              <w:left w:val="nil" w:sz="6" w:space="0" w:color="auto"/>
              <w:bottom w:val="nil" w:sz="6" w:space="0" w:color="auto"/>
              <w:right w:val="nil" w:sz="6" w:space="0" w:color="auto"/>
            </w:tcBorders>
          </w:tcPr>
          <w:p>
            <w:pPr/>
          </w:p>
        </w:tc>
        <w:tc>
          <w:tcPr>
            <w:tcW w:w="1321" w:type="dxa"/>
            <w:tcBorders>
              <w:top w:val="single" w:sz="6" w:space="0" w:color="000000"/>
              <w:left w:val="nil" w:sz="6" w:space="0" w:color="auto"/>
              <w:bottom w:val="nil" w:sz="6" w:space="0" w:color="auto"/>
              <w:right w:val="nil" w:sz="6" w:space="0" w:color="auto"/>
            </w:tcBorders>
          </w:tcPr>
          <w:p>
            <w:pPr/>
          </w:p>
        </w:tc>
        <w:tc>
          <w:tcPr>
            <w:tcW w:w="1321" w:type="dxa"/>
            <w:tcBorders>
              <w:top w:val="single" w:sz="6" w:space="0" w:color="000000"/>
              <w:left w:val="nil" w:sz="6" w:space="0" w:color="auto"/>
              <w:bottom w:val="nil" w:sz="6" w:space="0" w:color="auto"/>
              <w:right w:val="nil" w:sz="6" w:space="0" w:color="auto"/>
            </w:tcBorders>
          </w:tcPr>
          <w:p>
            <w:pPr/>
          </w:p>
        </w:tc>
        <w:tc>
          <w:tcPr>
            <w:tcW w:w="1476" w:type="dxa"/>
            <w:tcBorders>
              <w:top w:val="single" w:sz="6" w:space="0" w:color="000000"/>
              <w:left w:val="nil" w:sz="6" w:space="0" w:color="auto"/>
              <w:bottom w:val="nil" w:sz="6" w:space="0" w:color="auto"/>
              <w:right w:val="nil" w:sz="6" w:space="0" w:color="auto"/>
            </w:tcBorders>
          </w:tcPr>
          <w:p>
            <w:pPr/>
          </w:p>
        </w:tc>
        <w:tc>
          <w:tcPr>
            <w:tcW w:w="1202" w:type="dxa"/>
            <w:tcBorders>
              <w:top w:val="single" w:sz="6" w:space="0" w:color="000000"/>
              <w:left w:val="nil" w:sz="6" w:space="0" w:color="auto"/>
              <w:bottom w:val="nil" w:sz="6" w:space="0" w:color="auto"/>
              <w:right w:val="nil" w:sz="6" w:space="0" w:color="auto"/>
            </w:tcBorders>
          </w:tcPr>
          <w:p>
            <w:pPr/>
          </w:p>
        </w:tc>
        <w:tc>
          <w:tcPr>
            <w:tcW w:w="559" w:type="dxa"/>
            <w:tcBorders>
              <w:top w:val="single" w:sz="6" w:space="0" w:color="000000"/>
              <w:left w:val="nil" w:sz="6" w:space="0" w:color="auto"/>
              <w:bottom w:val="nil" w:sz="6" w:space="0" w:color="auto"/>
              <w:right w:val="nil" w:sz="6" w:space="0" w:color="auto"/>
            </w:tcBorders>
          </w:tcPr>
          <w:p>
            <w:pPr/>
          </w:p>
        </w:tc>
        <w:tc>
          <w:tcPr>
            <w:tcW w:w="620" w:type="dxa"/>
            <w:tcBorders>
              <w:top w:val="single" w:sz="6" w:space="0" w:color="000000"/>
              <w:left w:val="nil" w:sz="6" w:space="0" w:color="auto"/>
              <w:bottom w:val="nil" w:sz="6" w:space="0" w:color="auto"/>
              <w:right w:val="nil" w:sz="6" w:space="0" w:color="auto"/>
            </w:tcBorders>
          </w:tcPr>
          <w:p>
            <w:pPr/>
          </w:p>
        </w:tc>
        <w:tc>
          <w:tcPr>
            <w:tcW w:w="1521" w:type="dxa"/>
            <w:tcBorders>
              <w:top w:val="single" w:sz="6" w:space="0" w:color="000000"/>
              <w:left w:val="nil" w:sz="6" w:space="0" w:color="auto"/>
              <w:bottom w:val="nil" w:sz="6" w:space="0" w:color="auto"/>
              <w:right w:val="nil" w:sz="6" w:space="0" w:color="auto"/>
            </w:tcBorders>
          </w:tcPr>
          <w:p>
            <w:pPr/>
          </w:p>
        </w:tc>
        <w:tc>
          <w:tcPr>
            <w:tcW w:w="851" w:type="dxa"/>
            <w:tcBorders>
              <w:top w:val="single" w:sz="6" w:space="0" w:color="000000"/>
              <w:left w:val="nil" w:sz="6" w:space="0" w:color="auto"/>
              <w:bottom w:val="nil" w:sz="6" w:space="0" w:color="auto"/>
              <w:right w:val="nil" w:sz="6" w:space="0" w:color="auto"/>
            </w:tcBorders>
          </w:tcPr>
          <w:p>
            <w:pPr/>
          </w:p>
        </w:tc>
        <w:tc>
          <w:tcPr>
            <w:tcW w:w="876" w:type="dxa"/>
            <w:tcBorders>
              <w:top w:val="single" w:sz="6" w:space="0" w:color="000000"/>
              <w:left w:val="nil" w:sz="6" w:space="0" w:color="auto"/>
              <w:bottom w:val="nil" w:sz="6" w:space="0" w:color="auto"/>
              <w:right w:val="nil" w:sz="6" w:space="0" w:color="auto"/>
            </w:tcBorders>
          </w:tcPr>
          <w:p>
            <w:pPr/>
          </w:p>
        </w:tc>
        <w:tc>
          <w:tcPr>
            <w:tcW w:w="1531"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07"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620"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581"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007"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620"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61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66"/>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61"/>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321" w:type="dxa"/>
            <w:tcBorders>
              <w:top w:val="nil" w:sz="6" w:space="0" w:color="auto"/>
              <w:left w:val="nil" w:sz="6" w:space="0" w:color="auto"/>
              <w:bottom w:val="nil" w:sz="6" w:space="0" w:color="auto"/>
              <w:right w:val="nil" w:sz="6" w:space="0" w:color="auto"/>
            </w:tcBorders>
          </w:tcPr>
          <w:p>
            <w:pPr>
              <w:pStyle w:val="TableParagraph"/>
              <w:spacing w:line="242" w:lineRule="exact" w:before="114"/>
              <w:ind w:left="59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33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30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202" w:type="dxa"/>
            <w:tcBorders>
              <w:top w:val="nil" w:sz="6" w:space="0" w:color="auto"/>
              <w:left w:val="nil" w:sz="6" w:space="0" w:color="auto"/>
              <w:bottom w:val="nil" w:sz="6" w:space="0" w:color="auto"/>
              <w:right w:val="nil" w:sz="6" w:space="0" w:color="auto"/>
            </w:tcBorders>
          </w:tcPr>
          <w:p>
            <w:pPr>
              <w:pStyle w:val="TableParagraph"/>
              <w:spacing w:line="242" w:lineRule="exact" w:before="114"/>
              <w:ind w:left="534"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25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53" w:right="4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23" w:right="35"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4" w:right="43"/>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5" w:right="68"/>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531" w:type="dxa"/>
            <w:tcBorders>
              <w:top w:val="nil" w:sz="6" w:space="0" w:color="auto"/>
              <w:left w:val="nil" w:sz="6" w:space="0" w:color="auto"/>
              <w:bottom w:val="nil" w:sz="6" w:space="0" w:color="auto"/>
              <w:right w:val="nil" w:sz="6" w:space="0" w:color="auto"/>
            </w:tcBorders>
          </w:tcPr>
          <w:p>
            <w:pPr>
              <w:pStyle w:val="TableParagraph"/>
              <w:spacing w:line="235" w:lineRule="exact" w:before="114"/>
              <w:ind w:left="70"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241"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02" w:lineRule="exact"/>
              <w:ind w:left="43" w:right="0"/>
              <w:jc w:val="left"/>
              <w:rPr>
                <w:rFonts w:ascii="宋体" w:hAnsi="宋体" w:cs="宋体" w:eastAsia="宋体" w:hint="default"/>
                <w:sz w:val="18"/>
                <w:szCs w:val="18"/>
              </w:rPr>
            </w:pPr>
            <w:r>
              <w:rPr>
                <w:rFonts w:ascii="宋体" w:hAnsi="宋体" w:cs="宋体" w:eastAsia="宋体" w:hint="default"/>
                <w:sz w:val="18"/>
                <w:szCs w:val="18"/>
              </w:rPr>
              <w:t>上海苏宁电器有限公司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02"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 w:right="0"/>
              <w:jc w:val="center"/>
              <w:rPr>
                <w:rFonts w:ascii="Arial" w:hAnsi="Arial" w:cs="Arial" w:eastAsia="Arial" w:hint="default"/>
                <w:sz w:val="18"/>
                <w:szCs w:val="18"/>
              </w:rPr>
            </w:pPr>
            <w:r>
              <w:rPr>
                <w:rFonts w:ascii="Arial"/>
                <w:sz w:val="18"/>
              </w:rPr>
              <w:t>607,524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1"/>
              <w:jc w:val="right"/>
              <w:rPr>
                <w:rFonts w:ascii="Arial" w:hAnsi="Arial" w:cs="Arial" w:eastAsia="Arial" w:hint="default"/>
                <w:sz w:val="18"/>
                <w:szCs w:val="18"/>
              </w:rPr>
            </w:pPr>
            <w:r>
              <w:rPr>
                <w:rFonts w:ascii="Arial"/>
                <w:spacing w:val="-1"/>
                <w:sz w:val="18"/>
              </w:rPr>
              <w:t>234,639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0"/>
              <w:jc w:val="right"/>
              <w:rPr>
                <w:rFonts w:ascii="Arial" w:hAnsi="Arial" w:cs="Arial" w:eastAsia="Arial" w:hint="default"/>
                <w:sz w:val="18"/>
                <w:szCs w:val="18"/>
              </w:rPr>
            </w:pPr>
            <w:r>
              <w:rPr>
                <w:rFonts w:ascii="Arial"/>
                <w:spacing w:val="-1"/>
                <w:sz w:val="18"/>
              </w:rPr>
              <w:t>372,885</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Arial" w:hAnsi="Arial" w:cs="Arial" w:eastAsia="Arial" w:hint="default"/>
                <w:sz w:val="18"/>
                <w:szCs w:val="18"/>
              </w:rPr>
            </w:pPr>
            <w:r>
              <w:rPr>
                <w:rFonts w:ascii="Arial"/>
                <w:spacing w:val="-1"/>
                <w:sz w:val="18"/>
              </w:rPr>
              <w:t>607,524</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6" w:lineRule="exact"/>
              <w:ind w:left="43" w:right="0"/>
              <w:jc w:val="left"/>
              <w:rPr>
                <w:rFonts w:ascii="宋体" w:hAnsi="宋体" w:cs="宋体" w:eastAsia="宋体" w:hint="default"/>
                <w:sz w:val="18"/>
                <w:szCs w:val="18"/>
              </w:rPr>
            </w:pPr>
            <w:r>
              <w:rPr>
                <w:rFonts w:ascii="宋体" w:hAnsi="宋体" w:cs="宋体" w:eastAsia="宋体" w:hint="default"/>
                <w:sz w:val="18"/>
                <w:szCs w:val="18"/>
              </w:rPr>
              <w:t>上海长宁苏宁电器有限公司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 w:right="0"/>
              <w:jc w:val="center"/>
              <w:rPr>
                <w:rFonts w:ascii="Arial" w:hAnsi="Arial" w:cs="Arial" w:eastAsia="Arial" w:hint="default"/>
                <w:sz w:val="18"/>
                <w:szCs w:val="18"/>
              </w:rPr>
            </w:pPr>
            <w:r>
              <w:rPr>
                <w:rFonts w:ascii="Arial"/>
                <w:sz w:val="18"/>
              </w:rPr>
              <w:t>502,367</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1"/>
              <w:jc w:val="right"/>
              <w:rPr>
                <w:rFonts w:ascii="Arial" w:hAnsi="Arial" w:cs="Arial" w:eastAsia="Arial" w:hint="default"/>
                <w:sz w:val="18"/>
                <w:szCs w:val="18"/>
              </w:rPr>
            </w:pPr>
            <w:r>
              <w:rPr>
                <w:rFonts w:ascii="Arial"/>
                <w:spacing w:val="-1"/>
                <w:sz w:val="18"/>
              </w:rPr>
              <w:t>502,367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502,367</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北京苏宁电器有限公司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5"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 w:right="0"/>
              <w:jc w:val="center"/>
              <w:rPr>
                <w:rFonts w:ascii="Arial" w:hAnsi="Arial" w:cs="Arial" w:eastAsia="Arial" w:hint="default"/>
                <w:sz w:val="18"/>
                <w:szCs w:val="18"/>
              </w:rPr>
            </w:pPr>
            <w:r>
              <w:rPr>
                <w:rFonts w:ascii="Arial"/>
                <w:sz w:val="18"/>
              </w:rPr>
              <w:t>400,069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283,533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0"/>
              <w:jc w:val="right"/>
              <w:rPr>
                <w:rFonts w:ascii="Arial" w:hAnsi="Arial" w:cs="Arial" w:eastAsia="Arial" w:hint="default"/>
                <w:sz w:val="18"/>
                <w:szCs w:val="18"/>
              </w:rPr>
            </w:pPr>
            <w:r>
              <w:rPr>
                <w:rFonts w:ascii="Arial"/>
                <w:spacing w:val="-2"/>
                <w:w w:val="95"/>
                <w:sz w:val="18"/>
              </w:rPr>
              <w:t>116,536</w:t>
            </w:r>
            <w:r>
              <w:rPr>
                <w:rFonts w:ascii="Arial"/>
                <w:spacing w:val="-2"/>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400,069</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89%</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89%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3" w:right="0"/>
              <w:jc w:val="left"/>
              <w:rPr>
                <w:rFonts w:ascii="宋体" w:hAnsi="宋体" w:cs="宋体" w:eastAsia="宋体" w:hint="default"/>
                <w:sz w:val="18"/>
                <w:szCs w:val="18"/>
              </w:rPr>
            </w:pPr>
            <w:r>
              <w:rPr>
                <w:rFonts w:ascii="宋体" w:hAnsi="宋体" w:cs="宋体" w:eastAsia="宋体" w:hint="default"/>
                <w:sz w:val="18"/>
                <w:szCs w:val="18"/>
              </w:rPr>
              <w:t>重庆渝宁苏宁电器有限公司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
              <w:jc w:val="center"/>
              <w:rPr>
                <w:rFonts w:ascii="Arial" w:hAnsi="Arial" w:cs="Arial" w:eastAsia="Arial" w:hint="default"/>
                <w:sz w:val="18"/>
                <w:szCs w:val="18"/>
              </w:rPr>
            </w:pPr>
            <w:r>
              <w:rPr>
                <w:rFonts w:ascii="Arial"/>
                <w:sz w:val="18"/>
              </w:rPr>
              <w:t>381,450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4"/>
              <w:jc w:val="right"/>
              <w:rPr>
                <w:rFonts w:ascii="Arial" w:hAnsi="Arial" w:cs="Arial" w:eastAsia="Arial" w:hint="default"/>
                <w:sz w:val="18"/>
                <w:szCs w:val="18"/>
              </w:rPr>
            </w:pPr>
            <w:r>
              <w:rPr>
                <w:rFonts w:ascii="Arial"/>
                <w:spacing w:val="-1"/>
                <w:sz w:val="18"/>
              </w:rPr>
              <w:t>345,480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9"/>
              <w:jc w:val="right"/>
              <w:rPr>
                <w:rFonts w:ascii="Arial" w:hAnsi="Arial" w:cs="Arial" w:eastAsia="Arial" w:hint="default"/>
                <w:sz w:val="18"/>
                <w:szCs w:val="18"/>
              </w:rPr>
            </w:pPr>
            <w:r>
              <w:rPr>
                <w:rFonts w:ascii="Arial"/>
                <w:spacing w:val="-1"/>
                <w:sz w:val="18"/>
              </w:rPr>
              <w:t>35,970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4"/>
              <w:jc w:val="right"/>
              <w:rPr>
                <w:rFonts w:ascii="Arial" w:hAnsi="Arial" w:cs="Arial" w:eastAsia="Arial" w:hint="default"/>
                <w:sz w:val="18"/>
                <w:szCs w:val="18"/>
              </w:rPr>
            </w:pPr>
            <w:r>
              <w:rPr>
                <w:rFonts w:ascii="Arial"/>
                <w:spacing w:val="-1"/>
                <w:sz w:val="18"/>
              </w:rPr>
              <w:t>381,450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武汉苏宁电器有限公司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5"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
              <w:jc w:val="center"/>
              <w:rPr>
                <w:rFonts w:ascii="Arial" w:hAnsi="Arial" w:cs="Arial" w:eastAsia="Arial" w:hint="default"/>
                <w:sz w:val="18"/>
                <w:szCs w:val="18"/>
              </w:rPr>
            </w:pPr>
            <w:r>
              <w:rPr>
                <w:rFonts w:ascii="Arial"/>
                <w:sz w:val="18"/>
              </w:rPr>
              <w:t>322,911</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300,987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0"/>
              <w:jc w:val="right"/>
              <w:rPr>
                <w:rFonts w:ascii="Arial" w:hAnsi="Arial" w:cs="Arial" w:eastAsia="Arial" w:hint="default"/>
                <w:sz w:val="18"/>
                <w:szCs w:val="18"/>
              </w:rPr>
            </w:pPr>
            <w:r>
              <w:rPr>
                <w:rFonts w:ascii="Arial"/>
                <w:spacing w:val="-1"/>
                <w:sz w:val="18"/>
              </w:rPr>
              <w:t>21,924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Arial" w:hAnsi="Arial" w:cs="Arial" w:eastAsia="Arial" w:hint="default"/>
                <w:sz w:val="18"/>
                <w:szCs w:val="18"/>
              </w:rPr>
            </w:pPr>
            <w:r>
              <w:rPr>
                <w:rFonts w:ascii="Arial"/>
                <w:spacing w:val="-2"/>
                <w:w w:val="95"/>
                <w:sz w:val="18"/>
              </w:rPr>
              <w:t>322,911</w:t>
            </w:r>
            <w:r>
              <w:rPr>
                <w:rFonts w:ascii="Arial"/>
                <w:spacing w:val="-2"/>
                <w:sz w:val="18"/>
              </w:rPr>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6" w:lineRule="exact"/>
              <w:ind w:left="43" w:right="0"/>
              <w:jc w:val="left"/>
              <w:rPr>
                <w:rFonts w:ascii="宋体" w:hAnsi="宋体" w:cs="宋体" w:eastAsia="宋体" w:hint="default"/>
                <w:sz w:val="18"/>
                <w:szCs w:val="18"/>
              </w:rPr>
            </w:pPr>
            <w:r>
              <w:rPr>
                <w:rFonts w:ascii="宋体" w:hAnsi="宋体" w:cs="宋体" w:eastAsia="宋体" w:hint="default"/>
                <w:sz w:val="18"/>
                <w:szCs w:val="18"/>
              </w:rPr>
              <w:t>沈阳苏宁电器有限公司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center"/>
              <w:rPr>
                <w:rFonts w:ascii="Arial" w:hAnsi="Arial" w:cs="Arial" w:eastAsia="Arial" w:hint="default"/>
                <w:sz w:val="18"/>
                <w:szCs w:val="18"/>
              </w:rPr>
            </w:pPr>
            <w:r>
              <w:rPr>
                <w:rFonts w:ascii="Arial"/>
                <w:sz w:val="18"/>
              </w:rPr>
              <w:t>286,740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1"/>
              <w:jc w:val="right"/>
              <w:rPr>
                <w:rFonts w:ascii="Arial" w:hAnsi="Arial" w:cs="Arial" w:eastAsia="Arial" w:hint="default"/>
                <w:sz w:val="18"/>
                <w:szCs w:val="18"/>
              </w:rPr>
            </w:pPr>
            <w:r>
              <w:rPr>
                <w:rFonts w:ascii="Arial"/>
                <w:spacing w:val="-1"/>
                <w:sz w:val="18"/>
              </w:rPr>
              <w:t>240,534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9"/>
              <w:jc w:val="right"/>
              <w:rPr>
                <w:rFonts w:ascii="Arial" w:hAnsi="Arial" w:cs="Arial" w:eastAsia="Arial" w:hint="default"/>
                <w:sz w:val="18"/>
                <w:szCs w:val="18"/>
              </w:rPr>
            </w:pPr>
            <w:r>
              <w:rPr>
                <w:rFonts w:ascii="Arial"/>
                <w:spacing w:val="-1"/>
                <w:sz w:val="18"/>
              </w:rPr>
              <w:t>46,206</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286,740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浙江苏宁电器有限公司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5"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center"/>
              <w:rPr>
                <w:rFonts w:ascii="Arial" w:hAnsi="Arial" w:cs="Arial" w:eastAsia="Arial" w:hint="default"/>
                <w:sz w:val="18"/>
                <w:szCs w:val="18"/>
              </w:rPr>
            </w:pPr>
            <w:r>
              <w:rPr>
                <w:rFonts w:ascii="Arial"/>
                <w:sz w:val="18"/>
              </w:rPr>
              <w:t>273,699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222,121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9"/>
              <w:jc w:val="right"/>
              <w:rPr>
                <w:rFonts w:ascii="Arial" w:hAnsi="Arial" w:cs="Arial" w:eastAsia="Arial" w:hint="default"/>
                <w:sz w:val="18"/>
                <w:szCs w:val="18"/>
              </w:rPr>
            </w:pPr>
            <w:r>
              <w:rPr>
                <w:rFonts w:ascii="Arial"/>
                <w:spacing w:val="-1"/>
                <w:sz w:val="18"/>
              </w:rPr>
              <w:t>51,578</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273,699</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89%</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89%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6" w:lineRule="exact"/>
              <w:ind w:left="43" w:right="0"/>
              <w:jc w:val="left"/>
              <w:rPr>
                <w:rFonts w:ascii="宋体" w:hAnsi="宋体" w:cs="宋体" w:eastAsia="宋体" w:hint="default"/>
                <w:sz w:val="18"/>
                <w:szCs w:val="18"/>
              </w:rPr>
            </w:pPr>
            <w:r>
              <w:rPr>
                <w:rFonts w:ascii="宋体" w:hAnsi="宋体" w:cs="宋体" w:eastAsia="宋体" w:hint="default"/>
                <w:sz w:val="18"/>
                <w:szCs w:val="18"/>
              </w:rPr>
              <w:t>广东苏宁电器有限公司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center"/>
              <w:rPr>
                <w:rFonts w:ascii="Arial" w:hAnsi="Arial" w:cs="Arial" w:eastAsia="Arial" w:hint="default"/>
                <w:sz w:val="18"/>
                <w:szCs w:val="18"/>
              </w:rPr>
            </w:pPr>
            <w:r>
              <w:rPr>
                <w:rFonts w:ascii="Arial"/>
                <w:sz w:val="18"/>
              </w:rPr>
              <w:t>271,582</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1"/>
              <w:jc w:val="right"/>
              <w:rPr>
                <w:rFonts w:ascii="Arial" w:hAnsi="Arial" w:cs="Arial" w:eastAsia="Arial" w:hint="default"/>
                <w:sz w:val="18"/>
                <w:szCs w:val="18"/>
              </w:rPr>
            </w:pPr>
            <w:r>
              <w:rPr>
                <w:rFonts w:ascii="Arial"/>
                <w:spacing w:val="-1"/>
                <w:sz w:val="18"/>
              </w:rPr>
              <w:t>214,342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9"/>
              <w:jc w:val="right"/>
              <w:rPr>
                <w:rFonts w:ascii="Arial" w:hAnsi="Arial" w:cs="Arial" w:eastAsia="Arial" w:hint="default"/>
                <w:sz w:val="18"/>
                <w:szCs w:val="18"/>
              </w:rPr>
            </w:pPr>
            <w:r>
              <w:rPr>
                <w:rFonts w:ascii="Arial"/>
                <w:spacing w:val="-1"/>
                <w:sz w:val="18"/>
              </w:rPr>
              <w:t>57,240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2"/>
              <w:jc w:val="right"/>
              <w:rPr>
                <w:rFonts w:ascii="Arial" w:hAnsi="Arial" w:cs="Arial" w:eastAsia="Arial" w:hint="default"/>
                <w:sz w:val="18"/>
                <w:szCs w:val="18"/>
              </w:rPr>
            </w:pPr>
            <w:r>
              <w:rPr>
                <w:rFonts w:ascii="Arial"/>
                <w:spacing w:val="-1"/>
                <w:sz w:val="18"/>
              </w:rPr>
              <w:t>271,582</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苏宁电器江苏苏南有限公司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5"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center"/>
              <w:rPr>
                <w:rFonts w:ascii="Arial" w:hAnsi="Arial" w:cs="Arial" w:eastAsia="Arial" w:hint="default"/>
                <w:sz w:val="18"/>
                <w:szCs w:val="18"/>
              </w:rPr>
            </w:pPr>
            <w:r>
              <w:rPr>
                <w:rFonts w:ascii="Arial"/>
                <w:sz w:val="18"/>
              </w:rPr>
              <w:t>252,000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Arial" w:hAnsi="Arial" w:cs="Arial" w:eastAsia="Arial" w:hint="default"/>
                <w:sz w:val="18"/>
                <w:szCs w:val="18"/>
              </w:rPr>
            </w:pPr>
            <w:r>
              <w:rPr>
                <w:rFonts w:ascii="Arial"/>
                <w:spacing w:val="-1"/>
                <w:sz w:val="18"/>
              </w:rPr>
              <w:t>252,000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252,000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6" w:lineRule="exact"/>
              <w:ind w:left="43" w:right="0"/>
              <w:jc w:val="left"/>
              <w:rPr>
                <w:rFonts w:ascii="宋体" w:hAnsi="宋体" w:cs="宋体" w:eastAsia="宋体" w:hint="default"/>
                <w:sz w:val="18"/>
                <w:szCs w:val="18"/>
              </w:rPr>
            </w:pPr>
            <w:r>
              <w:rPr>
                <w:rFonts w:ascii="宋体" w:hAnsi="宋体" w:cs="宋体" w:eastAsia="宋体" w:hint="default"/>
                <w:sz w:val="18"/>
                <w:szCs w:val="18"/>
              </w:rPr>
              <w:t>四川苏宁电器有限公司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
              <w:jc w:val="center"/>
              <w:rPr>
                <w:rFonts w:ascii="Arial" w:hAnsi="Arial" w:cs="Arial" w:eastAsia="Arial" w:hint="default"/>
                <w:sz w:val="18"/>
                <w:szCs w:val="18"/>
              </w:rPr>
            </w:pPr>
            <w:r>
              <w:rPr>
                <w:rFonts w:ascii="Arial"/>
                <w:sz w:val="18"/>
              </w:rPr>
              <w:t>247,424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5"/>
              <w:jc w:val="right"/>
              <w:rPr>
                <w:rFonts w:ascii="Arial" w:hAnsi="Arial" w:cs="Arial" w:eastAsia="Arial" w:hint="default"/>
                <w:sz w:val="18"/>
                <w:szCs w:val="18"/>
              </w:rPr>
            </w:pPr>
            <w:r>
              <w:rPr>
                <w:rFonts w:ascii="Arial"/>
                <w:spacing w:val="-1"/>
                <w:sz w:val="18"/>
              </w:rPr>
              <w:t>90,370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2"/>
              <w:jc w:val="right"/>
              <w:rPr>
                <w:rFonts w:ascii="Arial" w:hAnsi="Arial" w:cs="Arial" w:eastAsia="Arial" w:hint="default"/>
                <w:sz w:val="18"/>
                <w:szCs w:val="18"/>
              </w:rPr>
            </w:pPr>
            <w:r>
              <w:rPr>
                <w:rFonts w:ascii="Arial"/>
                <w:spacing w:val="-1"/>
                <w:sz w:val="18"/>
              </w:rPr>
              <w:t>157,054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247,424</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6"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195"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center"/>
              <w:rPr>
                <w:rFonts w:ascii="Arial" w:hAnsi="Arial" w:cs="Arial" w:eastAsia="Arial" w:hint="default"/>
                <w:sz w:val="18"/>
                <w:szCs w:val="18"/>
              </w:rPr>
            </w:pPr>
            <w:r>
              <w:rPr>
                <w:rFonts w:ascii="Arial"/>
                <w:sz w:val="18"/>
              </w:rPr>
              <w:t>233,329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Arial" w:hAnsi="Arial" w:cs="Arial" w:eastAsia="Arial" w:hint="default"/>
                <w:sz w:val="18"/>
                <w:szCs w:val="18"/>
              </w:rPr>
            </w:pPr>
            <w:r>
              <w:rPr>
                <w:rFonts w:ascii="Arial"/>
                <w:spacing w:val="-1"/>
                <w:sz w:val="18"/>
              </w:rPr>
              <w:t>150,449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Arial" w:hAnsi="Arial" w:cs="Arial" w:eastAsia="Arial" w:hint="default"/>
                <w:sz w:val="18"/>
                <w:szCs w:val="18"/>
              </w:rPr>
            </w:pPr>
            <w:r>
              <w:rPr>
                <w:rFonts w:ascii="Arial"/>
                <w:spacing w:val="-1"/>
                <w:sz w:val="18"/>
              </w:rPr>
              <w:t>82,880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233,329</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福建苏宁电器有限公司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1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
              <w:jc w:val="center"/>
              <w:rPr>
                <w:rFonts w:ascii="Arial" w:hAnsi="Arial" w:cs="Arial" w:eastAsia="Arial" w:hint="default"/>
                <w:sz w:val="18"/>
                <w:szCs w:val="18"/>
              </w:rPr>
            </w:pPr>
            <w:r>
              <w:rPr>
                <w:rFonts w:ascii="Arial"/>
                <w:sz w:val="18"/>
              </w:rPr>
              <w:t>171,765</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spacing w:val="-1"/>
                <w:sz w:val="18"/>
              </w:rPr>
              <w:t>156,150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spacing w:val="-1"/>
                <w:sz w:val="18"/>
              </w:rPr>
              <w:t>15,615</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171,765</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天津渤海苏宁电器有限公司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1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center"/>
              <w:rPr>
                <w:rFonts w:ascii="Arial" w:hAnsi="Arial" w:cs="Arial" w:eastAsia="Arial" w:hint="default"/>
                <w:sz w:val="18"/>
                <w:szCs w:val="18"/>
              </w:rPr>
            </w:pPr>
            <w:r>
              <w:rPr>
                <w:rFonts w:ascii="Arial"/>
                <w:sz w:val="18"/>
              </w:rPr>
              <w:t>160,207</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5"/>
              <w:jc w:val="right"/>
              <w:rPr>
                <w:rFonts w:ascii="Arial" w:hAnsi="Arial" w:cs="Arial" w:eastAsia="Arial" w:hint="default"/>
                <w:sz w:val="18"/>
                <w:szCs w:val="18"/>
              </w:rPr>
            </w:pPr>
            <w:r>
              <w:rPr>
                <w:rFonts w:ascii="Arial"/>
                <w:spacing w:val="-1"/>
                <w:sz w:val="18"/>
              </w:rPr>
              <w:t>90,000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spacing w:val="-1"/>
                <w:sz w:val="18"/>
              </w:rPr>
              <w:t>70,207</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160,207</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重庆巴渝苏宁电器有限公司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1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
              <w:jc w:val="center"/>
              <w:rPr>
                <w:rFonts w:ascii="Arial" w:hAnsi="Arial" w:cs="Arial" w:eastAsia="Arial" w:hint="default"/>
                <w:sz w:val="18"/>
                <w:szCs w:val="18"/>
              </w:rPr>
            </w:pPr>
            <w:r>
              <w:rPr>
                <w:rFonts w:ascii="Arial"/>
                <w:sz w:val="18"/>
              </w:rPr>
              <w:t>149,940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spacing w:val="-1"/>
                <w:sz w:val="18"/>
              </w:rPr>
              <w:t>149,940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149,940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广州苏宁电器有限公司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16"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
              <w:jc w:val="center"/>
              <w:rPr>
                <w:rFonts w:ascii="Arial" w:hAnsi="Arial" w:cs="Arial" w:eastAsia="Arial" w:hint="default"/>
                <w:sz w:val="18"/>
                <w:szCs w:val="18"/>
              </w:rPr>
            </w:pPr>
            <w:r>
              <w:rPr>
                <w:rFonts w:ascii="Arial"/>
                <w:sz w:val="18"/>
              </w:rPr>
              <w:t>135,000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spacing w:val="-1"/>
                <w:sz w:val="18"/>
              </w:rPr>
              <w:t>135,000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135,000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hAnsi="宋体" w:cs="宋体" w:eastAsia="宋体" w:hint="default"/>
                <w:sz w:val="18"/>
                <w:szCs w:val="18"/>
              </w:rPr>
              <w:t>杭州苏宁电器有限公司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17" w:lineRule="exact"/>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
              <w:jc w:val="center"/>
              <w:rPr>
                <w:rFonts w:ascii="Arial" w:hAnsi="Arial" w:cs="Arial" w:eastAsia="Arial" w:hint="default"/>
                <w:sz w:val="18"/>
                <w:szCs w:val="18"/>
              </w:rPr>
            </w:pPr>
            <w:r>
              <w:rPr>
                <w:rFonts w:ascii="Arial"/>
                <w:sz w:val="18"/>
              </w:rPr>
              <w:t>131,850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4"/>
              <w:jc w:val="right"/>
              <w:rPr>
                <w:rFonts w:ascii="Arial" w:hAnsi="Arial" w:cs="Arial" w:eastAsia="Arial" w:hint="default"/>
                <w:sz w:val="18"/>
                <w:szCs w:val="18"/>
              </w:rPr>
            </w:pPr>
            <w:r>
              <w:rPr>
                <w:rFonts w:ascii="Arial"/>
                <w:spacing w:val="-1"/>
                <w:sz w:val="18"/>
              </w:rPr>
              <w:t>131,850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4"/>
              <w:jc w:val="right"/>
              <w:rPr>
                <w:rFonts w:ascii="Arial" w:hAnsi="Arial" w:cs="Arial" w:eastAsia="Arial" w:hint="default"/>
                <w:sz w:val="18"/>
                <w:szCs w:val="18"/>
              </w:rPr>
            </w:pPr>
            <w:r>
              <w:rPr>
                <w:rFonts w:ascii="Arial"/>
                <w:spacing w:val="-1"/>
                <w:sz w:val="18"/>
              </w:rPr>
              <w:t>131,850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江苏苏宁地铁商业管理</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center"/>
              <w:rPr>
                <w:rFonts w:ascii="Arial" w:hAnsi="Arial" w:cs="Arial" w:eastAsia="Arial" w:hint="default"/>
                <w:sz w:val="18"/>
                <w:szCs w:val="18"/>
              </w:rPr>
            </w:pPr>
            <w:r>
              <w:rPr>
                <w:rFonts w:ascii="Arial"/>
                <w:sz w:val="18"/>
              </w:rPr>
              <w:t>120,319</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1"/>
              <w:jc w:val="right"/>
              <w:rPr>
                <w:rFonts w:ascii="Arial" w:hAnsi="Arial" w:cs="Arial" w:eastAsia="Arial" w:hint="default"/>
                <w:sz w:val="18"/>
                <w:szCs w:val="18"/>
              </w:rPr>
            </w:pPr>
            <w:r>
              <w:rPr>
                <w:rFonts w:ascii="Arial"/>
                <w:spacing w:val="-2"/>
                <w:w w:val="95"/>
                <w:sz w:val="18"/>
              </w:rPr>
              <w:t>113,882</w:t>
            </w:r>
            <w:r>
              <w:rPr>
                <w:rFonts w:ascii="Arial"/>
                <w:spacing w:val="-2"/>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9"/>
              <w:jc w:val="right"/>
              <w:rPr>
                <w:rFonts w:ascii="Arial" w:hAnsi="Arial" w:cs="Arial" w:eastAsia="Arial" w:hint="default"/>
                <w:sz w:val="18"/>
                <w:szCs w:val="18"/>
              </w:rPr>
            </w:pPr>
            <w:r>
              <w:rPr>
                <w:rFonts w:ascii="Arial"/>
                <w:sz w:val="18"/>
              </w:rPr>
              <w:t>6,437</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120,319</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452" w:hRule="exact"/>
        </w:trPr>
        <w:tc>
          <w:tcPr>
            <w:tcW w:w="795"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Style w:val="TableParagraph"/>
              <w:spacing w:line="201" w:lineRule="exact"/>
              <w:ind w:left="43"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Arial" w:hAnsi="Arial" w:cs="Arial" w:eastAsia="Arial" w:hint="default"/>
                <w:sz w:val="18"/>
                <w:szCs w:val="18"/>
              </w:rPr>
              <w:t>(</w:t>
            </w:r>
            <w:r>
              <w:rPr>
                <w:rFonts w:ascii="宋体" w:hAnsi="宋体" w:cs="宋体" w:eastAsia="宋体" w:hint="default"/>
                <w:sz w:val="18"/>
                <w:szCs w:val="18"/>
              </w:rPr>
              <w:t>天津</w:t>
            </w:r>
            <w:r>
              <w:rPr>
                <w:rFonts w:ascii="Arial" w:hAnsi="Arial" w:cs="Arial" w:eastAsia="Arial" w:hint="default"/>
                <w:sz w:val="18"/>
                <w:szCs w:val="18"/>
              </w:rPr>
              <w:t>)</w:t>
            </w:r>
            <w:r>
              <w:rPr>
                <w:rFonts w:ascii="宋体" w:hAnsi="宋体" w:cs="宋体" w:eastAsia="宋体" w:hint="default"/>
                <w:sz w:val="18"/>
                <w:szCs w:val="18"/>
              </w:rPr>
              <w:t>电器采购</w:t>
            </w:r>
          </w:p>
          <w:p>
            <w:pPr>
              <w:pStyle w:val="TableParagraph"/>
              <w:spacing w:line="228" w:lineRule="exact"/>
              <w:ind w:left="22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center"/>
              <w:rPr>
                <w:rFonts w:ascii="Arial" w:hAnsi="Arial" w:cs="Arial" w:eastAsia="Arial" w:hint="default"/>
                <w:sz w:val="18"/>
                <w:szCs w:val="18"/>
              </w:rPr>
            </w:pPr>
            <w:r>
              <w:rPr>
                <w:rFonts w:ascii="Arial"/>
                <w:sz w:val="18"/>
              </w:rPr>
              <w:t>100,000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Arial" w:hAnsi="Arial" w:cs="Arial" w:eastAsia="Arial" w:hint="default"/>
                <w:sz w:val="18"/>
                <w:szCs w:val="18"/>
              </w:rPr>
            </w:pPr>
            <w:r>
              <w:rPr>
                <w:rFonts w:ascii="Arial"/>
                <w:spacing w:val="-1"/>
                <w:sz w:val="18"/>
              </w:rPr>
              <w:t>100,000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51"/>
              <w:jc w:val="right"/>
              <w:rPr>
                <w:rFonts w:ascii="Arial" w:hAnsi="Arial" w:cs="Arial" w:eastAsia="Arial" w:hint="default"/>
                <w:sz w:val="18"/>
                <w:szCs w:val="18"/>
              </w:rPr>
            </w:pPr>
            <w:r>
              <w:rPr>
                <w:rFonts w:ascii="Arial"/>
                <w:w w:val="99"/>
                <w:sz w:val="18"/>
              </w:rPr>
              <w:t>-</w:t>
            </w:r>
            <w:r>
              <w:rPr>
                <w:rFonts w:ascii="Arial"/>
                <w:sz w:val="18"/>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100,000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98"/>
          <w:footerReference w:type="default" r:id="rId99"/>
          <w:pgSz w:w="16850" w:h="11910" w:orient="landscape"/>
          <w:pgMar w:header="754" w:footer="954" w:top="2240" w:bottom="1140" w:left="200" w:right="0"/>
          <w:pgNumType w:start="216"/>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95"/>
        <w:gridCol w:w="14326"/>
      </w:tblGrid>
      <w:tr>
        <w:trPr>
          <w:trHeight w:val="45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14326" w:type="dxa"/>
            <w:tcBorders>
              <w:top w:val="single" w:sz="6" w:space="0" w:color="000000"/>
              <w:left w:val="nil" w:sz="6" w:space="0" w:color="auto"/>
              <w:bottom w:val="nil" w:sz="6" w:space="0" w:color="auto"/>
              <w:right w:val="nil" w:sz="6" w:space="0" w:color="auto"/>
            </w:tcBorders>
          </w:tcPr>
          <w:p>
            <w:pPr>
              <w:pStyle w:val="TableParagraph"/>
              <w:spacing w:line="291" w:lineRule="exact"/>
              <w:ind w:left="43"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58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143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r>
        <w:trPr>
          <w:trHeight w:val="42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1432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5"/>
        <w:rPr>
          <w:rFonts w:ascii="Times New Roman" w:hAnsi="Times New Roman" w:cs="Times New Roman" w:eastAsia="Times New Roman" w:hint="default"/>
          <w:sz w:val="25"/>
          <w:szCs w:val="25"/>
        </w:rPr>
      </w:pPr>
    </w:p>
    <w:tbl>
      <w:tblPr>
        <w:tblW w:w="0" w:type="auto"/>
        <w:jc w:val="left"/>
        <w:tblInd w:w="747" w:type="dxa"/>
        <w:tblLayout w:type="fixed"/>
        <w:tblCellMar>
          <w:top w:w="0" w:type="dxa"/>
          <w:left w:w="0" w:type="dxa"/>
          <w:bottom w:w="0" w:type="dxa"/>
          <w:right w:w="0" w:type="dxa"/>
        </w:tblCellMar>
        <w:tblLook w:val="01E0"/>
      </w:tblPr>
      <w:tblGrid>
        <w:gridCol w:w="2858"/>
        <w:gridCol w:w="948"/>
        <w:gridCol w:w="1239"/>
        <w:gridCol w:w="1278"/>
        <w:gridCol w:w="1450"/>
        <w:gridCol w:w="1188"/>
        <w:gridCol w:w="559"/>
        <w:gridCol w:w="620"/>
        <w:gridCol w:w="1521"/>
        <w:gridCol w:w="851"/>
        <w:gridCol w:w="876"/>
        <w:gridCol w:w="1531"/>
      </w:tblGrid>
      <w:tr>
        <w:trPr>
          <w:trHeight w:val="446" w:hRule="exact"/>
        </w:trPr>
        <w:tc>
          <w:tcPr>
            <w:tcW w:w="285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42" w:right="269"/>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278" w:type="dxa"/>
            <w:tcBorders>
              <w:top w:val="nil" w:sz="6" w:space="0" w:color="auto"/>
              <w:left w:val="nil" w:sz="6" w:space="0" w:color="auto"/>
              <w:bottom w:val="nil" w:sz="6" w:space="0" w:color="auto"/>
              <w:right w:val="nil" w:sz="6" w:space="0" w:color="auto"/>
            </w:tcBorders>
          </w:tcPr>
          <w:p>
            <w:pPr>
              <w:pStyle w:val="TableParagraph"/>
              <w:spacing w:line="186" w:lineRule="exact"/>
              <w:ind w:left="517"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24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35"/>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188" w:type="dxa"/>
            <w:tcBorders>
              <w:top w:val="nil" w:sz="6" w:space="0" w:color="auto"/>
              <w:left w:val="nil" w:sz="6" w:space="0" w:color="auto"/>
              <w:bottom w:val="nil" w:sz="6" w:space="0" w:color="auto"/>
              <w:right w:val="nil" w:sz="6" w:space="0" w:color="auto"/>
            </w:tcBorders>
          </w:tcPr>
          <w:p>
            <w:pPr>
              <w:pStyle w:val="TableParagraph"/>
              <w:spacing w:line="186" w:lineRule="exact"/>
              <w:ind w:left="52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23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59" w:type="dxa"/>
            <w:tcBorders>
              <w:top w:val="nil" w:sz="6" w:space="0" w:color="auto"/>
              <w:left w:val="nil" w:sz="6" w:space="0" w:color="auto"/>
              <w:bottom w:val="nil" w:sz="6" w:space="0" w:color="auto"/>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20" w:type="dxa"/>
            <w:tcBorders>
              <w:top w:val="nil" w:sz="6" w:space="0" w:color="auto"/>
              <w:left w:val="nil" w:sz="6" w:space="0" w:color="auto"/>
              <w:bottom w:val="nil" w:sz="6" w:space="0" w:color="auto"/>
              <w:right w:val="nil" w:sz="6" w:space="0" w:color="auto"/>
            </w:tcBorders>
          </w:tcPr>
          <w:p>
            <w:pPr>
              <w:pStyle w:val="TableParagraph"/>
              <w:spacing w:line="180" w:lineRule="exact"/>
              <w:ind w:left="223" w:right="0" w:hanging="18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21" w:type="dxa"/>
            <w:tcBorders>
              <w:top w:val="nil" w:sz="6" w:space="0" w:color="auto"/>
              <w:left w:val="nil" w:sz="6" w:space="0" w:color="auto"/>
              <w:bottom w:val="nil" w:sz="6" w:space="0" w:color="auto"/>
              <w:right w:val="nil" w:sz="6" w:space="0" w:color="auto"/>
            </w:tcBorders>
          </w:tcPr>
          <w:p>
            <w:pPr>
              <w:pStyle w:val="TableParagraph"/>
              <w:spacing w:line="180" w:lineRule="exact"/>
              <w:ind w:left="34" w:right="0"/>
              <w:jc w:val="left"/>
              <w:rPr>
                <w:rFonts w:ascii="宋体" w:hAnsi="宋体" w:cs="宋体" w:eastAsia="宋体" w:hint="default"/>
                <w:sz w:val="18"/>
                <w:szCs w:val="18"/>
              </w:rPr>
            </w:pPr>
            <w:r>
              <w:rPr>
                <w:rFonts w:ascii="宋体" w:hAnsi="宋体" w:cs="宋体" w:eastAsia="宋体" w:hint="default"/>
                <w:sz w:val="18"/>
                <w:szCs w:val="18"/>
              </w:rPr>
              <w:t>持股比例与表决权</w:t>
            </w: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比例不一致的说明</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876" w:type="dxa"/>
            <w:tcBorders>
              <w:top w:val="nil" w:sz="6" w:space="0" w:color="auto"/>
              <w:left w:val="nil" w:sz="6" w:space="0" w:color="auto"/>
              <w:bottom w:val="nil" w:sz="6" w:space="0" w:color="auto"/>
              <w:right w:val="nil" w:sz="6" w:space="0" w:color="auto"/>
            </w:tcBorders>
          </w:tcPr>
          <w:p>
            <w:pPr>
              <w:pStyle w:val="TableParagraph"/>
              <w:spacing w:line="180" w:lineRule="exact"/>
              <w:ind w:left="85" w:right="0"/>
              <w:jc w:val="left"/>
              <w:rPr>
                <w:rFonts w:ascii="宋体" w:hAnsi="宋体" w:cs="宋体" w:eastAsia="宋体" w:hint="default"/>
                <w:sz w:val="18"/>
                <w:szCs w:val="18"/>
              </w:rPr>
            </w:pPr>
            <w:r>
              <w:rPr>
                <w:rFonts w:ascii="宋体" w:hAnsi="宋体" w:cs="宋体" w:eastAsia="宋体" w:hint="default"/>
                <w:sz w:val="18"/>
                <w:szCs w:val="18"/>
              </w:rPr>
              <w:t>本年计提</w:t>
            </w: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1" w:type="dxa"/>
            <w:tcBorders>
              <w:top w:val="nil" w:sz="6" w:space="0" w:color="auto"/>
              <w:left w:val="nil" w:sz="6" w:space="0" w:color="auto"/>
              <w:bottom w:val="nil" w:sz="6" w:space="0" w:color="auto"/>
              <w:right w:val="nil" w:sz="6" w:space="0" w:color="auto"/>
            </w:tcBorders>
          </w:tcPr>
          <w:p>
            <w:pPr>
              <w:pStyle w:val="TableParagraph"/>
              <w:spacing w:line="180" w:lineRule="exact"/>
              <w:ind w:left="70"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475"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宋体" w:hAnsi="宋体" w:cs="宋体" w:eastAsia="宋体" w:hint="default"/>
                <w:sz w:val="18"/>
                <w:szCs w:val="18"/>
              </w:rPr>
            </w:pPr>
            <w:r>
              <w:rPr>
                <w:rFonts w:ascii="宋体" w:hAnsi="宋体" w:cs="宋体" w:eastAsia="宋体" w:hint="default"/>
                <w:sz w:val="18"/>
                <w:szCs w:val="18"/>
              </w:rPr>
              <w:t>南京苏宁易付宝网络科技</w:t>
            </w: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59"/>
              <w:jc w:val="right"/>
              <w:rPr>
                <w:rFonts w:ascii="Arial" w:hAnsi="Arial" w:cs="Arial" w:eastAsia="Arial" w:hint="default"/>
                <w:sz w:val="18"/>
                <w:szCs w:val="18"/>
              </w:rPr>
            </w:pPr>
            <w:r>
              <w:rPr>
                <w:rFonts w:ascii="Arial"/>
                <w:spacing w:val="-1"/>
                <w:sz w:val="18"/>
              </w:rPr>
              <w:t>100,000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32"/>
              <w:jc w:val="right"/>
              <w:rPr>
                <w:rFonts w:ascii="Arial" w:hAnsi="Arial" w:cs="Arial" w:eastAsia="Arial" w:hint="default"/>
                <w:sz w:val="18"/>
                <w:szCs w:val="18"/>
              </w:rPr>
            </w:pPr>
            <w:r>
              <w:rPr>
                <w:rFonts w:ascii="Arial"/>
                <w:w w:val="99"/>
                <w:sz w:val="18"/>
              </w:rPr>
              <w:t>-</w:t>
            </w:r>
            <w:r>
              <w:rPr>
                <w:rFonts w:ascii="Arial"/>
                <w:sz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65"/>
              <w:jc w:val="right"/>
              <w:rPr>
                <w:rFonts w:ascii="Arial" w:hAnsi="Arial" w:cs="Arial" w:eastAsia="Arial" w:hint="default"/>
                <w:sz w:val="18"/>
                <w:szCs w:val="18"/>
              </w:rPr>
            </w:pPr>
            <w:r>
              <w:rPr>
                <w:rFonts w:ascii="Arial"/>
                <w:spacing w:val="-1"/>
                <w:sz w:val="18"/>
              </w:rPr>
              <w:t>100,000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spacing w:val="-1"/>
                <w:sz w:val="18"/>
              </w:rPr>
              <w:t>100,000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99,576</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84,060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15,516</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99,576</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芜湖苏宁电器有限公司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right"/>
              <w:rPr>
                <w:rFonts w:ascii="Arial" w:hAnsi="Arial" w:cs="Arial" w:eastAsia="Arial" w:hint="default"/>
                <w:sz w:val="18"/>
                <w:szCs w:val="18"/>
              </w:rPr>
            </w:pPr>
            <w:r>
              <w:rPr>
                <w:rFonts w:ascii="Arial"/>
                <w:spacing w:val="-1"/>
                <w:sz w:val="18"/>
              </w:rPr>
              <w:t>93,898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12,988</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5"/>
              <w:jc w:val="right"/>
              <w:rPr>
                <w:rFonts w:ascii="Arial" w:hAnsi="Arial" w:cs="Arial" w:eastAsia="Arial" w:hint="default"/>
                <w:sz w:val="18"/>
                <w:szCs w:val="18"/>
              </w:rPr>
            </w:pPr>
            <w:r>
              <w:rPr>
                <w:rFonts w:ascii="Arial"/>
                <w:spacing w:val="-1"/>
                <w:sz w:val="18"/>
              </w:rPr>
              <w:t>80,910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93,898</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天津天宁苏宁电器有限公司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92,901</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58,000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34,901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92,901</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right"/>
              <w:rPr>
                <w:rFonts w:ascii="Arial" w:hAnsi="Arial" w:cs="Arial" w:eastAsia="Arial" w:hint="default"/>
                <w:sz w:val="18"/>
                <w:szCs w:val="18"/>
              </w:rPr>
            </w:pPr>
            <w:r>
              <w:rPr>
                <w:rFonts w:ascii="Arial"/>
                <w:spacing w:val="-1"/>
                <w:sz w:val="18"/>
              </w:rPr>
              <w:t>90,000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90,000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90,000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合肥高新苏宁物流有限公司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90,000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90,000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90,000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福州苏宁电器有限公司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right"/>
              <w:rPr>
                <w:rFonts w:ascii="Arial" w:hAnsi="Arial" w:cs="Arial" w:eastAsia="Arial" w:hint="default"/>
                <w:sz w:val="18"/>
                <w:szCs w:val="18"/>
              </w:rPr>
            </w:pPr>
            <w:r>
              <w:rPr>
                <w:rFonts w:ascii="Arial"/>
                <w:spacing w:val="-1"/>
                <w:sz w:val="18"/>
              </w:rPr>
              <w:t>90,000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90,000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90,000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90,000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90,000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90,000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成都采购中心苏宁电器有限公司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right"/>
              <w:rPr>
                <w:rFonts w:ascii="Arial" w:hAnsi="Arial" w:cs="Arial" w:eastAsia="Arial" w:hint="default"/>
                <w:sz w:val="18"/>
                <w:szCs w:val="18"/>
              </w:rPr>
            </w:pPr>
            <w:r>
              <w:rPr>
                <w:rFonts w:ascii="Arial"/>
                <w:spacing w:val="-1"/>
                <w:sz w:val="18"/>
              </w:rPr>
              <w:t>90,000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Arial" w:hAnsi="Arial" w:cs="Arial" w:eastAsia="Arial" w:hint="default"/>
                <w:sz w:val="18"/>
                <w:szCs w:val="18"/>
              </w:rPr>
            </w:pPr>
            <w:r>
              <w:rPr>
                <w:rFonts w:ascii="Arial"/>
                <w:w w:val="99"/>
                <w:sz w:val="18"/>
              </w:rPr>
              <w:t>-</w:t>
            </w:r>
            <w:r>
              <w:rPr>
                <w:rFonts w:ascii="Arial"/>
                <w:sz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5"/>
              <w:jc w:val="right"/>
              <w:rPr>
                <w:rFonts w:ascii="Arial" w:hAnsi="Arial" w:cs="Arial" w:eastAsia="Arial" w:hint="default"/>
                <w:sz w:val="18"/>
                <w:szCs w:val="18"/>
              </w:rPr>
            </w:pPr>
            <w:r>
              <w:rPr>
                <w:rFonts w:ascii="Arial"/>
                <w:spacing w:val="-1"/>
                <w:sz w:val="18"/>
              </w:rPr>
              <w:t>90,000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90,000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安徽苏宁电器有限公司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87,203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3"/>
              <w:jc w:val="right"/>
              <w:rPr>
                <w:rFonts w:ascii="Arial" w:hAnsi="Arial" w:cs="Arial" w:eastAsia="Arial" w:hint="default"/>
                <w:sz w:val="18"/>
                <w:szCs w:val="18"/>
              </w:rPr>
            </w:pPr>
            <w:r>
              <w:rPr>
                <w:rFonts w:ascii="Arial"/>
                <w:spacing w:val="-1"/>
                <w:sz w:val="18"/>
              </w:rPr>
              <w:t>87,203</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87,203</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湖南苏宁电器有限公司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right"/>
              <w:rPr>
                <w:rFonts w:ascii="Arial" w:hAnsi="Arial" w:cs="Arial" w:eastAsia="Arial" w:hint="default"/>
                <w:sz w:val="18"/>
                <w:szCs w:val="18"/>
              </w:rPr>
            </w:pPr>
            <w:r>
              <w:rPr>
                <w:rFonts w:ascii="Arial"/>
                <w:spacing w:val="-1"/>
                <w:sz w:val="18"/>
              </w:rPr>
              <w:t>86,625</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75,465</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3"/>
              <w:jc w:val="right"/>
              <w:rPr>
                <w:rFonts w:ascii="Arial" w:hAnsi="Arial" w:cs="Arial" w:eastAsia="Arial" w:hint="default"/>
                <w:sz w:val="18"/>
                <w:szCs w:val="18"/>
              </w:rPr>
            </w:pPr>
            <w:r>
              <w:rPr>
                <w:rFonts w:ascii="Arial"/>
                <w:spacing w:val="-3"/>
                <w:sz w:val="18"/>
              </w:rPr>
              <w:t>11,160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86,625</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7"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芜湖万联智能通卡有限公司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5"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9"/>
              <w:jc w:val="right"/>
              <w:rPr>
                <w:rFonts w:ascii="Arial" w:hAnsi="Arial" w:cs="Arial" w:eastAsia="Arial" w:hint="default"/>
                <w:sz w:val="18"/>
                <w:szCs w:val="18"/>
              </w:rPr>
            </w:pPr>
            <w:r>
              <w:rPr>
                <w:rFonts w:ascii="Arial"/>
                <w:spacing w:val="-1"/>
                <w:sz w:val="18"/>
              </w:rPr>
              <w:t>80,000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2"/>
              <w:jc w:val="right"/>
              <w:rPr>
                <w:rFonts w:ascii="Arial" w:hAnsi="Arial" w:cs="Arial" w:eastAsia="Arial" w:hint="default"/>
                <w:sz w:val="18"/>
                <w:szCs w:val="18"/>
              </w:rPr>
            </w:pPr>
            <w:r>
              <w:rPr>
                <w:rFonts w:ascii="Arial"/>
                <w:w w:val="99"/>
                <w:sz w:val="18"/>
              </w:rPr>
              <w:t>-</w:t>
            </w:r>
            <w:r>
              <w:rPr>
                <w:rFonts w:ascii="Arial"/>
                <w:sz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5"/>
              <w:jc w:val="right"/>
              <w:rPr>
                <w:rFonts w:ascii="Arial" w:hAnsi="Arial" w:cs="Arial" w:eastAsia="Arial" w:hint="default"/>
                <w:sz w:val="18"/>
                <w:szCs w:val="18"/>
              </w:rPr>
            </w:pPr>
            <w:r>
              <w:rPr>
                <w:rFonts w:ascii="Arial"/>
                <w:spacing w:val="-1"/>
                <w:sz w:val="18"/>
              </w:rPr>
              <w:t>80,000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80,000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
              <w:jc w:val="right"/>
              <w:rPr>
                <w:rFonts w:ascii="Arial" w:hAnsi="Arial" w:cs="Arial" w:eastAsia="Arial" w:hint="default"/>
                <w:sz w:val="18"/>
                <w:szCs w:val="18"/>
              </w:rPr>
            </w:pPr>
            <w:r>
              <w:rPr>
                <w:rFonts w:ascii="Arial"/>
                <w:w w:val="95"/>
                <w:sz w:val="18"/>
              </w:rPr>
              <w:t>98%</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7" w:right="0"/>
              <w:jc w:val="center"/>
              <w:rPr>
                <w:rFonts w:ascii="Arial" w:hAnsi="Arial" w:cs="Arial" w:eastAsia="Arial" w:hint="default"/>
                <w:sz w:val="18"/>
                <w:szCs w:val="18"/>
              </w:rPr>
            </w:pPr>
            <w:r>
              <w:rPr>
                <w:rFonts w:ascii="Arial"/>
                <w:sz w:val="18"/>
              </w:rPr>
              <w:t>98%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徐州苏宁电器有限公司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19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1"/>
              <w:jc w:val="right"/>
              <w:rPr>
                <w:rFonts w:ascii="Arial" w:hAnsi="Arial" w:cs="Arial" w:eastAsia="Arial" w:hint="default"/>
                <w:sz w:val="18"/>
                <w:szCs w:val="18"/>
              </w:rPr>
            </w:pPr>
            <w:r>
              <w:rPr>
                <w:rFonts w:ascii="Arial"/>
                <w:spacing w:val="-1"/>
                <w:sz w:val="18"/>
              </w:rPr>
              <w:t>73,181</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22,691</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5"/>
              <w:jc w:val="right"/>
              <w:rPr>
                <w:rFonts w:ascii="Arial" w:hAnsi="Arial" w:cs="Arial" w:eastAsia="Arial" w:hint="default"/>
                <w:sz w:val="18"/>
                <w:szCs w:val="18"/>
              </w:rPr>
            </w:pPr>
            <w:r>
              <w:rPr>
                <w:rFonts w:ascii="Arial"/>
                <w:spacing w:val="-1"/>
                <w:sz w:val="18"/>
              </w:rPr>
              <w:t>50,490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18"/>
                <w:szCs w:val="18"/>
              </w:rPr>
            </w:pPr>
            <w:r>
              <w:rPr>
                <w:rFonts w:ascii="Arial"/>
                <w:spacing w:val="-1"/>
                <w:sz w:val="18"/>
              </w:rPr>
              <w:t>73,181</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新疆苏宁电器有限公司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Arial" w:hAnsi="Arial" w:cs="Arial" w:eastAsia="Arial" w:hint="default"/>
                <w:sz w:val="18"/>
                <w:szCs w:val="18"/>
              </w:rPr>
            </w:pPr>
            <w:r>
              <w:rPr>
                <w:rFonts w:ascii="Arial"/>
                <w:spacing w:val="-1"/>
                <w:sz w:val="18"/>
              </w:rPr>
              <w:t>72,905</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68,670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3"/>
              <w:jc w:val="right"/>
              <w:rPr>
                <w:rFonts w:ascii="Arial" w:hAnsi="Arial" w:cs="Arial" w:eastAsia="Arial" w:hint="default"/>
                <w:sz w:val="18"/>
                <w:szCs w:val="18"/>
              </w:rPr>
            </w:pPr>
            <w:r>
              <w:rPr>
                <w:rFonts w:ascii="Arial"/>
                <w:w w:val="95"/>
                <w:sz w:val="18"/>
              </w:rPr>
              <w:t>4,235</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72,905</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陕西苏宁电器有限公司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Arial" w:hAnsi="Arial" w:cs="Arial" w:eastAsia="Arial" w:hint="default"/>
                <w:sz w:val="18"/>
                <w:szCs w:val="18"/>
              </w:rPr>
            </w:pPr>
            <w:r>
              <w:rPr>
                <w:rFonts w:ascii="Arial"/>
                <w:spacing w:val="-1"/>
                <w:sz w:val="18"/>
              </w:rPr>
              <w:t>72,889</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38,329</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34,560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72,889</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苏州苏宁电器有限公司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Arial" w:hAnsi="Arial" w:cs="Arial" w:eastAsia="Arial" w:hint="default"/>
                <w:sz w:val="18"/>
                <w:szCs w:val="18"/>
              </w:rPr>
            </w:pPr>
            <w:r>
              <w:rPr>
                <w:rFonts w:ascii="Arial"/>
                <w:spacing w:val="-1"/>
                <w:sz w:val="18"/>
              </w:rPr>
              <w:t>61,418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55,775</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3"/>
              <w:jc w:val="right"/>
              <w:rPr>
                <w:rFonts w:ascii="Arial" w:hAnsi="Arial" w:cs="Arial" w:eastAsia="Arial" w:hint="default"/>
                <w:sz w:val="18"/>
                <w:szCs w:val="18"/>
              </w:rPr>
            </w:pPr>
            <w:r>
              <w:rPr>
                <w:rFonts w:ascii="Arial"/>
                <w:w w:val="95"/>
                <w:sz w:val="18"/>
              </w:rPr>
              <w:t>5,643</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61,418</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淮安苏宁电器有限责任公司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7"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9"/>
              <w:jc w:val="right"/>
              <w:rPr>
                <w:rFonts w:ascii="Arial" w:hAnsi="Arial" w:cs="Arial" w:eastAsia="Arial" w:hint="default"/>
                <w:sz w:val="18"/>
                <w:szCs w:val="18"/>
              </w:rPr>
            </w:pPr>
            <w:r>
              <w:rPr>
                <w:rFonts w:ascii="Arial"/>
                <w:spacing w:val="-1"/>
                <w:sz w:val="18"/>
              </w:rPr>
              <w:t>48,551</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18"/>
                <w:szCs w:val="18"/>
              </w:rPr>
            </w:pPr>
            <w:r>
              <w:rPr>
                <w:rFonts w:ascii="Arial"/>
                <w:spacing w:val="-1"/>
                <w:sz w:val="18"/>
              </w:rPr>
              <w:t>48,551</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4"/>
              <w:jc w:val="right"/>
              <w:rPr>
                <w:rFonts w:ascii="Arial" w:hAnsi="Arial" w:cs="Arial" w:eastAsia="Arial" w:hint="default"/>
                <w:sz w:val="18"/>
                <w:szCs w:val="18"/>
              </w:rPr>
            </w:pPr>
            <w:r>
              <w:rPr>
                <w:rFonts w:ascii="Arial"/>
                <w:spacing w:val="-1"/>
                <w:sz w:val="18"/>
              </w:rPr>
              <w:t>48,551</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Arial" w:hAnsi="Arial" w:cs="Arial" w:eastAsia="Arial" w:hint="default"/>
                <w:sz w:val="18"/>
                <w:szCs w:val="18"/>
              </w:rPr>
            </w:pPr>
            <w:r>
              <w:rPr>
                <w:rFonts w:ascii="Arial"/>
                <w:w w:val="95"/>
                <w:sz w:val="18"/>
              </w:rPr>
              <w:t>98%</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88" w:right="0"/>
              <w:jc w:val="center"/>
              <w:rPr>
                <w:rFonts w:ascii="Arial" w:hAnsi="Arial" w:cs="Arial" w:eastAsia="Arial" w:hint="default"/>
                <w:sz w:val="18"/>
                <w:szCs w:val="18"/>
              </w:rPr>
            </w:pPr>
            <w:r>
              <w:rPr>
                <w:rFonts w:ascii="Arial"/>
                <w:sz w:val="18"/>
              </w:rPr>
              <w:t>98%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青岛鲁宁苏宁电器有限公司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Arial" w:hAnsi="Arial" w:cs="Arial" w:eastAsia="Arial" w:hint="default"/>
                <w:sz w:val="18"/>
                <w:szCs w:val="18"/>
              </w:rPr>
            </w:pPr>
            <w:r>
              <w:rPr>
                <w:rFonts w:ascii="Arial"/>
                <w:spacing w:val="-1"/>
                <w:sz w:val="18"/>
              </w:rPr>
              <w:t>47,150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20,000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5"/>
              <w:jc w:val="right"/>
              <w:rPr>
                <w:rFonts w:ascii="Arial" w:hAnsi="Arial" w:cs="Arial" w:eastAsia="Arial" w:hint="default"/>
                <w:sz w:val="18"/>
                <w:szCs w:val="18"/>
              </w:rPr>
            </w:pPr>
            <w:r>
              <w:rPr>
                <w:rFonts w:ascii="Arial"/>
                <w:spacing w:val="-1"/>
                <w:sz w:val="18"/>
              </w:rPr>
              <w:t>27,150</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47,150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100%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7" w:right="0"/>
              <w:jc w:val="center"/>
              <w:rPr>
                <w:rFonts w:ascii="Arial" w:hAnsi="Arial" w:cs="Arial" w:eastAsia="Arial" w:hint="default"/>
                <w:sz w:val="18"/>
                <w:szCs w:val="18"/>
              </w:rPr>
            </w:pPr>
            <w:r>
              <w:rPr>
                <w:rFonts w:ascii="Arial"/>
                <w:sz w:val="18"/>
              </w:rPr>
              <w:t>100%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285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青岛胶宁苏宁电器有限公司</w:t>
            </w:r>
          </w:p>
        </w:tc>
        <w:tc>
          <w:tcPr>
            <w:tcW w:w="948" w:type="dxa"/>
            <w:tcBorders>
              <w:top w:val="nil" w:sz="6" w:space="0" w:color="auto"/>
              <w:left w:val="nil" w:sz="6" w:space="0" w:color="auto"/>
              <w:bottom w:val="nil" w:sz="6" w:space="0" w:color="auto"/>
              <w:right w:val="nil" w:sz="6" w:space="0" w:color="auto"/>
            </w:tcBorders>
          </w:tcPr>
          <w:p>
            <w:pPr>
              <w:pStyle w:val="TableParagraph"/>
              <w:spacing w:line="216" w:lineRule="exact"/>
              <w:ind w:right="269"/>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9"/>
              <w:jc w:val="right"/>
              <w:rPr>
                <w:rFonts w:ascii="Arial" w:hAnsi="Arial" w:cs="Arial" w:eastAsia="Arial" w:hint="default"/>
                <w:sz w:val="18"/>
                <w:szCs w:val="18"/>
              </w:rPr>
            </w:pPr>
            <w:r>
              <w:rPr>
                <w:rFonts w:ascii="Arial"/>
                <w:spacing w:val="-1"/>
                <w:sz w:val="18"/>
              </w:rPr>
              <w:t>45,000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45,000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4"/>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45,000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88" w:right="0"/>
              <w:jc w:val="center"/>
              <w:rPr>
                <w:rFonts w:ascii="Arial" w:hAnsi="Arial" w:cs="Arial" w:eastAsia="Arial" w:hint="default"/>
                <w:sz w:val="18"/>
                <w:szCs w:val="18"/>
              </w:rPr>
            </w:pPr>
            <w:r>
              <w:rPr>
                <w:rFonts w:ascii="Arial"/>
                <w:sz w:val="18"/>
              </w:rPr>
              <w:t>90%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w w:val="99"/>
                <w:sz w:val="18"/>
              </w:rPr>
              <w:t>-</w:t>
            </w:r>
            <w:r>
              <w:rPr>
                <w:rFonts w:ascii="Arial"/>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54" w:footer="954" w:top="2240" w:bottom="1140" w:left="2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786"/>
        <w:gridCol w:w="2521"/>
        <w:gridCol w:w="1121"/>
        <w:gridCol w:w="1240"/>
        <w:gridCol w:w="1270"/>
        <w:gridCol w:w="1451"/>
        <w:gridCol w:w="1201"/>
        <w:gridCol w:w="559"/>
        <w:gridCol w:w="613"/>
        <w:gridCol w:w="1514"/>
        <w:gridCol w:w="835"/>
        <w:gridCol w:w="953"/>
        <w:gridCol w:w="1589"/>
      </w:tblGrid>
      <w:tr>
        <w:trPr>
          <w:trHeight w:val="624"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52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43"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121" w:type="dxa"/>
            <w:tcBorders>
              <w:top w:val="single" w:sz="6" w:space="0" w:color="000000"/>
              <w:left w:val="nil" w:sz="6" w:space="0" w:color="auto"/>
              <w:bottom w:val="nil" w:sz="6" w:space="0" w:color="auto"/>
              <w:right w:val="nil" w:sz="6" w:space="0" w:color="auto"/>
            </w:tcBorders>
          </w:tcPr>
          <w:p>
            <w:pPr/>
          </w:p>
        </w:tc>
        <w:tc>
          <w:tcPr>
            <w:tcW w:w="1240" w:type="dxa"/>
            <w:tcBorders>
              <w:top w:val="single" w:sz="6" w:space="0" w:color="000000"/>
              <w:left w:val="nil" w:sz="6" w:space="0" w:color="auto"/>
              <w:bottom w:val="nil" w:sz="6" w:space="0" w:color="auto"/>
              <w:right w:val="nil" w:sz="6" w:space="0" w:color="auto"/>
            </w:tcBorders>
          </w:tcPr>
          <w:p>
            <w:pPr/>
          </w:p>
        </w:tc>
        <w:tc>
          <w:tcPr>
            <w:tcW w:w="1270"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nil" w:sz="6" w:space="0" w:color="auto"/>
              <w:right w:val="nil" w:sz="6" w:space="0" w:color="auto"/>
            </w:tcBorders>
          </w:tcPr>
          <w:p>
            <w:pPr/>
          </w:p>
        </w:tc>
        <w:tc>
          <w:tcPr>
            <w:tcW w:w="1201" w:type="dxa"/>
            <w:tcBorders>
              <w:top w:val="single" w:sz="6" w:space="0" w:color="000000"/>
              <w:left w:val="nil" w:sz="6" w:space="0" w:color="auto"/>
              <w:bottom w:val="nil" w:sz="6" w:space="0" w:color="auto"/>
              <w:right w:val="nil" w:sz="6" w:space="0" w:color="auto"/>
            </w:tcBorders>
          </w:tcPr>
          <w:p>
            <w:pPr/>
          </w:p>
        </w:tc>
        <w:tc>
          <w:tcPr>
            <w:tcW w:w="559" w:type="dxa"/>
            <w:tcBorders>
              <w:top w:val="single" w:sz="6" w:space="0" w:color="000000"/>
              <w:left w:val="nil" w:sz="6" w:space="0" w:color="auto"/>
              <w:bottom w:val="nil" w:sz="6" w:space="0" w:color="auto"/>
              <w:right w:val="nil" w:sz="6" w:space="0" w:color="auto"/>
            </w:tcBorders>
          </w:tcPr>
          <w:p>
            <w:pPr/>
          </w:p>
        </w:tc>
        <w:tc>
          <w:tcPr>
            <w:tcW w:w="613" w:type="dxa"/>
            <w:tcBorders>
              <w:top w:val="single" w:sz="6" w:space="0" w:color="000000"/>
              <w:left w:val="nil" w:sz="6" w:space="0" w:color="auto"/>
              <w:bottom w:val="nil" w:sz="6" w:space="0" w:color="auto"/>
              <w:right w:val="nil" w:sz="6" w:space="0" w:color="auto"/>
            </w:tcBorders>
          </w:tcPr>
          <w:p>
            <w:pPr/>
          </w:p>
        </w:tc>
        <w:tc>
          <w:tcPr>
            <w:tcW w:w="1514" w:type="dxa"/>
            <w:tcBorders>
              <w:top w:val="single" w:sz="6" w:space="0" w:color="000000"/>
              <w:left w:val="nil" w:sz="6" w:space="0" w:color="auto"/>
              <w:bottom w:val="nil" w:sz="6" w:space="0" w:color="auto"/>
              <w:right w:val="nil" w:sz="6" w:space="0" w:color="auto"/>
            </w:tcBorders>
          </w:tcPr>
          <w:p>
            <w:pPr/>
          </w:p>
        </w:tc>
        <w:tc>
          <w:tcPr>
            <w:tcW w:w="835" w:type="dxa"/>
            <w:tcBorders>
              <w:top w:val="single" w:sz="6" w:space="0" w:color="000000"/>
              <w:left w:val="nil" w:sz="6" w:space="0" w:color="auto"/>
              <w:bottom w:val="nil" w:sz="6" w:space="0" w:color="auto"/>
              <w:right w:val="nil" w:sz="6" w:space="0" w:color="auto"/>
            </w:tcBorders>
          </w:tcPr>
          <w:p>
            <w:pPr/>
          </w:p>
        </w:tc>
        <w:tc>
          <w:tcPr>
            <w:tcW w:w="953" w:type="dxa"/>
            <w:tcBorders>
              <w:top w:val="single" w:sz="6" w:space="0" w:color="000000"/>
              <w:left w:val="nil" w:sz="6" w:space="0" w:color="auto"/>
              <w:bottom w:val="nil" w:sz="6" w:space="0" w:color="auto"/>
              <w:right w:val="nil" w:sz="6" w:space="0" w:color="auto"/>
            </w:tcBorders>
          </w:tcPr>
          <w:p>
            <w:pPr/>
          </w:p>
        </w:tc>
        <w:tc>
          <w:tcPr>
            <w:tcW w:w="1589" w:type="dxa"/>
            <w:tcBorders>
              <w:top w:val="single" w:sz="6" w:space="0" w:color="000000"/>
              <w:left w:val="nil" w:sz="6" w:space="0" w:color="auto"/>
              <w:bottom w:val="nil" w:sz="6" w:space="0" w:color="auto"/>
              <w:right w:val="nil" w:sz="6" w:space="0" w:color="auto"/>
            </w:tcBorders>
          </w:tcPr>
          <w:p>
            <w:pPr/>
          </w:p>
        </w:tc>
      </w:tr>
      <w:tr>
        <w:trPr>
          <w:trHeight w:val="438"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0" w:right="0"/>
              <w:jc w:val="left"/>
              <w:rPr>
                <w:rFonts w:ascii="Arial" w:hAnsi="Arial" w:cs="Arial" w:eastAsia="Arial" w:hint="default"/>
                <w:sz w:val="24"/>
                <w:szCs w:val="24"/>
              </w:rPr>
            </w:pPr>
            <w:r>
              <w:rPr>
                <w:rFonts w:ascii="Arial"/>
                <w:sz w:val="24"/>
              </w:rPr>
              <w:t>(3)</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3"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12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437"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Arial" w:hAnsi="Arial" w:cs="Arial" w:eastAsia="Arial" w:hint="default"/>
                <w:sz w:val="24"/>
                <w:szCs w:val="24"/>
              </w:rPr>
            </w:pPr>
            <w:r>
              <w:rPr>
                <w:rFonts w:ascii="Arial"/>
                <w:sz w:val="24"/>
              </w:rPr>
              <w:t>(a)</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2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r>
      <w:tr>
        <w:trPr>
          <w:trHeight w:val="579"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1270" w:type="dxa"/>
            <w:tcBorders>
              <w:top w:val="nil" w:sz="6" w:space="0" w:color="auto"/>
              <w:left w:val="nil" w:sz="6" w:space="0" w:color="auto"/>
              <w:bottom w:val="nil" w:sz="6" w:space="0" w:color="auto"/>
              <w:right w:val="nil" w:sz="6" w:space="0" w:color="auto"/>
            </w:tcBorders>
          </w:tcPr>
          <w:p>
            <w:pPr>
              <w:pStyle w:val="TableParagraph"/>
              <w:spacing w:line="241" w:lineRule="exact" w:before="34"/>
              <w:ind w:left="5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25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201" w:type="dxa"/>
            <w:tcBorders>
              <w:top w:val="nil" w:sz="6" w:space="0" w:color="auto"/>
              <w:left w:val="nil" w:sz="6" w:space="0" w:color="auto"/>
              <w:bottom w:val="nil" w:sz="6" w:space="0" w:color="auto"/>
              <w:right w:val="nil" w:sz="6" w:space="0" w:color="auto"/>
            </w:tcBorders>
          </w:tcPr>
          <w:p>
            <w:pPr>
              <w:pStyle w:val="TableParagraph"/>
              <w:spacing w:line="241" w:lineRule="exact" w:before="34"/>
              <w:ind w:left="534"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1" w:lineRule="exact"/>
              <w:ind w:left="25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59" w:type="dxa"/>
            <w:tcBorders>
              <w:top w:val="nil" w:sz="6" w:space="0" w:color="auto"/>
              <w:left w:val="nil" w:sz="6" w:space="0" w:color="auto"/>
              <w:bottom w:val="nil" w:sz="6" w:space="0" w:color="auto"/>
              <w:right w:val="nil" w:sz="6" w:space="0" w:color="auto"/>
            </w:tcBorders>
          </w:tcPr>
          <w:p>
            <w:pPr>
              <w:pStyle w:val="TableParagraph"/>
              <w:spacing w:line="232" w:lineRule="exact" w:before="59"/>
              <w:ind w:left="153" w:right="4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13" w:type="dxa"/>
            <w:tcBorders>
              <w:top w:val="nil" w:sz="6" w:space="0" w:color="auto"/>
              <w:left w:val="nil" w:sz="6" w:space="0" w:color="auto"/>
              <w:bottom w:val="nil" w:sz="6" w:space="0" w:color="auto"/>
              <w:right w:val="nil" w:sz="6" w:space="0" w:color="auto"/>
            </w:tcBorders>
          </w:tcPr>
          <w:p>
            <w:pPr>
              <w:pStyle w:val="TableParagraph"/>
              <w:spacing w:line="232" w:lineRule="exact" w:before="59"/>
              <w:ind w:left="223" w:right="27"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before="59"/>
              <w:ind w:left="27" w:right="29" w:firstLine="14"/>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53" w:type="dxa"/>
            <w:tcBorders>
              <w:top w:val="nil" w:sz="6" w:space="0" w:color="auto"/>
              <w:left w:val="nil" w:sz="6" w:space="0" w:color="auto"/>
              <w:bottom w:val="nil" w:sz="6" w:space="0" w:color="auto"/>
              <w:right w:val="nil" w:sz="6" w:space="0" w:color="auto"/>
            </w:tcBorders>
          </w:tcPr>
          <w:p>
            <w:pPr>
              <w:pStyle w:val="TableParagraph"/>
              <w:spacing w:line="232" w:lineRule="exact" w:before="59"/>
              <w:ind w:left="83" w:right="11"/>
              <w:jc w:val="left"/>
              <w:rPr>
                <w:rFonts w:ascii="宋体" w:hAnsi="宋体" w:cs="宋体" w:eastAsia="宋体" w:hint="default"/>
                <w:sz w:val="18"/>
                <w:szCs w:val="18"/>
              </w:rPr>
            </w:pPr>
            <w:r>
              <w:rPr>
                <w:rFonts w:ascii="宋体" w:hAnsi="宋体" w:cs="宋体" w:eastAsia="宋体" w:hint="default"/>
                <w:spacing w:val="30"/>
                <w:sz w:val="18"/>
                <w:szCs w:val="18"/>
              </w:rPr>
              <w:t>本年计</w:t>
            </w:r>
            <w:r>
              <w:rPr>
                <w:rFonts w:ascii="宋体" w:hAnsi="宋体" w:cs="宋体" w:eastAsia="宋体" w:hint="default"/>
                <w:spacing w:val="-45"/>
                <w:sz w:val="18"/>
                <w:szCs w:val="18"/>
              </w:rPr>
              <w:t> </w:t>
            </w:r>
            <w:r>
              <w:rPr>
                <w:rFonts w:ascii="宋体" w:hAnsi="宋体" w:cs="宋体" w:eastAsia="宋体" w:hint="default"/>
                <w:sz w:val="18"/>
                <w:szCs w:val="18"/>
              </w:rPr>
              <w:t>提</w:t>
            </w:r>
            <w:r>
              <w:rPr>
                <w:rFonts w:ascii="宋体" w:hAnsi="宋体" w:cs="宋体" w:eastAsia="宋体" w:hint="default"/>
                <w:sz w:val="18"/>
                <w:szCs w:val="18"/>
              </w:rPr>
              <w:t> 减值准备</w:t>
            </w:r>
          </w:p>
        </w:tc>
        <w:tc>
          <w:tcPr>
            <w:tcW w:w="1589" w:type="dxa"/>
            <w:tcBorders>
              <w:top w:val="nil" w:sz="6" w:space="0" w:color="auto"/>
              <w:left w:val="nil" w:sz="6" w:space="0" w:color="auto"/>
              <w:bottom w:val="nil" w:sz="6" w:space="0" w:color="auto"/>
              <w:right w:val="nil" w:sz="6" w:space="0" w:color="auto"/>
            </w:tcBorders>
          </w:tcPr>
          <w:p>
            <w:pPr>
              <w:pStyle w:val="TableParagraph"/>
              <w:spacing w:line="234" w:lineRule="exact" w:before="34"/>
              <w:ind w:left="11" w:right="0"/>
              <w:jc w:val="left"/>
              <w:rPr>
                <w:rFonts w:ascii="宋体" w:hAnsi="宋体" w:cs="宋体" w:eastAsia="宋体" w:hint="default"/>
                <w:sz w:val="18"/>
                <w:szCs w:val="18"/>
              </w:rPr>
            </w:pPr>
            <w:r>
              <w:rPr>
                <w:rFonts w:ascii="宋体" w:hAnsi="宋体" w:cs="宋体" w:eastAsia="宋体" w:hint="default"/>
                <w:spacing w:val="16"/>
                <w:sz w:val="18"/>
                <w:szCs w:val="18"/>
              </w:rPr>
              <w:t>本年宣告分派的</w:t>
            </w:r>
          </w:p>
          <w:p>
            <w:pPr>
              <w:pStyle w:val="TableParagraph"/>
              <w:spacing w:line="234" w:lineRule="exact"/>
              <w:ind w:left="551"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307"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8"/>
                <w:szCs w:val="18"/>
              </w:rPr>
            </w:pPr>
            <w:r>
              <w:rPr>
                <w:rFonts w:ascii="宋体" w:hAnsi="宋体" w:cs="宋体" w:eastAsia="宋体" w:hint="default"/>
                <w:sz w:val="18"/>
                <w:szCs w:val="18"/>
              </w:rPr>
              <w:t>甘肃苏宁电器有限公司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5"/>
              <w:jc w:val="right"/>
              <w:rPr>
                <w:rFonts w:ascii="Arial" w:hAnsi="Arial" w:cs="Arial" w:eastAsia="Arial" w:hint="default"/>
                <w:sz w:val="18"/>
                <w:szCs w:val="18"/>
              </w:rPr>
            </w:pPr>
            <w:r>
              <w:rPr>
                <w:rFonts w:ascii="Arial"/>
                <w:spacing w:val="-1"/>
                <w:sz w:val="18"/>
              </w:rPr>
              <w:t>44,208</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9"/>
              <w:jc w:val="right"/>
              <w:rPr>
                <w:rFonts w:ascii="Arial" w:hAnsi="Arial" w:cs="Arial" w:eastAsia="Arial" w:hint="default"/>
                <w:sz w:val="18"/>
                <w:szCs w:val="18"/>
              </w:rPr>
            </w:pPr>
            <w:r>
              <w:rPr>
                <w:rFonts w:ascii="Arial"/>
                <w:spacing w:val="-1"/>
                <w:sz w:val="18"/>
              </w:rPr>
              <w:t>21,798</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2"/>
              <w:jc w:val="right"/>
              <w:rPr>
                <w:rFonts w:ascii="Arial" w:hAnsi="Arial" w:cs="Arial" w:eastAsia="Arial" w:hint="default"/>
                <w:sz w:val="18"/>
                <w:szCs w:val="18"/>
              </w:rPr>
            </w:pPr>
            <w:r>
              <w:rPr>
                <w:rFonts w:ascii="Arial"/>
                <w:spacing w:val="-1"/>
                <w:sz w:val="18"/>
              </w:rPr>
              <w:t>22,410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4"/>
              <w:jc w:val="right"/>
              <w:rPr>
                <w:rFonts w:ascii="Arial" w:hAnsi="Arial" w:cs="Arial" w:eastAsia="Arial" w:hint="default"/>
                <w:sz w:val="18"/>
                <w:szCs w:val="18"/>
              </w:rPr>
            </w:pPr>
            <w:r>
              <w:rPr>
                <w:rFonts w:ascii="Arial"/>
                <w:spacing w:val="-1"/>
                <w:sz w:val="18"/>
              </w:rPr>
              <w:t>44,208</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90"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南昌苏宁电器有限公司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5"/>
              <w:jc w:val="right"/>
              <w:rPr>
                <w:rFonts w:ascii="Arial" w:hAnsi="Arial" w:cs="Arial" w:eastAsia="Arial" w:hint="default"/>
                <w:sz w:val="18"/>
                <w:szCs w:val="18"/>
              </w:rPr>
            </w:pPr>
            <w:r>
              <w:rPr>
                <w:rFonts w:ascii="Arial"/>
                <w:spacing w:val="-1"/>
                <w:sz w:val="18"/>
              </w:rPr>
              <w:t>40,500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40,500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40,500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0"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大同苏宁电器有限公司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39,844</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w w:val="95"/>
                <w:sz w:val="18"/>
              </w:rPr>
              <w:t>1,054</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spacing w:val="-1"/>
                <w:sz w:val="18"/>
              </w:rPr>
              <w:t>38,790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39,844</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7"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8" w:lineRule="exact"/>
              <w:ind w:left="43" w:right="0"/>
              <w:jc w:val="left"/>
              <w:rPr>
                <w:rFonts w:ascii="宋体" w:hAnsi="宋体" w:cs="宋体" w:eastAsia="宋体" w:hint="default"/>
                <w:sz w:val="18"/>
                <w:szCs w:val="18"/>
              </w:rPr>
            </w:pPr>
            <w:r>
              <w:rPr>
                <w:rFonts w:ascii="宋体" w:hAnsi="宋体" w:cs="宋体" w:eastAsia="宋体" w:hint="default"/>
                <w:sz w:val="18"/>
                <w:szCs w:val="18"/>
              </w:rPr>
              <w:t>河南苏宁电器有限公司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8"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2"/>
              <w:jc w:val="right"/>
              <w:rPr>
                <w:rFonts w:ascii="Arial" w:hAnsi="Arial" w:cs="Arial" w:eastAsia="Arial" w:hint="default"/>
                <w:sz w:val="18"/>
                <w:szCs w:val="18"/>
              </w:rPr>
            </w:pPr>
            <w:r>
              <w:rPr>
                <w:rFonts w:ascii="Arial"/>
                <w:spacing w:val="-1"/>
                <w:sz w:val="18"/>
              </w:rPr>
              <w:t>39,510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Arial" w:hAnsi="Arial" w:cs="Arial" w:eastAsia="Arial" w:hint="default"/>
                <w:sz w:val="18"/>
                <w:szCs w:val="18"/>
              </w:rPr>
            </w:pPr>
            <w:r>
              <w:rPr>
                <w:rFonts w:ascii="Arial"/>
                <w:spacing w:val="-1"/>
                <w:sz w:val="18"/>
              </w:rPr>
              <w:t>27,000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0"/>
              <w:jc w:val="right"/>
              <w:rPr>
                <w:rFonts w:ascii="Arial" w:hAnsi="Arial" w:cs="Arial" w:eastAsia="Arial" w:hint="default"/>
                <w:sz w:val="18"/>
                <w:szCs w:val="18"/>
              </w:rPr>
            </w:pPr>
            <w:r>
              <w:rPr>
                <w:rFonts w:ascii="Arial"/>
                <w:spacing w:val="-1"/>
                <w:sz w:val="18"/>
              </w:rPr>
              <w:t>12,510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
              <w:jc w:val="right"/>
              <w:rPr>
                <w:rFonts w:ascii="Arial" w:hAnsi="Arial" w:cs="Arial" w:eastAsia="Arial" w:hint="default"/>
                <w:sz w:val="18"/>
                <w:szCs w:val="18"/>
              </w:rPr>
            </w:pPr>
            <w:r>
              <w:rPr>
                <w:rFonts w:ascii="Arial"/>
                <w:spacing w:val="-1"/>
                <w:sz w:val="18"/>
              </w:rPr>
              <w:t>39,510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359"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贵阳金阳苏宁电器有限公司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3"/>
              <w:jc w:val="right"/>
              <w:rPr>
                <w:rFonts w:ascii="Arial" w:hAnsi="Arial" w:cs="Arial" w:eastAsia="Arial" w:hint="default"/>
                <w:sz w:val="18"/>
                <w:szCs w:val="18"/>
              </w:rPr>
            </w:pPr>
            <w:r>
              <w:rPr>
                <w:rFonts w:ascii="Arial"/>
                <w:spacing w:val="-1"/>
                <w:sz w:val="18"/>
              </w:rPr>
              <w:t>36,000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6"/>
              <w:jc w:val="right"/>
              <w:rPr>
                <w:rFonts w:ascii="Arial" w:hAnsi="Arial" w:cs="Arial" w:eastAsia="Arial" w:hint="default"/>
                <w:sz w:val="18"/>
                <w:szCs w:val="18"/>
              </w:rPr>
            </w:pPr>
            <w:r>
              <w:rPr>
                <w:rFonts w:ascii="Arial"/>
                <w:spacing w:val="-1"/>
                <w:sz w:val="18"/>
              </w:rPr>
              <w:t>36,000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1"/>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3"/>
              <w:jc w:val="right"/>
              <w:rPr>
                <w:rFonts w:ascii="Arial" w:hAnsi="Arial" w:cs="Arial" w:eastAsia="Arial" w:hint="default"/>
                <w:sz w:val="18"/>
                <w:szCs w:val="18"/>
              </w:rPr>
            </w:pPr>
            <w:r>
              <w:rPr>
                <w:rFonts w:ascii="Arial"/>
                <w:spacing w:val="-1"/>
                <w:sz w:val="18"/>
              </w:rPr>
              <w:t>36,000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437"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 w:right="0"/>
              <w:jc w:val="left"/>
              <w:rPr>
                <w:rFonts w:ascii="宋体" w:hAnsi="宋体" w:cs="宋体" w:eastAsia="宋体" w:hint="default"/>
                <w:sz w:val="18"/>
                <w:szCs w:val="18"/>
              </w:rPr>
            </w:pPr>
            <w:r>
              <w:rPr>
                <w:rFonts w:ascii="宋体" w:hAnsi="宋体" w:cs="宋体" w:eastAsia="宋体" w:hint="default"/>
                <w:sz w:val="18"/>
                <w:szCs w:val="18"/>
              </w:rPr>
              <w:t>中山苏宁物流有限公司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3"/>
              <w:jc w:val="right"/>
              <w:rPr>
                <w:rFonts w:ascii="Arial" w:hAnsi="Arial" w:cs="Arial" w:eastAsia="Arial" w:hint="default"/>
                <w:sz w:val="18"/>
                <w:szCs w:val="18"/>
              </w:rPr>
            </w:pPr>
            <w:r>
              <w:rPr>
                <w:rFonts w:ascii="Arial"/>
                <w:spacing w:val="-1"/>
                <w:sz w:val="18"/>
              </w:rPr>
              <w:t>36,000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8"/>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0"/>
              <w:jc w:val="right"/>
              <w:rPr>
                <w:rFonts w:ascii="Arial" w:hAnsi="Arial" w:cs="Arial" w:eastAsia="Arial" w:hint="default"/>
                <w:sz w:val="18"/>
                <w:szCs w:val="18"/>
              </w:rPr>
            </w:pPr>
            <w:r>
              <w:rPr>
                <w:rFonts w:ascii="Arial"/>
                <w:spacing w:val="-1"/>
                <w:sz w:val="18"/>
              </w:rPr>
              <w:t>36,000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3"/>
              <w:jc w:val="right"/>
              <w:rPr>
                <w:rFonts w:ascii="Arial" w:hAnsi="Arial" w:cs="Arial" w:eastAsia="Arial" w:hint="default"/>
                <w:sz w:val="18"/>
                <w:szCs w:val="18"/>
              </w:rPr>
            </w:pPr>
            <w:r>
              <w:rPr>
                <w:rFonts w:ascii="Arial"/>
                <w:spacing w:val="-1"/>
                <w:sz w:val="18"/>
              </w:rPr>
              <w:t>36,000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439"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 w:right="0"/>
              <w:jc w:val="left"/>
              <w:rPr>
                <w:rFonts w:ascii="宋体" w:hAnsi="宋体" w:cs="宋体" w:eastAsia="宋体" w:hint="default"/>
                <w:sz w:val="18"/>
                <w:szCs w:val="18"/>
              </w:rPr>
            </w:pPr>
            <w:r>
              <w:rPr>
                <w:rFonts w:ascii="宋体" w:hAnsi="宋体" w:cs="宋体" w:eastAsia="宋体" w:hint="default"/>
                <w:sz w:val="18"/>
                <w:szCs w:val="18"/>
              </w:rPr>
              <w:t>江西苏宁物流有限公司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3"/>
              <w:jc w:val="right"/>
              <w:rPr>
                <w:rFonts w:ascii="Arial" w:hAnsi="Arial" w:cs="Arial" w:eastAsia="Arial" w:hint="default"/>
                <w:sz w:val="18"/>
                <w:szCs w:val="18"/>
              </w:rPr>
            </w:pPr>
            <w:r>
              <w:rPr>
                <w:rFonts w:ascii="Arial"/>
                <w:spacing w:val="-1"/>
                <w:sz w:val="18"/>
              </w:rPr>
              <w:t>36,000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8"/>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0"/>
              <w:jc w:val="right"/>
              <w:rPr>
                <w:rFonts w:ascii="Arial" w:hAnsi="Arial" w:cs="Arial" w:eastAsia="Arial" w:hint="default"/>
                <w:sz w:val="18"/>
                <w:szCs w:val="18"/>
              </w:rPr>
            </w:pPr>
            <w:r>
              <w:rPr>
                <w:rFonts w:ascii="Arial"/>
                <w:spacing w:val="-1"/>
                <w:sz w:val="18"/>
              </w:rPr>
              <w:t>36,000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3"/>
              <w:jc w:val="right"/>
              <w:rPr>
                <w:rFonts w:ascii="Arial" w:hAnsi="Arial" w:cs="Arial" w:eastAsia="Arial" w:hint="default"/>
                <w:sz w:val="18"/>
                <w:szCs w:val="18"/>
              </w:rPr>
            </w:pPr>
            <w:r>
              <w:rPr>
                <w:rFonts w:ascii="Arial"/>
                <w:spacing w:val="-1"/>
                <w:sz w:val="18"/>
              </w:rPr>
              <w:t>36,000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 w:right="0"/>
              <w:jc w:val="left"/>
              <w:rPr>
                <w:rFonts w:ascii="宋体" w:hAnsi="宋体" w:cs="宋体" w:eastAsia="宋体" w:hint="default"/>
                <w:sz w:val="18"/>
                <w:szCs w:val="18"/>
              </w:rPr>
            </w:pPr>
            <w:r>
              <w:rPr>
                <w:rFonts w:ascii="宋体" w:hAnsi="宋体" w:cs="宋体" w:eastAsia="宋体" w:hint="default"/>
                <w:sz w:val="18"/>
                <w:szCs w:val="18"/>
              </w:rPr>
              <w:t>广西苏宁电器有限公司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3"/>
              <w:jc w:val="right"/>
              <w:rPr>
                <w:rFonts w:ascii="Arial" w:hAnsi="Arial" w:cs="Arial" w:eastAsia="Arial" w:hint="default"/>
                <w:sz w:val="18"/>
                <w:szCs w:val="18"/>
              </w:rPr>
            </w:pPr>
            <w:r>
              <w:rPr>
                <w:rFonts w:ascii="Arial"/>
                <w:spacing w:val="-1"/>
                <w:sz w:val="18"/>
              </w:rPr>
              <w:t>33,660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Arial" w:hAnsi="Arial" w:cs="Arial" w:eastAsia="Arial" w:hint="default"/>
                <w:sz w:val="18"/>
                <w:szCs w:val="18"/>
              </w:rPr>
            </w:pPr>
            <w:r>
              <w:rPr>
                <w:rFonts w:ascii="Arial"/>
                <w:spacing w:val="-1"/>
                <w:sz w:val="18"/>
              </w:rPr>
              <w:t>23,670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0"/>
              <w:jc w:val="right"/>
              <w:rPr>
                <w:rFonts w:ascii="Arial" w:hAnsi="Arial" w:cs="Arial" w:eastAsia="Arial" w:hint="default"/>
                <w:sz w:val="18"/>
                <w:szCs w:val="18"/>
              </w:rPr>
            </w:pPr>
            <w:r>
              <w:rPr>
                <w:rFonts w:ascii="Arial"/>
                <w:w w:val="95"/>
                <w:sz w:val="18"/>
              </w:rPr>
              <w:t>9,990</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3"/>
              <w:jc w:val="right"/>
              <w:rPr>
                <w:rFonts w:ascii="Arial" w:hAnsi="Arial" w:cs="Arial" w:eastAsia="Arial" w:hint="default"/>
                <w:sz w:val="18"/>
                <w:szCs w:val="18"/>
              </w:rPr>
            </w:pPr>
            <w:r>
              <w:rPr>
                <w:rFonts w:ascii="Arial"/>
                <w:spacing w:val="-1"/>
                <w:sz w:val="18"/>
              </w:rPr>
              <w:t>33,660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哈尔滨苏宁电器有限公司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33,064</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30,094</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w w:val="95"/>
                <w:sz w:val="18"/>
              </w:rPr>
              <w:t>2,970</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33,064</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无锡市苏宁电器有限公司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32,184</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27,180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w w:val="95"/>
                <w:sz w:val="18"/>
              </w:rPr>
              <w:t>5,004</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32,184</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贵阳东方苏宁电器有限公司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31,293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22,680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w w:val="95"/>
                <w:sz w:val="18"/>
              </w:rPr>
              <w:t>8,613</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31,293</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江苏法迪欧电器有限公司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30,000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30,000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100%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 w:right="0"/>
              <w:jc w:val="center"/>
              <w:rPr>
                <w:rFonts w:ascii="Arial" w:hAnsi="Arial" w:cs="Arial" w:eastAsia="Arial" w:hint="default"/>
                <w:sz w:val="18"/>
                <w:szCs w:val="18"/>
              </w:rPr>
            </w:pPr>
            <w:r>
              <w:rPr>
                <w:rFonts w:ascii="Arial"/>
                <w:sz w:val="18"/>
              </w:rPr>
              <w:t>100%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江苏苏宁易购电子商务</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53"/>
              <w:jc w:val="right"/>
              <w:rPr>
                <w:rFonts w:ascii="Arial" w:hAnsi="Arial" w:cs="Arial" w:eastAsia="Arial" w:hint="default"/>
                <w:sz w:val="18"/>
                <w:szCs w:val="18"/>
              </w:rPr>
            </w:pPr>
            <w:r>
              <w:rPr>
                <w:rFonts w:ascii="Arial"/>
                <w:spacing w:val="-1"/>
                <w:sz w:val="18"/>
              </w:rPr>
              <w:t>30,000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Arial" w:hAnsi="Arial" w:cs="Arial" w:eastAsia="Arial" w:hint="default"/>
                <w:sz w:val="18"/>
                <w:szCs w:val="18"/>
              </w:rPr>
            </w:pPr>
            <w:r>
              <w:rPr>
                <w:rFonts w:ascii="Arial"/>
                <w:spacing w:val="-1"/>
                <w:sz w:val="18"/>
              </w:rPr>
              <w:t>30,000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51"/>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spacing w:val="-1"/>
                <w:sz w:val="18"/>
              </w:rPr>
              <w:t>30,000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18"/>
                <w:szCs w:val="18"/>
              </w:rPr>
            </w:pPr>
            <w:r>
              <w:rPr>
                <w:rFonts w:ascii="Arial"/>
                <w:w w:val="95"/>
                <w:sz w:val="18"/>
              </w:rPr>
              <w:t>60%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5" w:right="0"/>
              <w:jc w:val="center"/>
              <w:rPr>
                <w:rFonts w:ascii="Arial" w:hAnsi="Arial" w:cs="Arial" w:eastAsia="Arial" w:hint="default"/>
                <w:sz w:val="18"/>
                <w:szCs w:val="18"/>
              </w:rPr>
            </w:pPr>
            <w:r>
              <w:rPr>
                <w:rFonts w:ascii="Arial"/>
                <w:sz w:val="18"/>
              </w:rPr>
              <w:t>60%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hAnsi="宋体" w:cs="宋体" w:eastAsia="宋体" w:hint="default"/>
                <w:sz w:val="18"/>
                <w:szCs w:val="18"/>
              </w:rPr>
              <w:t>盐城苏宁电器有限公司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7"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3"/>
              <w:jc w:val="right"/>
              <w:rPr>
                <w:rFonts w:ascii="Arial" w:hAnsi="Arial" w:cs="Arial" w:eastAsia="Arial" w:hint="default"/>
                <w:sz w:val="18"/>
                <w:szCs w:val="18"/>
              </w:rPr>
            </w:pPr>
            <w:r>
              <w:rPr>
                <w:rFonts w:ascii="Arial"/>
                <w:spacing w:val="-1"/>
                <w:sz w:val="18"/>
              </w:rPr>
              <w:t>29,493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6"/>
              <w:jc w:val="right"/>
              <w:rPr>
                <w:rFonts w:ascii="Arial" w:hAnsi="Arial" w:cs="Arial" w:eastAsia="Arial" w:hint="default"/>
                <w:sz w:val="18"/>
                <w:szCs w:val="18"/>
              </w:rPr>
            </w:pPr>
            <w:r>
              <w:rPr>
                <w:rFonts w:ascii="Arial"/>
                <w:spacing w:val="-1"/>
                <w:sz w:val="18"/>
              </w:rPr>
              <w:t>19,845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0"/>
              <w:jc w:val="right"/>
              <w:rPr>
                <w:rFonts w:ascii="Arial" w:hAnsi="Arial" w:cs="Arial" w:eastAsia="Arial" w:hint="default"/>
                <w:sz w:val="18"/>
                <w:szCs w:val="18"/>
              </w:rPr>
            </w:pPr>
            <w:r>
              <w:rPr>
                <w:rFonts w:ascii="Arial"/>
                <w:w w:val="95"/>
                <w:sz w:val="18"/>
              </w:rPr>
              <w:t>9,648</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
              <w:jc w:val="right"/>
              <w:rPr>
                <w:rFonts w:ascii="Arial" w:hAnsi="Arial" w:cs="Arial" w:eastAsia="Arial" w:hint="default"/>
                <w:sz w:val="18"/>
                <w:szCs w:val="18"/>
              </w:rPr>
            </w:pPr>
            <w:r>
              <w:rPr>
                <w:rFonts w:ascii="Arial"/>
                <w:spacing w:val="-1"/>
                <w:sz w:val="18"/>
              </w:rPr>
              <w:t>29,493</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石家庄苏宁电器有限公司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29,320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16,210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spacing w:val="-3"/>
                <w:sz w:val="18"/>
              </w:rPr>
              <w:t>13,110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29,320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100%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4" w:right="0"/>
              <w:jc w:val="center"/>
              <w:rPr>
                <w:rFonts w:ascii="Arial" w:hAnsi="Arial" w:cs="Arial" w:eastAsia="Arial" w:hint="default"/>
                <w:sz w:val="18"/>
                <w:szCs w:val="18"/>
              </w:rPr>
            </w:pPr>
            <w:r>
              <w:rPr>
                <w:rFonts w:ascii="Arial"/>
                <w:sz w:val="18"/>
              </w:rPr>
              <w:t>100%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内蒙古苏宁电器有限公司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29,203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17,053</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spacing w:val="-1"/>
                <w:sz w:val="18"/>
              </w:rPr>
              <w:t>12,150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29,203</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27,000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27,000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27,000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南通苏宁电器有限公司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26,743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15,675</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spacing w:val="-3"/>
                <w:sz w:val="18"/>
              </w:rPr>
              <w:t>11,068</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26,743</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95%</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95%</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78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长春苏宁电器有限公司</w:t>
            </w:r>
          </w:p>
        </w:tc>
        <w:tc>
          <w:tcPr>
            <w:tcW w:w="1121" w:type="dxa"/>
            <w:tcBorders>
              <w:top w:val="nil" w:sz="6" w:space="0" w:color="auto"/>
              <w:left w:val="nil" w:sz="6" w:space="0" w:color="auto"/>
              <w:bottom w:val="nil" w:sz="6" w:space="0" w:color="auto"/>
              <w:right w:val="nil" w:sz="6" w:space="0" w:color="auto"/>
            </w:tcBorders>
          </w:tcPr>
          <w:p>
            <w:pPr>
              <w:pStyle w:val="TableParagraph"/>
              <w:spacing w:line="216" w:lineRule="exact"/>
              <w:ind w:right="260"/>
              <w:jc w:val="right"/>
              <w:rPr>
                <w:rFonts w:ascii="宋体" w:hAnsi="宋体" w:cs="宋体" w:eastAsia="宋体" w:hint="default"/>
                <w:sz w:val="18"/>
                <w:szCs w:val="18"/>
              </w:rPr>
            </w:pPr>
            <w:r>
              <w:rPr>
                <w:rFonts w:ascii="宋体" w:hAnsi="宋体" w:cs="宋体" w:eastAsia="宋体" w:hint="default"/>
                <w:sz w:val="18"/>
                <w:szCs w:val="18"/>
              </w:rPr>
              <w:t>成本法</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spacing w:val="-1"/>
                <w:sz w:val="18"/>
              </w:rPr>
              <w:t>26,521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21,571</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0"/>
              <w:jc w:val="right"/>
              <w:rPr>
                <w:rFonts w:ascii="Arial" w:hAnsi="Arial" w:cs="Arial" w:eastAsia="Arial" w:hint="default"/>
                <w:sz w:val="18"/>
                <w:szCs w:val="18"/>
              </w:rPr>
            </w:pPr>
            <w:r>
              <w:rPr>
                <w:rFonts w:ascii="Arial"/>
                <w:sz w:val="18"/>
              </w:rPr>
              <w:t>4,950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26,521</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5" w:right="0"/>
              <w:jc w:val="center"/>
              <w:rPr>
                <w:rFonts w:ascii="Arial" w:hAnsi="Arial" w:cs="Arial" w:eastAsia="Arial" w:hint="default"/>
                <w:sz w:val="18"/>
                <w:szCs w:val="18"/>
              </w:rPr>
            </w:pPr>
            <w:r>
              <w:rPr>
                <w:rFonts w:ascii="Arial"/>
                <w:sz w:val="18"/>
              </w:rPr>
              <w:t>90%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Arial" w:hAnsi="Arial" w:cs="Arial" w:eastAsia="Arial" w:hint="default"/>
                <w:sz w:val="18"/>
                <w:szCs w:val="18"/>
              </w:rPr>
            </w:pPr>
            <w:r>
              <w:rPr>
                <w:rFonts w:ascii="Arial"/>
                <w:w w:val="99"/>
                <w:sz w:val="18"/>
              </w:rPr>
              <w:t>-</w:t>
            </w:r>
            <w:r>
              <w:rPr>
                <w:rFonts w:ascii="Arial"/>
                <w:sz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54" w:footer="954" w:top="2240" w:bottom="1140" w:left="2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95"/>
        <w:gridCol w:w="2521"/>
        <w:gridCol w:w="947"/>
        <w:gridCol w:w="1421"/>
        <w:gridCol w:w="1263"/>
        <w:gridCol w:w="1451"/>
        <w:gridCol w:w="1175"/>
        <w:gridCol w:w="586"/>
        <w:gridCol w:w="613"/>
        <w:gridCol w:w="1495"/>
        <w:gridCol w:w="854"/>
        <w:gridCol w:w="953"/>
        <w:gridCol w:w="1389"/>
      </w:tblGrid>
      <w:tr>
        <w:trPr>
          <w:trHeight w:val="69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521"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43"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47" w:type="dxa"/>
            <w:tcBorders>
              <w:top w:val="single" w:sz="6" w:space="0" w:color="000000"/>
              <w:left w:val="nil" w:sz="6" w:space="0" w:color="auto"/>
              <w:bottom w:val="nil" w:sz="6" w:space="0" w:color="auto"/>
              <w:right w:val="nil" w:sz="6" w:space="0" w:color="auto"/>
            </w:tcBorders>
          </w:tcPr>
          <w:p>
            <w:pPr/>
          </w:p>
        </w:tc>
        <w:tc>
          <w:tcPr>
            <w:tcW w:w="1421" w:type="dxa"/>
            <w:tcBorders>
              <w:top w:val="single" w:sz="6" w:space="0" w:color="000000"/>
              <w:left w:val="nil" w:sz="6" w:space="0" w:color="auto"/>
              <w:bottom w:val="nil" w:sz="6" w:space="0" w:color="auto"/>
              <w:right w:val="nil" w:sz="6" w:space="0" w:color="auto"/>
            </w:tcBorders>
          </w:tcPr>
          <w:p>
            <w:pPr/>
          </w:p>
        </w:tc>
        <w:tc>
          <w:tcPr>
            <w:tcW w:w="1263" w:type="dxa"/>
            <w:tcBorders>
              <w:top w:val="single" w:sz="6" w:space="0" w:color="000000"/>
              <w:left w:val="nil" w:sz="6" w:space="0" w:color="auto"/>
              <w:bottom w:val="nil" w:sz="6" w:space="0" w:color="auto"/>
              <w:right w:val="nil" w:sz="6" w:space="0" w:color="auto"/>
            </w:tcBorders>
          </w:tcPr>
          <w:p>
            <w:pPr/>
          </w:p>
        </w:tc>
        <w:tc>
          <w:tcPr>
            <w:tcW w:w="1451" w:type="dxa"/>
            <w:tcBorders>
              <w:top w:val="single" w:sz="6" w:space="0" w:color="000000"/>
              <w:left w:val="nil" w:sz="6" w:space="0" w:color="auto"/>
              <w:bottom w:val="nil" w:sz="6" w:space="0" w:color="auto"/>
              <w:right w:val="nil" w:sz="6" w:space="0" w:color="auto"/>
            </w:tcBorders>
          </w:tcPr>
          <w:p>
            <w:pPr/>
          </w:p>
        </w:tc>
        <w:tc>
          <w:tcPr>
            <w:tcW w:w="1175" w:type="dxa"/>
            <w:tcBorders>
              <w:top w:val="single" w:sz="6" w:space="0" w:color="000000"/>
              <w:left w:val="nil" w:sz="6" w:space="0" w:color="auto"/>
              <w:bottom w:val="nil" w:sz="6" w:space="0" w:color="auto"/>
              <w:right w:val="nil" w:sz="6" w:space="0" w:color="auto"/>
            </w:tcBorders>
          </w:tcPr>
          <w:p>
            <w:pPr/>
          </w:p>
        </w:tc>
        <w:tc>
          <w:tcPr>
            <w:tcW w:w="586" w:type="dxa"/>
            <w:tcBorders>
              <w:top w:val="single" w:sz="6" w:space="0" w:color="000000"/>
              <w:left w:val="nil" w:sz="6" w:space="0" w:color="auto"/>
              <w:bottom w:val="nil" w:sz="6" w:space="0" w:color="auto"/>
              <w:right w:val="nil" w:sz="6" w:space="0" w:color="auto"/>
            </w:tcBorders>
          </w:tcPr>
          <w:p>
            <w:pPr/>
          </w:p>
        </w:tc>
        <w:tc>
          <w:tcPr>
            <w:tcW w:w="613" w:type="dxa"/>
            <w:tcBorders>
              <w:top w:val="single" w:sz="6" w:space="0" w:color="000000"/>
              <w:left w:val="nil" w:sz="6" w:space="0" w:color="auto"/>
              <w:bottom w:val="nil" w:sz="6" w:space="0" w:color="auto"/>
              <w:right w:val="nil" w:sz="6" w:space="0" w:color="auto"/>
            </w:tcBorders>
          </w:tcPr>
          <w:p>
            <w:pPr/>
          </w:p>
        </w:tc>
        <w:tc>
          <w:tcPr>
            <w:tcW w:w="1495" w:type="dxa"/>
            <w:tcBorders>
              <w:top w:val="single" w:sz="6" w:space="0" w:color="000000"/>
              <w:left w:val="nil" w:sz="6" w:space="0" w:color="auto"/>
              <w:bottom w:val="nil" w:sz="6" w:space="0" w:color="auto"/>
              <w:right w:val="nil" w:sz="6" w:space="0" w:color="auto"/>
            </w:tcBorders>
          </w:tcPr>
          <w:p>
            <w:pPr/>
          </w:p>
        </w:tc>
        <w:tc>
          <w:tcPr>
            <w:tcW w:w="854" w:type="dxa"/>
            <w:tcBorders>
              <w:top w:val="single" w:sz="6" w:space="0" w:color="000000"/>
              <w:left w:val="nil" w:sz="6" w:space="0" w:color="auto"/>
              <w:bottom w:val="nil" w:sz="6" w:space="0" w:color="auto"/>
              <w:right w:val="nil" w:sz="6" w:space="0" w:color="auto"/>
            </w:tcBorders>
          </w:tcPr>
          <w:p>
            <w:pPr/>
          </w:p>
        </w:tc>
        <w:tc>
          <w:tcPr>
            <w:tcW w:w="953" w:type="dxa"/>
            <w:tcBorders>
              <w:top w:val="single" w:sz="6" w:space="0" w:color="000000"/>
              <w:left w:val="nil" w:sz="6" w:space="0" w:color="auto"/>
              <w:bottom w:val="nil" w:sz="6" w:space="0" w:color="auto"/>
              <w:right w:val="nil" w:sz="6" w:space="0" w:color="auto"/>
            </w:tcBorders>
          </w:tcPr>
          <w:p>
            <w:pPr/>
          </w:p>
        </w:tc>
        <w:tc>
          <w:tcPr>
            <w:tcW w:w="1389"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94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587"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4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
        </w:tc>
      </w:tr>
      <w:tr>
        <w:trPr>
          <w:trHeight w:val="632"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86"/>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43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63" w:type="dxa"/>
            <w:tcBorders>
              <w:top w:val="nil" w:sz="6" w:space="0" w:color="auto"/>
              <w:left w:val="nil" w:sz="6" w:space="0" w:color="auto"/>
              <w:bottom w:val="nil" w:sz="6" w:space="0" w:color="auto"/>
              <w:right w:val="nil" w:sz="6" w:space="0" w:color="auto"/>
            </w:tcBorders>
          </w:tcPr>
          <w:p>
            <w:pPr>
              <w:pStyle w:val="TableParagraph"/>
              <w:spacing w:line="242" w:lineRule="exact" w:before="108"/>
              <w:ind w:left="516"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2" w:lineRule="exact"/>
              <w:ind w:left="24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1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175" w:type="dxa"/>
            <w:tcBorders>
              <w:top w:val="nil" w:sz="6" w:space="0" w:color="auto"/>
              <w:left w:val="nil" w:sz="6" w:space="0" w:color="auto"/>
              <w:bottom w:val="nil" w:sz="6" w:space="0" w:color="auto"/>
              <w:right w:val="nil" w:sz="6" w:space="0" w:color="auto"/>
            </w:tcBorders>
          </w:tcPr>
          <w:p>
            <w:pPr>
              <w:pStyle w:val="TableParagraph"/>
              <w:spacing w:line="242" w:lineRule="exact" w:before="108"/>
              <w:ind w:left="534"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2" w:lineRule="exact"/>
              <w:ind w:left="25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80" w:right="4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23" w:right="27"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7" w:right="10" w:firstLine="14"/>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5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3" w:right="11"/>
              <w:jc w:val="left"/>
              <w:rPr>
                <w:rFonts w:ascii="宋体" w:hAnsi="宋体" w:cs="宋体" w:eastAsia="宋体" w:hint="default"/>
                <w:sz w:val="18"/>
                <w:szCs w:val="18"/>
              </w:rPr>
            </w:pPr>
            <w:r>
              <w:rPr>
                <w:rFonts w:ascii="宋体" w:hAnsi="宋体" w:cs="宋体" w:eastAsia="宋体" w:hint="default"/>
                <w:spacing w:val="30"/>
                <w:sz w:val="18"/>
                <w:szCs w:val="18"/>
              </w:rPr>
              <w:t>本年计</w:t>
            </w:r>
            <w:r>
              <w:rPr>
                <w:rFonts w:ascii="宋体" w:hAnsi="宋体" w:cs="宋体" w:eastAsia="宋体" w:hint="default"/>
                <w:spacing w:val="-45"/>
                <w:sz w:val="18"/>
                <w:szCs w:val="18"/>
              </w:rPr>
              <w:t> </w:t>
            </w:r>
            <w:r>
              <w:rPr>
                <w:rFonts w:ascii="宋体" w:hAnsi="宋体" w:cs="宋体" w:eastAsia="宋体" w:hint="default"/>
                <w:sz w:val="18"/>
                <w:szCs w:val="18"/>
              </w:rPr>
              <w:t>提</w:t>
            </w:r>
            <w:r>
              <w:rPr>
                <w:rFonts w:ascii="宋体" w:hAnsi="宋体" w:cs="宋体" w:eastAsia="宋体" w:hint="default"/>
                <w:sz w:val="18"/>
                <w:szCs w:val="18"/>
              </w:rPr>
              <w:t> 减值准备</w:t>
            </w:r>
          </w:p>
        </w:tc>
        <w:tc>
          <w:tcPr>
            <w:tcW w:w="1389" w:type="dxa"/>
            <w:tcBorders>
              <w:top w:val="nil" w:sz="6" w:space="0" w:color="auto"/>
              <w:left w:val="nil" w:sz="6" w:space="0" w:color="auto"/>
              <w:bottom w:val="nil" w:sz="6" w:space="0" w:color="auto"/>
              <w:right w:val="nil" w:sz="6" w:space="0" w:color="auto"/>
            </w:tcBorders>
          </w:tcPr>
          <w:p>
            <w:pPr>
              <w:pStyle w:val="TableParagraph"/>
              <w:spacing w:line="235" w:lineRule="exact" w:before="108"/>
              <w:ind w:left="11" w:right="0"/>
              <w:jc w:val="left"/>
              <w:rPr>
                <w:rFonts w:ascii="宋体" w:hAnsi="宋体" w:cs="宋体" w:eastAsia="宋体" w:hint="default"/>
                <w:sz w:val="18"/>
                <w:szCs w:val="18"/>
              </w:rPr>
            </w:pPr>
            <w:r>
              <w:rPr>
                <w:rFonts w:ascii="宋体" w:hAnsi="宋体" w:cs="宋体" w:eastAsia="宋体" w:hint="default"/>
                <w:spacing w:val="16"/>
                <w:sz w:val="18"/>
                <w:szCs w:val="18"/>
              </w:rPr>
              <w:t>本年宣告分派的</w:t>
            </w: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283"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24" w:lineRule="exact"/>
              <w:ind w:left="43" w:right="0"/>
              <w:jc w:val="left"/>
              <w:rPr>
                <w:rFonts w:ascii="宋体" w:hAnsi="宋体" w:cs="宋体" w:eastAsia="宋体" w:hint="default"/>
                <w:sz w:val="18"/>
                <w:szCs w:val="18"/>
              </w:rPr>
            </w:pPr>
            <w:r>
              <w:rPr>
                <w:rFonts w:ascii="宋体" w:hAnsi="宋体" w:cs="宋体" w:eastAsia="宋体" w:hint="default"/>
                <w:sz w:val="18"/>
                <w:szCs w:val="18"/>
              </w:rPr>
              <w:t>山西苏宁电器有限公司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24" w:lineRule="exact"/>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7" w:right="0"/>
              <w:jc w:val="left"/>
              <w:rPr>
                <w:rFonts w:ascii="Arial" w:hAnsi="Arial" w:cs="Arial" w:eastAsia="Arial" w:hint="default"/>
                <w:sz w:val="18"/>
                <w:szCs w:val="18"/>
              </w:rPr>
            </w:pPr>
            <w:r>
              <w:rPr>
                <w:rFonts w:ascii="Arial"/>
                <w:sz w:val="18"/>
              </w:rPr>
              <w:t>25,614</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
              <w:jc w:val="right"/>
              <w:rPr>
                <w:rFonts w:ascii="Arial" w:hAnsi="Arial" w:cs="Arial" w:eastAsia="Arial" w:hint="default"/>
                <w:sz w:val="18"/>
                <w:szCs w:val="18"/>
              </w:rPr>
            </w:pPr>
            <w:r>
              <w:rPr>
                <w:rFonts w:ascii="Arial"/>
                <w:spacing w:val="-1"/>
                <w:sz w:val="18"/>
              </w:rPr>
              <w:t>18,450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6" w:right="0"/>
              <w:jc w:val="left"/>
              <w:rPr>
                <w:rFonts w:ascii="Arial" w:hAnsi="Arial" w:cs="Arial" w:eastAsia="Arial" w:hint="default"/>
                <w:sz w:val="18"/>
                <w:szCs w:val="18"/>
              </w:rPr>
            </w:pPr>
            <w:r>
              <w:rPr>
                <w:rFonts w:ascii="Arial"/>
                <w:sz w:val="18"/>
              </w:rPr>
              <w:t>7,164</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w:hAnsi="Arial" w:cs="Arial" w:eastAsia="Arial" w:hint="default"/>
                <w:sz w:val="18"/>
                <w:szCs w:val="18"/>
              </w:rPr>
            </w:pPr>
            <w:r>
              <w:rPr>
                <w:rFonts w:ascii="Arial"/>
                <w:spacing w:val="-1"/>
                <w:sz w:val="18"/>
              </w:rPr>
              <w:t>25,614</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w:hAnsi="Arial" w:cs="Arial" w:eastAsia="Arial" w:hint="default"/>
                <w:sz w:val="18"/>
                <w:szCs w:val="18"/>
              </w:rPr>
            </w:pPr>
            <w:r>
              <w:rPr>
                <w:rFonts w:ascii="Arial"/>
                <w:w w:val="95"/>
                <w:sz w:val="18"/>
              </w:rPr>
              <w:t>90%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4"/>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西宁苏宁电器有限公司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7" w:right="0"/>
              <w:jc w:val="left"/>
              <w:rPr>
                <w:rFonts w:ascii="Arial" w:hAnsi="Arial" w:cs="Arial" w:eastAsia="Arial" w:hint="default"/>
                <w:sz w:val="18"/>
                <w:szCs w:val="18"/>
              </w:rPr>
            </w:pPr>
            <w:r>
              <w:rPr>
                <w:rFonts w:ascii="Arial"/>
                <w:sz w:val="18"/>
              </w:rPr>
              <w:t>21,600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21,600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1"/>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21,600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海南苏宁电器有限公司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7" w:right="0"/>
              <w:jc w:val="left"/>
              <w:rPr>
                <w:rFonts w:ascii="Arial" w:hAnsi="Arial" w:cs="Arial" w:eastAsia="Arial" w:hint="default"/>
                <w:sz w:val="18"/>
                <w:szCs w:val="18"/>
              </w:rPr>
            </w:pPr>
            <w:r>
              <w:rPr>
                <w:rFonts w:ascii="Arial"/>
                <w:sz w:val="18"/>
              </w:rPr>
              <w:t>20,700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spacing w:val="-1"/>
                <w:sz w:val="18"/>
              </w:rPr>
              <w:t>18,000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46" w:right="0"/>
              <w:jc w:val="left"/>
              <w:rPr>
                <w:rFonts w:ascii="Arial" w:hAnsi="Arial" w:cs="Arial" w:eastAsia="Arial" w:hint="default"/>
                <w:sz w:val="18"/>
                <w:szCs w:val="18"/>
              </w:rPr>
            </w:pPr>
            <w:r>
              <w:rPr>
                <w:rFonts w:ascii="Arial"/>
                <w:sz w:val="18"/>
              </w:rPr>
              <w:t>2,700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20,700</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厦门福厦苏宁电器有限公司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7" w:right="0"/>
              <w:jc w:val="left"/>
              <w:rPr>
                <w:rFonts w:ascii="Arial" w:hAnsi="Arial" w:cs="Arial" w:eastAsia="Arial" w:hint="default"/>
                <w:sz w:val="18"/>
                <w:szCs w:val="18"/>
              </w:rPr>
            </w:pPr>
            <w:r>
              <w:rPr>
                <w:rFonts w:ascii="Arial"/>
                <w:sz w:val="18"/>
              </w:rPr>
              <w:t>20,667</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8"/>
              <w:jc w:val="right"/>
              <w:rPr>
                <w:rFonts w:ascii="Arial" w:hAnsi="Arial" w:cs="Arial" w:eastAsia="Arial" w:hint="default"/>
                <w:sz w:val="18"/>
                <w:szCs w:val="18"/>
              </w:rPr>
            </w:pPr>
            <w:r>
              <w:rPr>
                <w:rFonts w:ascii="Arial"/>
                <w:w w:val="99"/>
                <w:sz w:val="18"/>
              </w:rPr>
              <w:t>-</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7" w:right="0"/>
              <w:jc w:val="left"/>
              <w:rPr>
                <w:rFonts w:ascii="Arial" w:hAnsi="Arial" w:cs="Arial" w:eastAsia="Arial" w:hint="default"/>
                <w:sz w:val="18"/>
                <w:szCs w:val="18"/>
              </w:rPr>
            </w:pPr>
            <w:r>
              <w:rPr>
                <w:rFonts w:ascii="Arial"/>
                <w:sz w:val="18"/>
              </w:rPr>
              <w:t>20,667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20,667</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10%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10%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16" w:lineRule="exact"/>
              <w:ind w:left="43" w:right="0"/>
              <w:jc w:val="left"/>
              <w:rPr>
                <w:rFonts w:ascii="宋体" w:hAnsi="宋体" w:cs="宋体" w:eastAsia="宋体" w:hint="default"/>
                <w:sz w:val="18"/>
                <w:szCs w:val="18"/>
              </w:rPr>
            </w:pPr>
            <w:r>
              <w:rPr>
                <w:rFonts w:ascii="宋体" w:hAnsi="宋体" w:cs="宋体" w:eastAsia="宋体" w:hint="default"/>
                <w:sz w:val="18"/>
                <w:szCs w:val="18"/>
              </w:rPr>
              <w:t>包头苏宁电器有限公司</w:t>
            </w:r>
          </w:p>
        </w:tc>
        <w:tc>
          <w:tcPr>
            <w:tcW w:w="947" w:type="dxa"/>
            <w:tcBorders>
              <w:top w:val="nil" w:sz="6" w:space="0" w:color="auto"/>
              <w:left w:val="nil" w:sz="6" w:space="0" w:color="auto"/>
              <w:bottom w:val="nil" w:sz="6" w:space="0" w:color="auto"/>
              <w:right w:val="nil" w:sz="6" w:space="0" w:color="auto"/>
            </w:tcBorders>
          </w:tcPr>
          <w:p>
            <w:pPr>
              <w:pStyle w:val="TableParagraph"/>
              <w:spacing w:line="216" w:lineRule="exact"/>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7" w:right="0"/>
              <w:jc w:val="left"/>
              <w:rPr>
                <w:rFonts w:ascii="Arial" w:hAnsi="Arial" w:cs="Arial" w:eastAsia="Arial" w:hint="default"/>
                <w:sz w:val="18"/>
                <w:szCs w:val="18"/>
              </w:rPr>
            </w:pPr>
            <w:r>
              <w:rPr>
                <w:rFonts w:ascii="Arial"/>
                <w:sz w:val="18"/>
              </w:rPr>
              <w:t>20,445</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6"/>
              <w:jc w:val="right"/>
              <w:rPr>
                <w:rFonts w:ascii="Arial" w:hAnsi="Arial" w:cs="Arial" w:eastAsia="Arial" w:hint="default"/>
                <w:sz w:val="18"/>
                <w:szCs w:val="18"/>
              </w:rPr>
            </w:pPr>
            <w:r>
              <w:rPr>
                <w:rFonts w:ascii="Arial"/>
                <w:w w:val="95"/>
                <w:sz w:val="18"/>
              </w:rPr>
              <w:t>9,915</w:t>
            </w:r>
            <w:r>
              <w:rPr>
                <w:rFonts w:ascii="Arial"/>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7" w:right="0"/>
              <w:jc w:val="left"/>
              <w:rPr>
                <w:rFonts w:ascii="Arial" w:hAnsi="Arial" w:cs="Arial" w:eastAsia="Arial" w:hint="default"/>
                <w:sz w:val="18"/>
                <w:szCs w:val="18"/>
              </w:rPr>
            </w:pPr>
            <w:r>
              <w:rPr>
                <w:rFonts w:ascii="Arial"/>
                <w:sz w:val="18"/>
              </w:rPr>
              <w:t>10,530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spacing w:val="-1"/>
                <w:sz w:val="18"/>
              </w:rPr>
              <w:t>20,445</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1"/>
              <w:jc w:val="right"/>
              <w:rPr>
                <w:rFonts w:ascii="Arial" w:hAnsi="Arial" w:cs="Arial" w:eastAsia="Arial" w:hint="default"/>
                <w:sz w:val="18"/>
                <w:szCs w:val="18"/>
              </w:rPr>
            </w:pPr>
            <w:r>
              <w:rPr>
                <w:rFonts w:ascii="Arial"/>
                <w:w w:val="95"/>
                <w:sz w:val="18"/>
              </w:rPr>
              <w:t>90%</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w:hAnsi="Arial" w:cs="Arial" w:eastAsia="Arial" w:hint="default"/>
                <w:sz w:val="18"/>
                <w:szCs w:val="18"/>
              </w:rPr>
            </w:pPr>
            <w:r>
              <w:rPr>
                <w:rFonts w:ascii="Arial"/>
                <w:w w:val="95"/>
                <w:sz w:val="18"/>
              </w:rPr>
              <w:t>90%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w:hAnsi="Arial" w:cs="Arial" w:eastAsia="Arial" w:hint="default"/>
                <w:sz w:val="18"/>
                <w:szCs w:val="18"/>
              </w:rPr>
            </w:pPr>
            <w:r>
              <w:rPr>
                <w:rFonts w:ascii="Arial"/>
                <w:w w:val="99"/>
                <w:sz w:val="18"/>
              </w:rPr>
              <w:t>-</w:t>
            </w:r>
            <w:r>
              <w:rPr>
                <w:rFonts w:ascii="Arial"/>
                <w:sz w:val="18"/>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4"/>
              <w:jc w:val="right"/>
              <w:rPr>
                <w:rFonts w:ascii="Arial" w:hAnsi="Arial" w:cs="Arial" w:eastAsia="Arial" w:hint="default"/>
                <w:sz w:val="18"/>
                <w:szCs w:val="18"/>
              </w:rPr>
            </w:pPr>
            <w:r>
              <w:rPr>
                <w:rFonts w:ascii="Arial"/>
                <w:w w:val="99"/>
                <w:sz w:val="18"/>
              </w:rPr>
              <w:t>-</w:t>
            </w:r>
            <w:r>
              <w:rPr>
                <w:rFonts w:ascii="Arial"/>
                <w:sz w:val="18"/>
              </w:rPr>
            </w:r>
          </w:p>
        </w:tc>
      </w:tr>
      <w:tr>
        <w:trPr>
          <w:trHeight w:val="743"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195" w:lineRule="exact"/>
              <w:ind w:left="43" w:right="0"/>
              <w:jc w:val="left"/>
              <w:rPr>
                <w:rFonts w:ascii="宋体" w:hAnsi="宋体" w:cs="宋体" w:eastAsia="宋体" w:hint="default"/>
                <w:sz w:val="18"/>
                <w:szCs w:val="18"/>
              </w:rPr>
            </w:pPr>
            <w:r>
              <w:rPr>
                <w:rFonts w:ascii="宋体" w:hAnsi="宋体" w:cs="宋体" w:eastAsia="宋体" w:hint="default"/>
                <w:sz w:val="18"/>
                <w:szCs w:val="18"/>
              </w:rPr>
              <w:t>其他子公司</w:t>
            </w:r>
          </w:p>
          <w:p>
            <w:pPr>
              <w:pStyle w:val="TableParagraph"/>
              <w:spacing w:line="232" w:lineRule="exact" w:before="24"/>
              <w:ind w:left="232" w:right="426"/>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单个公司投资成本小于</w:t>
            </w:r>
            <w:r>
              <w:rPr>
                <w:rFonts w:ascii="宋体" w:hAnsi="宋体" w:cs="宋体" w:eastAsia="宋体" w:hint="default"/>
                <w:w w:val="99"/>
                <w:sz w:val="18"/>
                <w:szCs w:val="18"/>
              </w:rPr>
              <w:t> </w:t>
            </w:r>
            <w:r>
              <w:rPr>
                <w:rFonts w:ascii="宋体" w:hAnsi="宋体" w:cs="宋体" w:eastAsia="宋体" w:hint="default"/>
                <w:sz w:val="18"/>
                <w:szCs w:val="18"/>
              </w:rPr>
              <w:t>人民币 </w:t>
            </w:r>
            <w:r>
              <w:rPr>
                <w:rFonts w:ascii="Arial" w:hAnsi="Arial" w:cs="Arial" w:eastAsia="Arial" w:hint="default"/>
                <w:sz w:val="18"/>
                <w:szCs w:val="18"/>
              </w:rPr>
              <w:t>2,000</w:t>
            </w:r>
            <w:r>
              <w:rPr>
                <w:rFonts w:ascii="Arial" w:hAnsi="Arial" w:cs="Arial" w:eastAsia="Arial" w:hint="default"/>
                <w:spacing w:val="-5"/>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成本法</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369" w:val="left" w:leader="none"/>
                <w:tab w:pos="1910" w:val="left" w:leader="none"/>
              </w:tabs>
              <w:spacing w:line="240" w:lineRule="auto"/>
              <w:ind w:left="14" w:right="-49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1,175,690</w:t>
            </w:r>
            <w:r>
              <w:rPr>
                <w:rFonts w:ascii="Arial"/>
                <w:sz w:val="18"/>
              </w:rPr>
              <w:t> </w:t>
            </w:r>
            <w:r>
              <w:rPr>
                <w:rFonts w:ascii="Arial"/>
                <w:spacing w:val="1"/>
                <w:sz w:val="18"/>
              </w:rPr>
              <w:t> </w:t>
            </w:r>
            <w:r>
              <w:rPr>
                <w:rFonts w:ascii="Arial"/>
                <w:spacing w:val="1"/>
                <w:w w:val="100"/>
                <w:sz w:val="18"/>
              </w:rPr>
            </w:r>
            <w:r>
              <w:rPr>
                <w:rFonts w:ascii="Arial"/>
                <w:w w:val="100"/>
                <w:sz w:val="18"/>
                <w:u w:val="single" w:color="000000"/>
              </w:rPr>
              <w:t> </w:t>
            </w:r>
            <w:r>
              <w:rPr>
                <w:rFonts w:ascii="Arial"/>
                <w:sz w:val="18"/>
                <w:u w:val="single" w:color="000000"/>
              </w:rPr>
              <w:tab/>
            </w:r>
            <w:r>
              <w:rPr>
                <w:rFonts w:ascii="Arial"/>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118"/>
              <w:jc w:val="right"/>
              <w:rPr>
                <w:rFonts w:ascii="Arial" w:hAnsi="Arial" w:cs="Arial" w:eastAsia="Arial" w:hint="default"/>
                <w:sz w:val="18"/>
                <w:szCs w:val="18"/>
              </w:rPr>
            </w:pPr>
            <w:r>
              <w:rPr>
                <w:rFonts w:ascii="Arial"/>
                <w:w w:val="99"/>
                <w:sz w:val="18"/>
              </w:rPr>
            </w:r>
            <w:r>
              <w:rPr>
                <w:rFonts w:ascii="Arial"/>
                <w:spacing w:val="-1"/>
                <w:sz w:val="18"/>
                <w:u w:val="single" w:color="000000"/>
              </w:rPr>
              <w:t>780,122</w:t>
            </w:r>
            <w:r>
              <w:rPr>
                <w:rFonts w:ascii="Arial"/>
                <w:spacing w:val="-1"/>
                <w:sz w:val="18"/>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544" w:val="left" w:leader="none"/>
                <w:tab w:pos="1795" w:val="left" w:leader="none"/>
              </w:tabs>
              <w:spacing w:line="240" w:lineRule="auto"/>
              <w:ind w:left="-15" w:right="-345"/>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395,568</w:t>
            </w:r>
            <w:r>
              <w:rPr>
                <w:rFonts w:ascii="Arial"/>
                <w:sz w:val="18"/>
              </w:rPr>
              <w:t> </w:t>
            </w:r>
            <w:r>
              <w:rPr>
                <w:rFonts w:ascii="Arial"/>
                <w:spacing w:val="4"/>
                <w:sz w:val="18"/>
              </w:rPr>
              <w:t> </w:t>
            </w:r>
            <w:r>
              <w:rPr>
                <w:rFonts w:ascii="Arial"/>
                <w:spacing w:val="4"/>
                <w:w w:val="100"/>
                <w:sz w:val="18"/>
              </w:rPr>
            </w:r>
            <w:r>
              <w:rPr>
                <w:rFonts w:ascii="Arial"/>
                <w:w w:val="100"/>
                <w:sz w:val="18"/>
                <w:u w:val="single" w:color="000000"/>
              </w:rPr>
              <w:t> </w:t>
            </w:r>
            <w:r>
              <w:rPr>
                <w:rFonts w:ascii="Arial"/>
                <w:sz w:val="18"/>
                <w:u w:val="single" w:color="000000"/>
              </w:rPr>
              <w:tab/>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r>
            <w:r>
              <w:rPr>
                <w:rFonts w:ascii="Arial"/>
                <w:spacing w:val="-1"/>
                <w:sz w:val="18"/>
                <w:u w:val="single" w:color="000000"/>
              </w:rPr>
              <w:t>1,175,690</w:t>
            </w:r>
            <w:r>
              <w:rPr>
                <w:rFonts w:ascii="Arial"/>
                <w:spacing w:val="-1"/>
                <w:sz w:val="18"/>
              </w:rPr>
            </w:r>
          </w:p>
        </w:tc>
        <w:tc>
          <w:tcPr>
            <w:tcW w:w="586"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710" w:val="left" w:leader="none"/>
                <w:tab w:pos="825" w:val="left" w:leader="none"/>
              </w:tabs>
              <w:spacing w:line="240" w:lineRule="auto"/>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681" w:val="left" w:leader="none"/>
                <w:tab w:pos="806" w:val="left" w:leader="none"/>
              </w:tabs>
              <w:spacing w:line="240" w:lineRule="auto"/>
              <w:ind w:right="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821" w:val="left" w:leader="none"/>
              </w:tabs>
              <w:spacing w:line="240" w:lineRule="auto"/>
              <w:ind w:left="-17"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3,902</w:t>
            </w:r>
            <w:r>
              <w:rPr>
                <w:rFonts w:ascii="Arial"/>
                <w:w w:val="95"/>
                <w:sz w:val="18"/>
              </w:rPr>
            </w:r>
            <w:r>
              <w:rPr>
                <w:rFonts w:ascii="Arial"/>
                <w:sz w:val="18"/>
              </w:rPr>
            </w:r>
          </w:p>
        </w:tc>
      </w:tr>
      <w:tr>
        <w:trPr>
          <w:trHeight w:val="255" w:hRule="exact"/>
        </w:trPr>
        <w:tc>
          <w:tcPr>
            <w:tcW w:w="795"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369" w:right="0"/>
              <w:jc w:val="left"/>
              <w:rPr>
                <w:rFonts w:ascii="Arial" w:hAnsi="Arial" w:cs="Arial" w:eastAsia="Arial" w:hint="default"/>
                <w:sz w:val="18"/>
                <w:szCs w:val="18"/>
              </w:rPr>
            </w:pPr>
            <w:r>
              <w:rPr>
                <w:rFonts w:ascii="Arial"/>
                <w:sz w:val="18"/>
              </w:rPr>
              <w:t>8,174,732</w:t>
            </w:r>
          </w:p>
        </w:tc>
        <w:tc>
          <w:tcPr>
            <w:tcW w:w="126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16"/>
              <w:jc w:val="right"/>
              <w:rPr>
                <w:rFonts w:ascii="Arial" w:hAnsi="Arial" w:cs="Arial" w:eastAsia="Arial" w:hint="default"/>
                <w:sz w:val="18"/>
                <w:szCs w:val="18"/>
              </w:rPr>
            </w:pPr>
            <w:r>
              <w:rPr>
                <w:rFonts w:ascii="Arial"/>
                <w:spacing w:val="-1"/>
                <w:sz w:val="18"/>
              </w:rPr>
              <w:t>5,945,793</w:t>
            </w:r>
          </w:p>
        </w:tc>
        <w:tc>
          <w:tcPr>
            <w:tcW w:w="1451"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395" w:right="0"/>
              <w:jc w:val="left"/>
              <w:rPr>
                <w:rFonts w:ascii="Arial" w:hAnsi="Arial" w:cs="Arial" w:eastAsia="Arial" w:hint="default"/>
                <w:sz w:val="18"/>
                <w:szCs w:val="18"/>
              </w:rPr>
            </w:pPr>
            <w:r>
              <w:rPr>
                <w:rFonts w:ascii="Arial"/>
                <w:sz w:val="18"/>
              </w:rPr>
              <w:t>2,228,939</w:t>
            </w:r>
          </w:p>
        </w:tc>
        <w:tc>
          <w:tcPr>
            <w:tcW w:w="117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5"/>
              <w:jc w:val="right"/>
              <w:rPr>
                <w:rFonts w:ascii="Arial" w:hAnsi="Arial" w:cs="Arial" w:eastAsia="Arial" w:hint="default"/>
                <w:sz w:val="18"/>
                <w:szCs w:val="18"/>
              </w:rPr>
            </w:pPr>
            <w:r>
              <w:rPr>
                <w:rFonts w:ascii="Arial"/>
                <w:spacing w:val="-1"/>
                <w:sz w:val="18"/>
              </w:rPr>
              <w:t>8,174,732</w:t>
            </w:r>
          </w:p>
        </w:tc>
        <w:tc>
          <w:tcPr>
            <w:tcW w:w="586"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96"/>
              <w:jc w:val="right"/>
              <w:rPr>
                <w:rFonts w:ascii="Arial" w:hAnsi="Arial" w:cs="Arial" w:eastAsia="Arial" w:hint="default"/>
                <w:sz w:val="18"/>
                <w:szCs w:val="18"/>
              </w:rPr>
            </w:pPr>
            <w:r>
              <w:rPr>
                <w:rFonts w:ascii="Arial"/>
                <w:w w:val="99"/>
                <w:sz w:val="18"/>
              </w:rPr>
              <w:t>-</w:t>
            </w:r>
            <w:r>
              <w:rPr>
                <w:rFonts w:ascii="Arial"/>
                <w:sz w:val="18"/>
              </w:rPr>
            </w:r>
          </w:p>
        </w:tc>
        <w:tc>
          <w:tcPr>
            <w:tcW w:w="95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39"/>
              <w:jc w:val="right"/>
              <w:rPr>
                <w:rFonts w:ascii="Arial" w:hAnsi="Arial" w:cs="Arial" w:eastAsia="Arial" w:hint="default"/>
                <w:sz w:val="18"/>
                <w:szCs w:val="18"/>
              </w:rPr>
            </w:pPr>
            <w:r>
              <w:rPr>
                <w:rFonts w:ascii="Arial"/>
                <w:w w:val="99"/>
                <w:sz w:val="18"/>
              </w:rPr>
              <w:t>-</w:t>
            </w:r>
            <w:r>
              <w:rPr>
                <w:rFonts w:ascii="Arial"/>
                <w:sz w:val="18"/>
              </w:rPr>
            </w:r>
          </w:p>
        </w:tc>
        <w:tc>
          <w:tcPr>
            <w:tcW w:w="138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13"/>
              <w:jc w:val="right"/>
              <w:rPr>
                <w:rFonts w:ascii="Arial" w:hAnsi="Arial" w:cs="Arial" w:eastAsia="Arial" w:hint="default"/>
                <w:sz w:val="18"/>
                <w:szCs w:val="18"/>
              </w:rPr>
            </w:pPr>
            <w:r>
              <w:rPr>
                <w:rFonts w:ascii="Arial"/>
                <w:w w:val="95"/>
                <w:sz w:val="18"/>
              </w:rPr>
              <w:t>3,902</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754" w:footer="954" w:top="2240" w:bottom="1140" w:left="2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793"/>
        <w:gridCol w:w="1310"/>
        <w:gridCol w:w="971"/>
        <w:gridCol w:w="1082"/>
        <w:gridCol w:w="1660"/>
        <w:gridCol w:w="1307"/>
        <w:gridCol w:w="1654"/>
        <w:gridCol w:w="636"/>
        <w:gridCol w:w="673"/>
        <w:gridCol w:w="1526"/>
        <w:gridCol w:w="1097"/>
        <w:gridCol w:w="985"/>
        <w:gridCol w:w="1432"/>
      </w:tblGrid>
      <w:tr>
        <w:trPr>
          <w:trHeight w:val="69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3363"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40"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660" w:type="dxa"/>
            <w:tcBorders>
              <w:top w:val="single" w:sz="6" w:space="0" w:color="000000"/>
              <w:left w:val="nil" w:sz="6" w:space="0" w:color="auto"/>
              <w:bottom w:val="nil" w:sz="6" w:space="0" w:color="auto"/>
              <w:right w:val="nil" w:sz="6" w:space="0" w:color="auto"/>
            </w:tcBorders>
          </w:tcPr>
          <w:p>
            <w:pPr/>
          </w:p>
        </w:tc>
        <w:tc>
          <w:tcPr>
            <w:tcW w:w="1307" w:type="dxa"/>
            <w:tcBorders>
              <w:top w:val="single" w:sz="6" w:space="0" w:color="000000"/>
              <w:left w:val="nil" w:sz="6" w:space="0" w:color="auto"/>
              <w:bottom w:val="nil" w:sz="6" w:space="0" w:color="auto"/>
              <w:right w:val="nil" w:sz="6" w:space="0" w:color="auto"/>
            </w:tcBorders>
          </w:tcPr>
          <w:p>
            <w:pPr/>
          </w:p>
        </w:tc>
        <w:tc>
          <w:tcPr>
            <w:tcW w:w="1654" w:type="dxa"/>
            <w:tcBorders>
              <w:top w:val="single" w:sz="6" w:space="0" w:color="000000"/>
              <w:left w:val="nil" w:sz="6" w:space="0" w:color="auto"/>
              <w:bottom w:val="nil" w:sz="6" w:space="0" w:color="auto"/>
              <w:right w:val="nil" w:sz="6" w:space="0" w:color="auto"/>
            </w:tcBorders>
          </w:tcPr>
          <w:p>
            <w:pPr/>
          </w:p>
        </w:tc>
        <w:tc>
          <w:tcPr>
            <w:tcW w:w="636" w:type="dxa"/>
            <w:tcBorders>
              <w:top w:val="single" w:sz="6" w:space="0" w:color="000000"/>
              <w:left w:val="nil" w:sz="6" w:space="0" w:color="auto"/>
              <w:bottom w:val="nil" w:sz="6" w:space="0" w:color="auto"/>
              <w:right w:val="nil" w:sz="6" w:space="0" w:color="auto"/>
            </w:tcBorders>
          </w:tcPr>
          <w:p>
            <w:pPr/>
          </w:p>
        </w:tc>
        <w:tc>
          <w:tcPr>
            <w:tcW w:w="673" w:type="dxa"/>
            <w:tcBorders>
              <w:top w:val="single" w:sz="6" w:space="0" w:color="000000"/>
              <w:left w:val="nil" w:sz="6" w:space="0" w:color="auto"/>
              <w:bottom w:val="nil" w:sz="6" w:space="0" w:color="auto"/>
              <w:right w:val="nil" w:sz="6" w:space="0" w:color="auto"/>
            </w:tcBorders>
          </w:tcPr>
          <w:p>
            <w:pPr/>
          </w:p>
        </w:tc>
        <w:tc>
          <w:tcPr>
            <w:tcW w:w="1526" w:type="dxa"/>
            <w:tcBorders>
              <w:top w:val="single" w:sz="6" w:space="0" w:color="000000"/>
              <w:left w:val="nil" w:sz="6" w:space="0" w:color="auto"/>
              <w:bottom w:val="nil" w:sz="6" w:space="0" w:color="auto"/>
              <w:right w:val="nil" w:sz="6" w:space="0" w:color="auto"/>
            </w:tcBorders>
          </w:tcPr>
          <w:p>
            <w:pPr/>
          </w:p>
        </w:tc>
        <w:tc>
          <w:tcPr>
            <w:tcW w:w="1097" w:type="dxa"/>
            <w:tcBorders>
              <w:top w:val="single" w:sz="6" w:space="0" w:color="000000"/>
              <w:left w:val="nil" w:sz="6" w:space="0" w:color="auto"/>
              <w:bottom w:val="nil" w:sz="6" w:space="0" w:color="auto"/>
              <w:right w:val="nil" w:sz="6" w:space="0" w:color="auto"/>
            </w:tcBorders>
          </w:tcPr>
          <w:p>
            <w:pPr/>
          </w:p>
        </w:tc>
        <w:tc>
          <w:tcPr>
            <w:tcW w:w="985" w:type="dxa"/>
            <w:tcBorders>
              <w:top w:val="single" w:sz="6" w:space="0" w:color="000000"/>
              <w:left w:val="nil" w:sz="6" w:space="0" w:color="auto"/>
              <w:bottom w:val="nil" w:sz="6" w:space="0" w:color="auto"/>
              <w:right w:val="nil" w:sz="6" w:space="0" w:color="auto"/>
            </w:tcBorders>
          </w:tcPr>
          <w:p>
            <w:pPr/>
          </w:p>
        </w:tc>
        <w:tc>
          <w:tcPr>
            <w:tcW w:w="1432"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(3)</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40" w:right="0"/>
              <w:jc w:val="left"/>
              <w:rPr>
                <w:rFonts w:ascii="Arial" w:hAnsi="Arial" w:cs="Arial" w:eastAsia="Arial" w:hint="default"/>
                <w:sz w:val="24"/>
                <w:szCs w:val="24"/>
              </w:rPr>
            </w:pPr>
            <w:r>
              <w:rPr>
                <w:rFonts w:ascii="宋体" w:hAnsi="宋体" w:cs="宋体" w:eastAsia="宋体" w:hint="default"/>
                <w:b/>
                <w:bCs/>
                <w:sz w:val="24"/>
                <w:szCs w:val="24"/>
              </w:rPr>
              <w:t>长期股权投资</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08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r>
      <w:tr>
        <w:trPr>
          <w:trHeight w:val="61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(b)</w:t>
            </w: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40" w:right="0"/>
              <w:jc w:val="left"/>
              <w:rPr>
                <w:rFonts w:ascii="宋体" w:hAnsi="宋体" w:cs="宋体" w:eastAsia="宋体" w:hint="default"/>
                <w:sz w:val="24"/>
                <w:szCs w:val="24"/>
              </w:rPr>
            </w:pPr>
            <w:r>
              <w:rPr>
                <w:rFonts w:ascii="宋体" w:hAnsi="宋体" w:cs="宋体" w:eastAsia="宋体" w:hint="default"/>
                <w:sz w:val="24"/>
                <w:szCs w:val="24"/>
              </w:rPr>
              <w:t>其他长期股权投资</w:t>
            </w:r>
          </w:p>
        </w:tc>
        <w:tc>
          <w:tcPr>
            <w:tcW w:w="108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r>
      <w:tr>
        <w:trPr>
          <w:trHeight w:val="766" w:hRule="exact"/>
        </w:trPr>
        <w:tc>
          <w:tcPr>
            <w:tcW w:w="79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7" w:right="254"/>
              <w:jc w:val="right"/>
              <w:rPr>
                <w:rFonts w:ascii="宋体" w:hAnsi="宋体" w:cs="宋体" w:eastAsia="宋体" w:hint="default"/>
                <w:sz w:val="18"/>
                <w:szCs w:val="18"/>
              </w:rPr>
            </w:pPr>
            <w:r>
              <w:rPr>
                <w:rFonts w:ascii="宋体" w:hAnsi="宋体" w:cs="宋体" w:eastAsia="宋体" w:hint="default"/>
                <w:sz w:val="18"/>
                <w:szCs w:val="18"/>
              </w:rPr>
              <w:t>核算方法</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201" w:right="7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252" w:right="59" w:hanging="18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58" w:right="26"/>
              <w:jc w:val="left"/>
              <w:rPr>
                <w:rFonts w:ascii="宋体" w:hAnsi="宋体" w:cs="宋体" w:eastAsia="宋体" w:hint="default"/>
                <w:sz w:val="18"/>
                <w:szCs w:val="18"/>
              </w:rPr>
            </w:pPr>
            <w:r>
              <w:rPr>
                <w:rFonts w:ascii="宋体" w:hAnsi="宋体" w:cs="宋体" w:eastAsia="宋体" w:hint="default"/>
                <w:sz w:val="18"/>
                <w:szCs w:val="18"/>
              </w:rPr>
              <w:t>持股比例与表决权 比例不一致的说明</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120" w:right="143"/>
              <w:jc w:val="left"/>
              <w:rPr>
                <w:rFonts w:ascii="宋体" w:hAnsi="宋体" w:cs="宋体" w:eastAsia="宋体" w:hint="default"/>
                <w:sz w:val="18"/>
                <w:szCs w:val="18"/>
              </w:rPr>
            </w:pPr>
            <w:r>
              <w:rPr>
                <w:rFonts w:ascii="宋体" w:hAnsi="宋体" w:cs="宋体" w:eastAsia="宋体" w:hint="default"/>
                <w:sz w:val="18"/>
                <w:szCs w:val="18"/>
              </w:rPr>
              <w:t>本年计提 减值准备</w:t>
            </w:r>
          </w:p>
        </w:tc>
        <w:tc>
          <w:tcPr>
            <w:tcW w:w="1432" w:type="dxa"/>
            <w:tcBorders>
              <w:top w:val="nil" w:sz="6" w:space="0" w:color="auto"/>
              <w:left w:val="nil" w:sz="6" w:space="0" w:color="auto"/>
              <w:bottom w:val="nil" w:sz="6" w:space="0" w:color="auto"/>
              <w:right w:val="nil" w:sz="6" w:space="0" w:color="auto"/>
            </w:tcBorders>
          </w:tcPr>
          <w:p>
            <w:pPr>
              <w:pStyle w:val="TableParagraph"/>
              <w:spacing w:line="234" w:lineRule="exact" w:before="151"/>
              <w:ind w:left="145" w:right="0"/>
              <w:jc w:val="left"/>
              <w:rPr>
                <w:rFonts w:ascii="宋体" w:hAnsi="宋体" w:cs="宋体" w:eastAsia="宋体" w:hint="default"/>
                <w:sz w:val="18"/>
                <w:szCs w:val="18"/>
              </w:rPr>
            </w:pPr>
            <w:r>
              <w:rPr>
                <w:rFonts w:ascii="宋体" w:hAnsi="宋体" w:cs="宋体" w:eastAsia="宋体" w:hint="default"/>
                <w:sz w:val="18"/>
                <w:szCs w:val="18"/>
              </w:rPr>
              <w:t>本年宣告分派的</w:t>
            </w:r>
          </w:p>
          <w:p>
            <w:pPr>
              <w:pStyle w:val="TableParagraph"/>
              <w:spacing w:line="234" w:lineRule="exact"/>
              <w:ind w:left="685" w:right="0"/>
              <w:jc w:val="left"/>
              <w:rPr>
                <w:rFonts w:ascii="宋体" w:hAnsi="宋体" w:cs="宋体" w:eastAsia="宋体" w:hint="default"/>
                <w:sz w:val="18"/>
                <w:szCs w:val="18"/>
              </w:rPr>
            </w:pPr>
            <w:r>
              <w:rPr>
                <w:rFonts w:ascii="宋体" w:hAnsi="宋体" w:cs="宋体" w:eastAsia="宋体" w:hint="default"/>
                <w:sz w:val="18"/>
                <w:szCs w:val="18"/>
              </w:rPr>
              <w:t>现金股利</w:t>
            </w:r>
          </w:p>
        </w:tc>
      </w:tr>
      <w:tr>
        <w:trPr>
          <w:trHeight w:val="823" w:hRule="exact"/>
        </w:trPr>
        <w:tc>
          <w:tcPr>
            <w:tcW w:w="79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32" w:lineRule="exact" w:before="106"/>
              <w:ind w:left="220" w:right="172" w:hanging="180"/>
              <w:jc w:val="left"/>
              <w:rPr>
                <w:rFonts w:ascii="宋体" w:hAnsi="宋体" w:cs="宋体" w:eastAsia="宋体" w:hint="default"/>
                <w:sz w:val="18"/>
                <w:szCs w:val="18"/>
              </w:rPr>
            </w:pPr>
            <w:r>
              <w:rPr>
                <w:rFonts w:ascii="宋体" w:hAnsi="宋体" w:cs="宋体" w:eastAsia="宋体" w:hint="default"/>
                <w:spacing w:val="2"/>
                <w:sz w:val="18"/>
                <w:szCs w:val="18"/>
              </w:rPr>
              <w:t>南京苏宁工程 </w:t>
            </w:r>
            <w:r>
              <w:rPr>
                <w:rFonts w:ascii="宋体" w:hAnsi="宋体" w:cs="宋体" w:eastAsia="宋体" w:hint="default"/>
                <w:sz w:val="18"/>
                <w:szCs w:val="18"/>
              </w:rPr>
              <w:t>设备销售</w:t>
            </w:r>
          </w:p>
          <w:p>
            <w:pPr>
              <w:pStyle w:val="TableParagraph"/>
              <w:spacing w:line="214" w:lineRule="exact"/>
              <w:ind w:left="4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07"/>
              <w:ind w:left="436"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371" w:right="0"/>
              <w:jc w:val="left"/>
              <w:rPr>
                <w:rFonts w:ascii="宋体" w:hAnsi="宋体" w:cs="宋体" w:eastAsia="宋体" w:hint="default"/>
                <w:sz w:val="18"/>
                <w:szCs w:val="18"/>
              </w:rPr>
            </w:pPr>
            <w:r>
              <w:rPr>
                <w:rFonts w:ascii="Arial" w:hAnsi="Arial" w:cs="Arial" w:eastAsia="Arial" w:hint="default"/>
                <w:sz w:val="18"/>
                <w:szCs w:val="18"/>
              </w:rPr>
              <w:t>83</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9"/>
              <w:jc w:val="right"/>
              <w:rPr>
                <w:rFonts w:ascii="Arial" w:hAnsi="Arial" w:cs="Arial" w:eastAsia="Arial" w:hint="default"/>
                <w:sz w:val="18"/>
                <w:szCs w:val="18"/>
              </w:rPr>
            </w:pPr>
            <w:r>
              <w:rPr>
                <w:rFonts w:ascii="Arial"/>
                <w:w w:val="95"/>
                <w:sz w:val="18"/>
              </w:rPr>
              <w:t>993</w:t>
            </w:r>
            <w:r>
              <w:rPr>
                <w:rFonts w:ascii="Arial"/>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3"/>
              <w:jc w:val="right"/>
              <w:rPr>
                <w:rFonts w:ascii="Arial" w:hAnsi="Arial" w:cs="Arial" w:eastAsia="Arial" w:hint="default"/>
                <w:sz w:val="18"/>
                <w:szCs w:val="18"/>
              </w:rPr>
            </w:pPr>
            <w:r>
              <w:rPr>
                <w:rFonts w:ascii="Arial"/>
                <w:w w:val="99"/>
                <w:sz w:val="18"/>
              </w:rPr>
              <w:t>-</w:t>
            </w:r>
            <w:r>
              <w:rPr>
                <w:rFonts w:ascii="Arial"/>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w w:val="95"/>
                <w:sz w:val="18"/>
              </w:rPr>
              <w:t>993</w:t>
            </w:r>
            <w:r>
              <w:rPr>
                <w:rFonts w:ascii="Arial"/>
                <w:sz w:val="18"/>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0"/>
              <w:jc w:val="right"/>
              <w:rPr>
                <w:rFonts w:ascii="Arial" w:hAnsi="Arial" w:cs="Arial" w:eastAsia="Arial" w:hint="default"/>
                <w:sz w:val="18"/>
                <w:szCs w:val="18"/>
              </w:rPr>
            </w:pPr>
            <w:r>
              <w:rPr>
                <w:rFonts w:ascii="Arial"/>
                <w:w w:val="95"/>
                <w:sz w:val="18"/>
              </w:rPr>
              <w:t>10%</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93" w:right="0"/>
              <w:jc w:val="center"/>
              <w:rPr>
                <w:rFonts w:ascii="Arial" w:hAnsi="Arial" w:cs="Arial" w:eastAsia="Arial" w:hint="default"/>
                <w:sz w:val="18"/>
                <w:szCs w:val="18"/>
              </w:rPr>
            </w:pPr>
            <w:r>
              <w:rPr>
                <w:rFonts w:ascii="Arial"/>
                <w:sz w:val="18"/>
              </w:rPr>
              <w:t>10%</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68" w:hRule="exact"/>
        </w:trPr>
        <w:tc>
          <w:tcPr>
            <w:tcW w:w="79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195" w:lineRule="exact"/>
              <w:ind w:right="131"/>
              <w:jc w:val="center"/>
              <w:rPr>
                <w:rFonts w:ascii="宋体" w:hAnsi="宋体" w:cs="宋体" w:eastAsia="宋体" w:hint="default"/>
                <w:sz w:val="18"/>
                <w:szCs w:val="18"/>
              </w:rPr>
            </w:pPr>
            <w:r>
              <w:rPr>
                <w:rFonts w:ascii="宋体" w:hAnsi="宋体" w:cs="宋体" w:eastAsia="宋体" w:hint="default"/>
                <w:spacing w:val="2"/>
                <w:sz w:val="18"/>
                <w:szCs w:val="18"/>
              </w:rPr>
              <w:t>江苏银行股份</w:t>
            </w:r>
            <w:r>
              <w:rPr>
                <w:rFonts w:ascii="宋体" w:hAnsi="宋体" w:cs="宋体" w:eastAsia="宋体" w:hint="default"/>
                <w:sz w:val="18"/>
                <w:szCs w:val="18"/>
              </w:rPr>
            </w:r>
          </w:p>
          <w:p>
            <w:pPr>
              <w:pStyle w:val="TableParagraph"/>
              <w:spacing w:line="240" w:lineRule="auto"/>
              <w:ind w:right="146"/>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2" w:type="dxa"/>
            <w:tcBorders>
              <w:top w:val="nil" w:sz="6" w:space="0" w:color="auto"/>
              <w:left w:val="nil" w:sz="6" w:space="0" w:color="auto"/>
              <w:bottom w:val="nil" w:sz="6" w:space="0" w:color="auto"/>
              <w:right w:val="nil" w:sz="6" w:space="0" w:color="auto"/>
            </w:tcBorders>
          </w:tcPr>
          <w:p>
            <w:pPr>
              <w:pStyle w:val="TableParagraph"/>
              <w:spacing w:line="195" w:lineRule="exact"/>
              <w:ind w:left="218"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ind w:left="218" w:right="0"/>
              <w:jc w:val="center"/>
              <w:rPr>
                <w:rFonts w:ascii="宋体" w:hAnsi="宋体" w:cs="宋体" w:eastAsia="宋体" w:hint="default"/>
                <w:sz w:val="18"/>
                <w:szCs w:val="18"/>
              </w:rPr>
            </w:pPr>
            <w:r>
              <w:rPr>
                <w:rFonts w:ascii="Arial" w:hAnsi="Arial" w:cs="Arial" w:eastAsia="Arial" w:hint="default"/>
                <w:sz w:val="18"/>
                <w:szCs w:val="18"/>
              </w:rPr>
              <w:t>5.4</w:t>
            </w:r>
            <w:r>
              <w:rPr>
                <w:rFonts w:ascii="Arial" w:hAnsi="Arial" w:cs="Arial" w:eastAsia="Arial" w:hint="default"/>
                <w:spacing w:val="-4"/>
                <w:sz w:val="18"/>
                <w:szCs w:val="18"/>
              </w:rPr>
              <w:t> </w:t>
            </w:r>
            <w:r>
              <w:rPr>
                <w:rFonts w:ascii="宋体" w:hAnsi="宋体" w:cs="宋体" w:eastAsia="宋体" w:hint="default"/>
                <w:sz w:val="18"/>
                <w:szCs w:val="18"/>
              </w:rPr>
              <w:t>亿元</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60"/>
              <w:jc w:val="right"/>
              <w:rPr>
                <w:rFonts w:ascii="Arial" w:hAnsi="Arial" w:cs="Arial" w:eastAsia="Arial" w:hint="default"/>
                <w:sz w:val="18"/>
                <w:szCs w:val="18"/>
              </w:rPr>
            </w:pPr>
            <w:r>
              <w:rPr>
                <w:rFonts w:ascii="Arial"/>
                <w:spacing w:val="-1"/>
                <w:sz w:val="18"/>
              </w:rPr>
              <w:t>540,000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w w:val="99"/>
                <w:sz w:val="18"/>
              </w:rPr>
              <w:t>-</w:t>
            </w:r>
            <w:r>
              <w:rPr>
                <w:rFonts w:ascii="Arial"/>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540,000</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71"/>
              <w:jc w:val="right"/>
              <w:rPr>
                <w:rFonts w:ascii="Arial" w:hAnsi="Arial" w:cs="Arial" w:eastAsia="Arial" w:hint="default"/>
                <w:sz w:val="18"/>
                <w:szCs w:val="18"/>
              </w:rPr>
            </w:pPr>
            <w:r>
              <w:rPr>
                <w:rFonts w:ascii="Arial"/>
                <w:w w:val="95"/>
                <w:sz w:val="18"/>
              </w:rPr>
              <w:t>1.79%</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Arial" w:hAnsi="Arial" w:cs="Arial" w:eastAsia="Arial" w:hint="default"/>
                <w:sz w:val="18"/>
                <w:szCs w:val="18"/>
              </w:rPr>
            </w:pPr>
            <w:r>
              <w:rPr>
                <w:rFonts w:ascii="Arial"/>
                <w:sz w:val="18"/>
              </w:rPr>
              <w:t>1.79%</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3"/>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12,000</w:t>
            </w:r>
          </w:p>
        </w:tc>
      </w:tr>
      <w:tr>
        <w:trPr>
          <w:trHeight w:val="739" w:hRule="exact"/>
        </w:trPr>
        <w:tc>
          <w:tcPr>
            <w:tcW w:w="79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195" w:lineRule="exact"/>
              <w:ind w:left="220" w:right="0" w:hanging="180"/>
              <w:jc w:val="left"/>
              <w:rPr>
                <w:rFonts w:ascii="宋体" w:hAnsi="宋体" w:cs="宋体" w:eastAsia="宋体" w:hint="default"/>
                <w:sz w:val="18"/>
                <w:szCs w:val="18"/>
              </w:rPr>
            </w:pPr>
            <w:r>
              <w:rPr>
                <w:rFonts w:ascii="宋体" w:hAnsi="宋体" w:cs="宋体" w:eastAsia="宋体" w:hint="default"/>
                <w:spacing w:val="2"/>
                <w:sz w:val="18"/>
                <w:szCs w:val="18"/>
              </w:rPr>
              <w:t>菱重家用空调</w:t>
            </w:r>
            <w:r>
              <w:rPr>
                <w:rFonts w:ascii="宋体" w:hAnsi="宋体" w:cs="宋体" w:eastAsia="宋体" w:hint="default"/>
                <w:sz w:val="18"/>
                <w:szCs w:val="18"/>
              </w:rPr>
            </w:r>
          </w:p>
          <w:p>
            <w:pPr>
              <w:pStyle w:val="TableParagraph"/>
              <w:spacing w:line="232" w:lineRule="exact" w:before="24"/>
              <w:ind w:left="220" w:right="174"/>
              <w:jc w:val="left"/>
              <w:rPr>
                <w:rFonts w:ascii="宋体" w:hAnsi="宋体" w:cs="宋体" w:eastAsia="宋体" w:hint="default"/>
                <w:sz w:val="18"/>
                <w:szCs w:val="18"/>
              </w:rPr>
            </w:pPr>
            <w:r>
              <w:rPr>
                <w:rFonts w:ascii="宋体" w:hAnsi="宋体" w:cs="宋体" w:eastAsia="宋体" w:hint="default"/>
                <w:spacing w:val="11"/>
                <w:sz w:val="18"/>
                <w:szCs w:val="18"/>
              </w:rPr>
              <w:t>系统</w:t>
            </w:r>
            <w:r>
              <w:rPr>
                <w:rFonts w:ascii="Arial" w:hAnsi="Arial" w:cs="Arial" w:eastAsia="Arial" w:hint="default"/>
                <w:spacing w:val="11"/>
                <w:sz w:val="18"/>
                <w:szCs w:val="18"/>
              </w:rPr>
              <w:t>(</w:t>
            </w:r>
            <w:r>
              <w:rPr>
                <w:rFonts w:ascii="宋体" w:hAnsi="宋体" w:cs="宋体" w:eastAsia="宋体" w:hint="default"/>
                <w:spacing w:val="11"/>
                <w:sz w:val="18"/>
                <w:szCs w:val="18"/>
              </w:rPr>
              <w:t>上海</w:t>
            </w:r>
            <w:r>
              <w:rPr>
                <w:rFonts w:ascii="Arial" w:hAnsi="Arial" w:cs="Arial" w:eastAsia="Arial" w:hint="default"/>
                <w:spacing w:val="11"/>
                <w:sz w:val="18"/>
                <w:szCs w:val="18"/>
              </w:rPr>
              <w:t>)</w:t>
            </w:r>
            <w:r>
              <w:rPr>
                <w:rFonts w:ascii="Arial" w:hAnsi="Arial" w:cs="Arial" w:eastAsia="Arial" w:hint="default"/>
                <w:spacing w:val="-47"/>
                <w:sz w:val="18"/>
                <w:szCs w:val="18"/>
              </w:rPr>
              <w:t> </w:t>
            </w:r>
            <w:r>
              <w:rPr>
                <w:rFonts w:ascii="宋体" w:hAnsi="宋体" w:cs="宋体" w:eastAsia="宋体" w:hint="default"/>
                <w:sz w:val="18"/>
                <w:szCs w:val="18"/>
              </w:rPr>
              <w:t>有限公司</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成本法</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4" w:lineRule="exact"/>
              <w:ind w:left="331" w:right="0"/>
              <w:jc w:val="center"/>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7" w:lineRule="exact"/>
              <w:ind w:left="168" w:right="0"/>
              <w:jc w:val="center"/>
              <w:rPr>
                <w:rFonts w:ascii="宋体" w:hAnsi="宋体" w:cs="宋体" w:eastAsia="宋体" w:hint="default"/>
                <w:sz w:val="18"/>
                <w:szCs w:val="18"/>
              </w:rPr>
            </w:pPr>
            <w:r>
              <w:rPr>
                <w:rFonts w:ascii="Arial" w:hAnsi="Arial" w:cs="Arial" w:eastAsia="Arial" w:hint="default"/>
                <w:sz w:val="18"/>
                <w:szCs w:val="18"/>
              </w:rPr>
              <w:t>480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1536" w:val="left" w:leader="none"/>
              </w:tabs>
              <w:spacing w:line="240" w:lineRule="auto"/>
              <w:ind w:right="6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781" w:val="left" w:leader="none"/>
              </w:tabs>
              <w:spacing w:line="240" w:lineRule="auto"/>
              <w:ind w:left="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4,800</w:t>
            </w:r>
            <w:r>
              <w:rPr>
                <w:rFonts w:ascii="Arial"/>
                <w:sz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1147" w:val="left" w:leader="none"/>
              </w:tabs>
              <w:spacing w:line="240" w:lineRule="auto"/>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4,800</w:t>
            </w:r>
            <w:r>
              <w:rPr>
                <w:rFonts w:ascii="Arial"/>
                <w:w w:val="95"/>
                <w:sz w:val="18"/>
              </w:rPr>
            </w:r>
            <w:r>
              <w:rPr>
                <w:rFonts w:ascii="Arial"/>
                <w:sz w:val="18"/>
              </w:rPr>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70"/>
              <w:jc w:val="right"/>
              <w:rPr>
                <w:rFonts w:ascii="Arial" w:hAnsi="Arial" w:cs="Arial" w:eastAsia="Arial" w:hint="default"/>
                <w:sz w:val="18"/>
                <w:szCs w:val="18"/>
              </w:rPr>
            </w:pPr>
            <w:r>
              <w:rPr>
                <w:rFonts w:ascii="Arial"/>
                <w:w w:val="95"/>
                <w:sz w:val="18"/>
              </w:rPr>
              <w:t>15%</w:t>
            </w:r>
            <w:r>
              <w:rPr>
                <w:rFonts w:ascii="Arial"/>
                <w:sz w:val="18"/>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93" w:right="0"/>
              <w:jc w:val="center"/>
              <w:rPr>
                <w:rFonts w:ascii="Arial" w:hAnsi="Arial" w:cs="Arial" w:eastAsia="Arial" w:hint="default"/>
                <w:sz w:val="18"/>
                <w:szCs w:val="18"/>
              </w:rPr>
            </w:pPr>
            <w:r>
              <w:rPr>
                <w:rFonts w:ascii="Arial"/>
                <w:sz w:val="18"/>
              </w:rPr>
              <w:t>15%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916" w:val="left" w:leader="none"/>
              </w:tabs>
              <w:spacing w:line="240" w:lineRule="auto"/>
              <w:ind w:right="11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779" w:val="left" w:leader="none"/>
              </w:tabs>
              <w:spacing w:line="240" w:lineRule="auto"/>
              <w:ind w:left="-29" w:right="14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1345" w:val="left" w:leader="none"/>
              </w:tabs>
              <w:spacing w:line="240" w:lineRule="auto"/>
              <w:ind w:left="-43" w:right="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54" w:hRule="exact"/>
        </w:trPr>
        <w:tc>
          <w:tcPr>
            <w:tcW w:w="79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0"/>
              <w:jc w:val="right"/>
              <w:rPr>
                <w:rFonts w:ascii="Arial" w:hAnsi="Arial" w:cs="Arial" w:eastAsia="Arial" w:hint="default"/>
                <w:sz w:val="18"/>
                <w:szCs w:val="18"/>
              </w:rPr>
            </w:pPr>
            <w:r>
              <w:rPr>
                <w:rFonts w:ascii="Arial"/>
                <w:spacing w:val="-1"/>
                <w:sz w:val="18"/>
              </w:rPr>
              <w:t>540,993</w:t>
            </w:r>
          </w:p>
        </w:tc>
        <w:tc>
          <w:tcPr>
            <w:tcW w:w="130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1"/>
              <w:jc w:val="right"/>
              <w:rPr>
                <w:rFonts w:ascii="Arial" w:hAnsi="Arial" w:cs="Arial" w:eastAsia="Arial" w:hint="default"/>
                <w:sz w:val="18"/>
                <w:szCs w:val="18"/>
              </w:rPr>
            </w:pPr>
            <w:r>
              <w:rPr>
                <w:rFonts w:ascii="Arial"/>
                <w:w w:val="95"/>
                <w:sz w:val="18"/>
              </w:rPr>
              <w:t>4,800</w:t>
            </w:r>
            <w:r>
              <w:rPr>
                <w:rFonts w:ascii="Arial"/>
                <w:sz w:val="18"/>
              </w:rPr>
            </w:r>
          </w:p>
        </w:tc>
        <w:tc>
          <w:tcPr>
            <w:tcW w:w="16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3"/>
              <w:jc w:val="right"/>
              <w:rPr>
                <w:rFonts w:ascii="Arial" w:hAnsi="Arial" w:cs="Arial" w:eastAsia="Arial" w:hint="default"/>
                <w:sz w:val="18"/>
                <w:szCs w:val="18"/>
              </w:rPr>
            </w:pPr>
            <w:r>
              <w:rPr>
                <w:rFonts w:ascii="Arial"/>
                <w:spacing w:val="-1"/>
                <w:sz w:val="18"/>
              </w:rPr>
              <w:t>545,793</w:t>
            </w:r>
          </w:p>
        </w:tc>
        <w:tc>
          <w:tcPr>
            <w:tcW w:w="636"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8"/>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43"/>
              <w:jc w:val="right"/>
              <w:rPr>
                <w:rFonts w:ascii="Arial" w:hAnsi="Arial" w:cs="Arial" w:eastAsia="Arial" w:hint="default"/>
                <w:sz w:val="18"/>
                <w:szCs w:val="18"/>
              </w:rPr>
            </w:pPr>
            <w:r>
              <w:rPr>
                <w:rFonts w:ascii="Arial"/>
                <w:w w:val="99"/>
                <w:sz w:val="18"/>
              </w:rPr>
              <w:t>-</w:t>
            </w:r>
            <w:r>
              <w:rPr>
                <w:rFonts w:ascii="Arial"/>
                <w:sz w:val="18"/>
              </w:rPr>
            </w: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3"/>
              <w:jc w:val="right"/>
              <w:rPr>
                <w:rFonts w:ascii="Arial" w:hAnsi="Arial" w:cs="Arial" w:eastAsia="Arial" w:hint="default"/>
                <w:sz w:val="18"/>
                <w:szCs w:val="18"/>
              </w:rPr>
            </w:pPr>
            <w:r>
              <w:rPr>
                <w:rFonts w:ascii="Arial"/>
                <w:spacing w:val="-1"/>
                <w:sz w:val="18"/>
              </w:rPr>
              <w:t>12,000</w:t>
            </w:r>
          </w:p>
        </w:tc>
      </w:tr>
    </w:tbl>
    <w:p>
      <w:pPr>
        <w:spacing w:after="0" w:line="240" w:lineRule="auto"/>
        <w:jc w:val="right"/>
        <w:rPr>
          <w:rFonts w:ascii="Arial" w:hAnsi="Arial" w:cs="Arial" w:eastAsia="Arial" w:hint="default"/>
          <w:sz w:val="18"/>
          <w:szCs w:val="18"/>
        </w:rPr>
        <w:sectPr>
          <w:pgSz w:w="16850" w:h="11910" w:orient="landscape"/>
          <w:pgMar w:header="754" w:footer="954" w:top="2240" w:bottom="1140" w:left="200" w:right="0"/>
        </w:sectPr>
      </w:pPr>
    </w:p>
    <w:p>
      <w:pPr>
        <w:spacing w:line="240" w:lineRule="auto" w:before="7"/>
        <w:rPr>
          <w:rFonts w:ascii="Times New Roman" w:hAnsi="Times New Roman" w:cs="Times New Roman" w:eastAsia="Times New Roman" w:hint="default"/>
          <w:sz w:val="4"/>
          <w:szCs w:val="4"/>
        </w:rPr>
      </w:pPr>
      <w:r>
        <w:rPr/>
        <w:pict>
          <v:group style="position:absolute;margin-left:84.984001pt;margin-top:115.459984pt;width:439.9pt;height:.1pt;mso-position-horizontal-relative:page;mso-position-vertical-relative:page;z-index:-1358056" coordorigin="1700,2309" coordsize="8798,2">
            <v:shape style="position:absolute;left:1700;top:2309;width:8798;height:2" coordorigin="1700,2309" coordsize="8798,0" path="m1700,2309l10497,2309e" filled="false" stroked="true" strokeweight=".71999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762"/>
        <w:gridCol w:w="2661"/>
      </w:tblGrid>
      <w:tr>
        <w:trPr>
          <w:trHeight w:val="533"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136"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0"/>
        <w:rPr>
          <w:rFonts w:ascii="Times New Roman" w:hAnsi="Times New Roman" w:cs="Times New Roman" w:eastAsia="Times New Roman" w:hint="default"/>
          <w:sz w:val="25"/>
          <w:szCs w:val="25"/>
        </w:rPr>
      </w:pPr>
    </w:p>
    <w:tbl>
      <w:tblPr>
        <w:tblW w:w="0" w:type="auto"/>
        <w:jc w:val="left"/>
        <w:tblInd w:w="117" w:type="dxa"/>
        <w:tblLayout w:type="fixed"/>
        <w:tblCellMar>
          <w:top w:w="0" w:type="dxa"/>
          <w:left w:w="0" w:type="dxa"/>
          <w:bottom w:w="0" w:type="dxa"/>
          <w:right w:w="0" w:type="dxa"/>
        </w:tblCellMar>
        <w:tblLook w:val="01E0"/>
      </w:tblPr>
      <w:tblGrid>
        <w:gridCol w:w="696"/>
        <w:gridCol w:w="2265"/>
        <w:gridCol w:w="1654"/>
        <w:gridCol w:w="223"/>
        <w:gridCol w:w="1637"/>
        <w:gridCol w:w="223"/>
        <w:gridCol w:w="1625"/>
        <w:gridCol w:w="223"/>
        <w:gridCol w:w="1601"/>
      </w:tblGrid>
      <w:tr>
        <w:trPr>
          <w:trHeight w:val="419"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Arial" w:hAnsi="Arial" w:cs="Arial" w:eastAsia="Arial" w:hint="default"/>
                <w:sz w:val="24"/>
                <w:szCs w:val="24"/>
              </w:rPr>
            </w:pPr>
            <w:r>
              <w:rPr>
                <w:rFonts w:ascii="Arial"/>
                <w:sz w:val="24"/>
              </w:rPr>
              <w:t>(4)</w:t>
            </w:r>
          </w:p>
        </w:tc>
        <w:tc>
          <w:tcPr>
            <w:tcW w:w="3919"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2" w:right="0"/>
              <w:jc w:val="left"/>
              <w:rPr>
                <w:rFonts w:ascii="宋体" w:hAnsi="宋体" w:cs="宋体" w:eastAsia="宋体" w:hint="default"/>
                <w:sz w:val="24"/>
                <w:szCs w:val="24"/>
              </w:rPr>
            </w:pPr>
            <w:r>
              <w:rPr>
                <w:rFonts w:ascii="宋体" w:hAnsi="宋体" w:cs="宋体" w:eastAsia="宋体" w:hint="default"/>
                <w:b/>
                <w:bCs/>
                <w:sz w:val="24"/>
                <w:szCs w:val="24"/>
              </w:rPr>
              <w:t>营业收入和营业成本</w:t>
            </w:r>
            <w:r>
              <w:rPr>
                <w:rFonts w:ascii="宋体" w:hAnsi="宋体" w:cs="宋体" w:eastAsia="宋体" w:hint="default"/>
                <w:sz w:val="24"/>
                <w:szCs w:val="24"/>
              </w:rPr>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594"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95" w:right="0"/>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2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8"/>
              <w:ind w:left="1229" w:right="0"/>
              <w:jc w:val="left"/>
              <w:rPr>
                <w:rFonts w:ascii="Arial" w:hAnsi="Arial" w:cs="Arial" w:eastAsia="Arial" w:hint="default"/>
                <w:sz w:val="24"/>
                <w:szCs w:val="24"/>
              </w:rPr>
            </w:pPr>
            <w:r>
              <w:rPr>
                <w:rFonts w:ascii="Arial"/>
                <w:sz w:val="24"/>
              </w:rPr>
              <w:t>67,263,014</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92" w:right="0"/>
              <w:jc w:val="left"/>
              <w:rPr>
                <w:rFonts w:ascii="Arial" w:hAnsi="Arial" w:cs="Arial" w:eastAsia="Arial" w:hint="default"/>
                <w:sz w:val="24"/>
                <w:szCs w:val="24"/>
              </w:rPr>
            </w:pPr>
            <w:r>
              <w:rPr>
                <w:rFonts w:ascii="Arial"/>
                <w:sz w:val="24"/>
              </w:rPr>
              <w:t>54,366,074</w:t>
            </w:r>
          </w:p>
        </w:tc>
      </w:tr>
      <w:tr>
        <w:trPr>
          <w:trHeight w:val="315"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tabs>
                <w:tab w:pos="1562" w:val="left" w:leader="none"/>
                <w:tab w:pos="3101" w:val="left" w:leader="none"/>
                <w:tab w:pos="4575" w:val="left" w:leader="none"/>
              </w:tabs>
              <w:spacing w:line="240" w:lineRule="auto" w:before="21"/>
              <w:ind w:left="127" w:right="-86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276,434 </w:t>
            </w:r>
            <w:r>
              <w:rPr>
                <w:rFonts w:ascii="Arial"/>
                <w:spacing w:val="-29"/>
                <w:sz w:val="24"/>
                <w:u w:val="single" w:color="000000"/>
              </w:rPr>
              <w:t> </w:t>
            </w:r>
            <w:r>
              <w:rPr>
                <w:rFonts w:ascii="Arial"/>
                <w:spacing w:val="-29"/>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auto" w:before="21"/>
              <w:ind w:right="0"/>
              <w:jc w:val="right"/>
              <w:rPr>
                <w:rFonts w:ascii="Arial" w:hAnsi="Arial" w:cs="Arial" w:eastAsia="Arial" w:hint="default"/>
                <w:sz w:val="24"/>
                <w:szCs w:val="24"/>
              </w:rPr>
            </w:pPr>
            <w:r>
              <w:rPr>
                <w:rFonts w:ascii="Arial"/>
                <w:w w:val="99"/>
                <w:sz w:val="24"/>
              </w:rPr>
            </w:r>
            <w:r>
              <w:rPr>
                <w:rFonts w:ascii="Arial"/>
                <w:spacing w:val="-3"/>
                <w:w w:val="95"/>
                <w:sz w:val="24"/>
                <w:u w:val="single" w:color="000000"/>
              </w:rPr>
              <w:t>268,116</w:t>
            </w:r>
            <w:r>
              <w:rPr>
                <w:rFonts w:ascii="Arial"/>
                <w:spacing w:val="-3"/>
                <w:sz w:val="24"/>
                <w:u w:val="single" w:color="000000"/>
              </w:rPr>
              <w:tab/>
            </w:r>
            <w:r>
              <w:rPr>
                <w:rFonts w:ascii="Arial"/>
                <w:spacing w:val="-3"/>
                <w:sz w:val="24"/>
              </w:rPr>
            </w:r>
          </w:p>
        </w:tc>
      </w:tr>
      <w:tr>
        <w:trPr>
          <w:trHeight w:val="436"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tabs>
                <w:tab w:pos="1229" w:val="left" w:leader="none"/>
                <w:tab w:pos="3101" w:val="left" w:leader="none"/>
                <w:tab w:pos="4224" w:val="left" w:leader="none"/>
              </w:tabs>
              <w:spacing w:line="268" w:lineRule="exact"/>
              <w:ind w:left="127" w:right="-517"/>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67,539,448 </w:t>
            </w:r>
            <w:r>
              <w:rPr>
                <w:rFonts w:ascii="Arial"/>
                <w:spacing w:val="-28"/>
                <w:sz w:val="24"/>
                <w:u w:val="thick" w:color="000000"/>
              </w:rPr>
              <w:t> </w:t>
            </w:r>
            <w:r>
              <w:rPr>
                <w:rFonts w:ascii="Arial"/>
                <w:spacing w:val="-2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1307" w:val="left" w:leader="none"/>
              </w:tabs>
              <w:spacing w:line="268" w:lineRule="exact"/>
              <w:ind w:right="0"/>
              <w:jc w:val="right"/>
              <w:rPr>
                <w:rFonts w:ascii="Arial" w:hAnsi="Arial" w:cs="Arial" w:eastAsia="Arial" w:hint="default"/>
                <w:sz w:val="24"/>
                <w:szCs w:val="24"/>
              </w:rPr>
            </w:pPr>
            <w:r>
              <w:rPr>
                <w:rFonts w:ascii="Arial"/>
                <w:w w:val="99"/>
                <w:sz w:val="24"/>
              </w:rPr>
            </w:r>
            <w:r>
              <w:rPr>
                <w:rFonts w:ascii="Arial"/>
                <w:spacing w:val="-1"/>
                <w:sz w:val="24"/>
                <w:u w:val="thick" w:color="000000"/>
              </w:rPr>
              <w:t>54,634,190</w:t>
              <w:tab/>
            </w:r>
            <w:r>
              <w:rPr>
                <w:rFonts w:ascii="Arial"/>
                <w:spacing w:val="-1"/>
                <w:sz w:val="24"/>
              </w:rPr>
            </w:r>
          </w:p>
        </w:tc>
      </w:tr>
      <w:tr>
        <w:trPr>
          <w:trHeight w:val="593"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95" w:right="0"/>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20"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8"/>
              <w:ind w:left="1229" w:right="0"/>
              <w:jc w:val="left"/>
              <w:rPr>
                <w:rFonts w:ascii="Arial" w:hAnsi="Arial" w:cs="Arial" w:eastAsia="Arial" w:hint="default"/>
                <w:sz w:val="24"/>
                <w:szCs w:val="24"/>
              </w:rPr>
            </w:pPr>
            <w:r>
              <w:rPr>
                <w:rFonts w:ascii="Arial"/>
                <w:sz w:val="24"/>
              </w:rPr>
              <w:t>62,509,067</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92" w:right="0"/>
              <w:jc w:val="left"/>
              <w:rPr>
                <w:rFonts w:ascii="Arial" w:hAnsi="Arial" w:cs="Arial" w:eastAsia="Arial" w:hint="default"/>
                <w:sz w:val="24"/>
                <w:szCs w:val="24"/>
              </w:rPr>
            </w:pPr>
            <w:r>
              <w:rPr>
                <w:rFonts w:ascii="Arial"/>
                <w:sz w:val="24"/>
              </w:rPr>
              <w:t>50,747,280</w:t>
            </w:r>
          </w:p>
        </w:tc>
      </w:tr>
      <w:tr>
        <w:trPr>
          <w:trHeight w:val="314"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tabs>
                <w:tab w:pos="1694" w:val="left" w:leader="none"/>
                <w:tab w:pos="3101" w:val="left" w:leader="none"/>
                <w:tab w:pos="4690" w:val="left" w:leader="none"/>
              </w:tabs>
              <w:spacing w:line="240" w:lineRule="auto" w:before="21"/>
              <w:ind w:left="127" w:right="-982"/>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30,300 </w:t>
            </w:r>
            <w:r>
              <w:rPr>
                <w:rFonts w:ascii="Arial"/>
                <w:spacing w:val="-29"/>
                <w:sz w:val="24"/>
                <w:u w:val="single" w:color="000000"/>
              </w:rPr>
              <w:t> </w:t>
            </w:r>
            <w:r>
              <w:rPr>
                <w:rFonts w:ascii="Arial"/>
                <w:spacing w:val="-29"/>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1"/>
              <w:ind w:right="0"/>
              <w:jc w:val="right"/>
              <w:rPr>
                <w:rFonts w:ascii="Arial" w:hAnsi="Arial" w:cs="Arial" w:eastAsia="Arial" w:hint="default"/>
                <w:sz w:val="24"/>
                <w:szCs w:val="24"/>
              </w:rPr>
            </w:pPr>
            <w:r>
              <w:rPr>
                <w:rFonts w:ascii="Arial"/>
                <w:w w:val="99"/>
                <w:sz w:val="24"/>
              </w:rPr>
            </w:r>
            <w:r>
              <w:rPr>
                <w:rFonts w:ascii="Arial"/>
                <w:spacing w:val="-1"/>
                <w:sz w:val="24"/>
                <w:u w:val="single" w:color="000000"/>
              </w:rPr>
              <w:t>10,291</w:t>
              <w:tab/>
            </w:r>
            <w:r>
              <w:rPr>
                <w:rFonts w:ascii="Arial"/>
                <w:spacing w:val="-1"/>
                <w:sz w:val="24"/>
              </w:rPr>
            </w:r>
          </w:p>
        </w:tc>
      </w:tr>
      <w:tr>
        <w:trPr>
          <w:trHeight w:val="434"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3709" w:type="dxa"/>
            <w:gridSpan w:val="4"/>
            <w:tcBorders>
              <w:top w:val="nil" w:sz="6" w:space="0" w:color="auto"/>
              <w:left w:val="nil" w:sz="6" w:space="0" w:color="auto"/>
              <w:bottom w:val="nil" w:sz="6" w:space="0" w:color="auto"/>
              <w:right w:val="nil" w:sz="6" w:space="0" w:color="auto"/>
            </w:tcBorders>
          </w:tcPr>
          <w:p>
            <w:pPr>
              <w:pStyle w:val="TableParagraph"/>
              <w:tabs>
                <w:tab w:pos="1229" w:val="left" w:leader="none"/>
                <w:tab w:pos="3101" w:val="left" w:leader="none"/>
                <w:tab w:pos="4224" w:val="left" w:leader="none"/>
              </w:tabs>
              <w:spacing w:line="268" w:lineRule="exact"/>
              <w:ind w:left="127" w:right="-517"/>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62,539,367 </w:t>
            </w:r>
            <w:r>
              <w:rPr>
                <w:rFonts w:ascii="Arial"/>
                <w:spacing w:val="-28"/>
                <w:sz w:val="24"/>
                <w:u w:val="thick" w:color="000000"/>
              </w:rPr>
              <w:t> </w:t>
            </w:r>
            <w:r>
              <w:rPr>
                <w:rFonts w:ascii="Arial"/>
                <w:spacing w:val="-2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1307" w:val="left" w:leader="none"/>
              </w:tabs>
              <w:spacing w:line="268" w:lineRule="exact"/>
              <w:ind w:right="0"/>
              <w:jc w:val="right"/>
              <w:rPr>
                <w:rFonts w:ascii="Arial" w:hAnsi="Arial" w:cs="Arial" w:eastAsia="Arial" w:hint="default"/>
                <w:sz w:val="24"/>
                <w:szCs w:val="24"/>
              </w:rPr>
            </w:pPr>
            <w:r>
              <w:rPr>
                <w:rFonts w:ascii="Arial"/>
                <w:w w:val="99"/>
                <w:sz w:val="24"/>
              </w:rPr>
            </w:r>
            <w:r>
              <w:rPr>
                <w:rFonts w:ascii="Arial"/>
                <w:spacing w:val="-1"/>
                <w:sz w:val="24"/>
                <w:u w:val="thick" w:color="000000"/>
              </w:rPr>
              <w:t>50,757,571</w:t>
              <w:tab/>
            </w:r>
            <w:r>
              <w:rPr>
                <w:rFonts w:ascii="Arial"/>
                <w:spacing w:val="-1"/>
                <w:sz w:val="24"/>
              </w:rPr>
            </w:r>
          </w:p>
        </w:tc>
      </w:tr>
      <w:tr>
        <w:trPr>
          <w:trHeight w:val="59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center"/>
              <w:rPr>
                <w:rFonts w:ascii="Arial" w:hAnsi="Arial" w:cs="Arial" w:eastAsia="Arial" w:hint="default"/>
                <w:sz w:val="24"/>
                <w:szCs w:val="24"/>
              </w:rPr>
            </w:pPr>
            <w:r>
              <w:rPr>
                <w:rFonts w:ascii="Arial"/>
                <w:sz w:val="24"/>
              </w:rPr>
              <w:t>(a)</w:t>
            </w:r>
          </w:p>
        </w:tc>
        <w:tc>
          <w:tcPr>
            <w:tcW w:w="39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202"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588"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2"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654"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r>
      <w:tr>
        <w:trPr>
          <w:trHeight w:val="456"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35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6" w:right="0"/>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1418" w:right="0"/>
              <w:jc w:val="lef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70" w:lineRule="exact"/>
              <w:ind w:left="10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70" w:lineRule="exact"/>
              <w:ind w:left="88"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70" w:lineRule="exact"/>
              <w:ind w:left="7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70" w:lineRule="exact"/>
              <w:ind w:left="5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5"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2"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45" w:right="0"/>
              <w:jc w:val="left"/>
              <w:rPr>
                <w:rFonts w:ascii="Arial" w:hAnsi="Arial" w:cs="Arial" w:eastAsia="Arial" w:hint="default"/>
                <w:sz w:val="24"/>
                <w:szCs w:val="24"/>
              </w:rPr>
            </w:pPr>
            <w:r>
              <w:rPr>
                <w:rFonts w:ascii="Arial"/>
                <w:sz w:val="24"/>
              </w:rPr>
              <w:t>67,068,041</w:t>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28" w:right="0"/>
              <w:jc w:val="left"/>
              <w:rPr>
                <w:rFonts w:ascii="Arial" w:hAnsi="Arial" w:cs="Arial" w:eastAsia="Arial" w:hint="default"/>
                <w:sz w:val="24"/>
                <w:szCs w:val="24"/>
              </w:rPr>
            </w:pPr>
            <w:r>
              <w:rPr>
                <w:rFonts w:ascii="Arial"/>
                <w:sz w:val="24"/>
              </w:rPr>
              <w:t>62,337,781</w:t>
            </w: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16" w:right="0"/>
              <w:jc w:val="left"/>
              <w:rPr>
                <w:rFonts w:ascii="Arial" w:hAnsi="Arial" w:cs="Arial" w:eastAsia="Arial" w:hint="default"/>
                <w:sz w:val="24"/>
                <w:szCs w:val="24"/>
              </w:rPr>
            </w:pPr>
            <w:r>
              <w:rPr>
                <w:rFonts w:ascii="Arial"/>
                <w:sz w:val="24"/>
              </w:rPr>
              <w:t>54,213,675</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92" w:right="0"/>
              <w:jc w:val="left"/>
              <w:rPr>
                <w:rFonts w:ascii="Arial" w:hAnsi="Arial" w:cs="Arial" w:eastAsia="Arial" w:hint="default"/>
                <w:sz w:val="24"/>
                <w:szCs w:val="24"/>
              </w:rPr>
            </w:pPr>
            <w:r>
              <w:rPr>
                <w:rFonts w:ascii="Arial"/>
                <w:sz w:val="24"/>
              </w:rPr>
              <w:t>50,622,486</w:t>
            </w:r>
          </w:p>
        </w:tc>
      </w:tr>
      <w:tr>
        <w:trPr>
          <w:trHeight w:val="314"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61" w:lineRule="exact"/>
              <w:ind w:left="202"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654" w:type="dxa"/>
            <w:tcBorders>
              <w:top w:val="nil" w:sz="6" w:space="0" w:color="auto"/>
              <w:left w:val="nil" w:sz="6" w:space="0" w:color="auto"/>
              <w:bottom w:val="nil" w:sz="6" w:space="0" w:color="auto"/>
              <w:right w:val="nil" w:sz="6" w:space="0" w:color="auto"/>
            </w:tcBorders>
          </w:tcPr>
          <w:p>
            <w:pPr>
              <w:pStyle w:val="TableParagraph"/>
              <w:tabs>
                <w:tab w:pos="679" w:val="left" w:leader="none"/>
                <w:tab w:pos="1653"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194,973</w:t>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tabs>
                <w:tab w:pos="662" w:val="left" w:leader="none"/>
                <w:tab w:pos="1637"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171,286</w:t>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tabs>
                <w:tab w:pos="650" w:val="left" w:leader="none"/>
                <w:tab w:pos="1625"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152,399</w:t>
              <w:tab/>
            </w:r>
            <w:r>
              <w:rPr>
                <w:rFonts w:ascii="Arial"/>
                <w:sz w:val="24"/>
              </w:rPr>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tabs>
                <w:tab w:pos="626" w:val="left" w:leader="none"/>
                <w:tab w:pos="1600" w:val="left" w:leader="none"/>
              </w:tabs>
              <w:spacing w:line="240" w:lineRule="auto" w:before="21"/>
              <w:ind w:left="1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124,794</w:t>
              <w:tab/>
            </w:r>
            <w:r>
              <w:rPr>
                <w:rFonts w:ascii="Arial"/>
                <w:sz w:val="24"/>
              </w:rPr>
            </w:r>
          </w:p>
        </w:tc>
      </w:tr>
      <w:tr>
        <w:trPr>
          <w:trHeight w:val="287" w:hRule="exact"/>
        </w:trPr>
        <w:tc>
          <w:tcPr>
            <w:tcW w:w="6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12" w:space="0" w:color="000000"/>
              <w:right w:val="nil" w:sz="6" w:space="0" w:color="auto"/>
            </w:tcBorders>
          </w:tcPr>
          <w:p>
            <w:pPr>
              <w:pStyle w:val="TableParagraph"/>
              <w:spacing w:line="268" w:lineRule="exact"/>
              <w:ind w:left="345" w:right="0"/>
              <w:jc w:val="left"/>
              <w:rPr>
                <w:rFonts w:ascii="Arial" w:hAnsi="Arial" w:cs="Arial" w:eastAsia="Arial" w:hint="default"/>
                <w:sz w:val="24"/>
                <w:szCs w:val="24"/>
              </w:rPr>
            </w:pPr>
            <w:r>
              <w:rPr>
                <w:rFonts w:ascii="Arial"/>
                <w:sz w:val="24"/>
              </w:rPr>
              <w:t>67,263,014</w:t>
            </w:r>
          </w:p>
        </w:tc>
        <w:tc>
          <w:tcPr>
            <w:tcW w:w="22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12" w:space="0" w:color="000000"/>
              <w:right w:val="nil" w:sz="6" w:space="0" w:color="auto"/>
            </w:tcBorders>
          </w:tcPr>
          <w:p>
            <w:pPr>
              <w:pStyle w:val="TableParagraph"/>
              <w:spacing w:line="268" w:lineRule="exact"/>
              <w:ind w:left="328" w:right="0"/>
              <w:jc w:val="left"/>
              <w:rPr>
                <w:rFonts w:ascii="Arial" w:hAnsi="Arial" w:cs="Arial" w:eastAsia="Arial" w:hint="default"/>
                <w:sz w:val="24"/>
                <w:szCs w:val="24"/>
              </w:rPr>
            </w:pPr>
            <w:r>
              <w:rPr>
                <w:rFonts w:ascii="Arial"/>
                <w:sz w:val="24"/>
              </w:rPr>
              <w:t>62,509,067</w:t>
            </w:r>
          </w:p>
        </w:tc>
        <w:tc>
          <w:tcPr>
            <w:tcW w:w="223"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12" w:space="0" w:color="000000"/>
              <w:right w:val="nil" w:sz="6" w:space="0" w:color="auto"/>
            </w:tcBorders>
          </w:tcPr>
          <w:p>
            <w:pPr>
              <w:pStyle w:val="TableParagraph"/>
              <w:spacing w:line="268" w:lineRule="exact"/>
              <w:ind w:left="316" w:right="0"/>
              <w:jc w:val="left"/>
              <w:rPr>
                <w:rFonts w:ascii="Arial" w:hAnsi="Arial" w:cs="Arial" w:eastAsia="Arial" w:hint="default"/>
                <w:sz w:val="24"/>
                <w:szCs w:val="24"/>
              </w:rPr>
            </w:pPr>
            <w:r>
              <w:rPr>
                <w:rFonts w:ascii="Arial"/>
                <w:sz w:val="24"/>
              </w:rPr>
              <w:t>54,366,074</w:t>
            </w:r>
          </w:p>
        </w:tc>
        <w:tc>
          <w:tcPr>
            <w:tcW w:w="223"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Style w:val="TableParagraph"/>
              <w:spacing w:line="268" w:lineRule="exact"/>
              <w:ind w:left="292" w:right="0"/>
              <w:jc w:val="left"/>
              <w:rPr>
                <w:rFonts w:ascii="Arial" w:hAnsi="Arial" w:cs="Arial" w:eastAsia="Arial" w:hint="default"/>
                <w:sz w:val="24"/>
                <w:szCs w:val="24"/>
              </w:rPr>
            </w:pPr>
            <w:r>
              <w:rPr>
                <w:rFonts w:ascii="Arial"/>
                <w:sz w:val="24"/>
              </w:rPr>
              <w:t>50,747,280</w:t>
            </w:r>
          </w:p>
        </w:tc>
      </w:tr>
    </w:tbl>
    <w:p>
      <w:pPr>
        <w:spacing w:line="240" w:lineRule="auto" w:before="9"/>
        <w:rPr>
          <w:rFonts w:ascii="Times New Roman" w:hAnsi="Times New Roman" w:cs="Times New Roman" w:eastAsia="Times New Roman" w:hint="default"/>
          <w:sz w:val="23"/>
          <w:szCs w:val="23"/>
        </w:rPr>
      </w:pPr>
    </w:p>
    <w:tbl>
      <w:tblPr>
        <w:tblW w:w="0" w:type="auto"/>
        <w:jc w:val="left"/>
        <w:tblInd w:w="814" w:type="dxa"/>
        <w:tblLayout w:type="fixed"/>
        <w:tblCellMar>
          <w:top w:w="0" w:type="dxa"/>
          <w:left w:w="0" w:type="dxa"/>
          <w:bottom w:w="0" w:type="dxa"/>
          <w:right w:w="0" w:type="dxa"/>
        </w:tblCellMar>
        <w:tblLook w:val="01E0"/>
      </w:tblPr>
      <w:tblGrid>
        <w:gridCol w:w="2173"/>
        <w:gridCol w:w="1848"/>
        <w:gridCol w:w="1854"/>
        <w:gridCol w:w="1836"/>
        <w:gridCol w:w="1833"/>
      </w:tblGrid>
      <w:tr>
        <w:trPr>
          <w:trHeight w:val="414"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848"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1833" w:type="dxa"/>
            <w:tcBorders>
              <w:top w:val="nil" w:sz="6" w:space="0" w:color="auto"/>
              <w:left w:val="nil" w:sz="6" w:space="0" w:color="auto"/>
              <w:bottom w:val="nil" w:sz="6" w:space="0" w:color="auto"/>
              <w:right w:val="nil" w:sz="6" w:space="0" w:color="auto"/>
            </w:tcBorders>
          </w:tcPr>
          <w:p>
            <w:pPr/>
          </w:p>
        </w:tc>
      </w:tr>
      <w:tr>
        <w:trPr>
          <w:trHeight w:val="456" w:hRule="exact"/>
        </w:trPr>
        <w:tc>
          <w:tcPr>
            <w:tcW w:w="2173" w:type="dxa"/>
            <w:tcBorders>
              <w:top w:val="nil" w:sz="6" w:space="0" w:color="auto"/>
              <w:left w:val="nil" w:sz="6" w:space="0" w:color="auto"/>
              <w:bottom w:val="nil" w:sz="6" w:space="0" w:color="auto"/>
              <w:right w:val="nil" w:sz="6" w:space="0" w:color="auto"/>
            </w:tcBorders>
          </w:tcPr>
          <w:p>
            <w:pPr/>
          </w:p>
        </w:tc>
        <w:tc>
          <w:tcPr>
            <w:tcW w:w="3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1" w:right="0"/>
              <w:jc w:val="center"/>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51"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217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spacing w:line="270" w:lineRule="exact"/>
              <w:ind w:left="19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54" w:type="dxa"/>
            <w:tcBorders>
              <w:top w:val="nil" w:sz="6" w:space="0" w:color="auto"/>
              <w:left w:val="nil" w:sz="6" w:space="0" w:color="auto"/>
              <w:bottom w:val="nil" w:sz="6" w:space="0" w:color="auto"/>
              <w:right w:val="nil" w:sz="6" w:space="0" w:color="auto"/>
            </w:tcBorders>
          </w:tcPr>
          <w:p>
            <w:pPr>
              <w:pStyle w:val="TableParagraph"/>
              <w:spacing w:line="270" w:lineRule="exact"/>
              <w:ind w:left="20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836" w:type="dxa"/>
            <w:tcBorders>
              <w:top w:val="nil" w:sz="6" w:space="0" w:color="auto"/>
              <w:left w:val="nil" w:sz="6" w:space="0" w:color="auto"/>
              <w:bottom w:val="nil" w:sz="6" w:space="0" w:color="auto"/>
              <w:right w:val="nil" w:sz="6" w:space="0" w:color="auto"/>
            </w:tcBorders>
          </w:tcPr>
          <w:p>
            <w:pPr>
              <w:pStyle w:val="TableParagraph"/>
              <w:spacing w:line="270" w:lineRule="exact"/>
              <w:ind w:left="20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33" w:type="dxa"/>
            <w:tcBorders>
              <w:top w:val="nil" w:sz="6" w:space="0" w:color="auto"/>
              <w:left w:val="nil" w:sz="6" w:space="0" w:color="auto"/>
              <w:bottom w:val="nil" w:sz="6" w:space="0" w:color="auto"/>
              <w:right w:val="nil" w:sz="6" w:space="0" w:color="auto"/>
            </w:tcBorders>
          </w:tcPr>
          <w:p>
            <w:pPr>
              <w:pStyle w:val="TableParagraph"/>
              <w:spacing w:line="270" w:lineRule="exact"/>
              <w:ind w:left="191"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6"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37" w:right="0"/>
              <w:jc w:val="left"/>
              <w:rPr>
                <w:rFonts w:ascii="Arial" w:hAnsi="Arial" w:cs="Arial" w:eastAsia="Arial" w:hint="default"/>
                <w:sz w:val="24"/>
                <w:szCs w:val="24"/>
              </w:rPr>
            </w:pPr>
            <w:r>
              <w:rPr>
                <w:rFonts w:ascii="Arial"/>
                <w:sz w:val="24"/>
              </w:rPr>
              <w:t>20,651,908</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449" w:right="0"/>
              <w:jc w:val="left"/>
              <w:rPr>
                <w:rFonts w:ascii="Arial" w:hAnsi="Arial" w:cs="Arial" w:eastAsia="Arial" w:hint="default"/>
                <w:sz w:val="24"/>
                <w:szCs w:val="24"/>
              </w:rPr>
            </w:pPr>
            <w:r>
              <w:rPr>
                <w:rFonts w:ascii="Arial"/>
                <w:sz w:val="24"/>
              </w:rPr>
              <w:t>18,688,852</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43" w:right="0"/>
              <w:jc w:val="left"/>
              <w:rPr>
                <w:rFonts w:ascii="Arial" w:hAnsi="Arial" w:cs="Arial" w:eastAsia="Arial" w:hint="default"/>
                <w:sz w:val="24"/>
                <w:szCs w:val="24"/>
              </w:rPr>
            </w:pPr>
            <w:r>
              <w:rPr>
                <w:rFonts w:ascii="Arial"/>
                <w:sz w:val="24"/>
              </w:rPr>
              <w:t>16,803,958</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31" w:right="0"/>
              <w:jc w:val="left"/>
              <w:rPr>
                <w:rFonts w:ascii="Arial" w:hAnsi="Arial" w:cs="Arial" w:eastAsia="Arial" w:hint="default"/>
                <w:sz w:val="24"/>
                <w:szCs w:val="24"/>
              </w:rPr>
            </w:pPr>
            <w:r>
              <w:rPr>
                <w:rFonts w:ascii="Arial"/>
                <w:sz w:val="24"/>
              </w:rPr>
              <w:t>15,293,344</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7" w:right="0"/>
              <w:jc w:val="left"/>
              <w:rPr>
                <w:rFonts w:ascii="Arial" w:hAnsi="Arial" w:cs="Arial" w:eastAsia="Arial" w:hint="default"/>
                <w:sz w:val="24"/>
                <w:szCs w:val="24"/>
              </w:rPr>
            </w:pPr>
            <w:r>
              <w:rPr>
                <w:rFonts w:ascii="Arial"/>
                <w:sz w:val="24"/>
              </w:rPr>
              <w:t>12,710,475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6" w:right="0"/>
              <w:jc w:val="left"/>
              <w:rPr>
                <w:rFonts w:ascii="Arial" w:hAnsi="Arial" w:cs="Arial" w:eastAsia="Arial" w:hint="default"/>
                <w:sz w:val="24"/>
                <w:szCs w:val="24"/>
              </w:rPr>
            </w:pPr>
            <w:r>
              <w:rPr>
                <w:rFonts w:ascii="Arial"/>
                <w:spacing w:val="-3"/>
                <w:sz w:val="24"/>
              </w:rPr>
              <w:t>11,573,435</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3" w:right="0"/>
              <w:jc w:val="left"/>
              <w:rPr>
                <w:rFonts w:ascii="Arial" w:hAnsi="Arial" w:cs="Arial" w:eastAsia="Arial" w:hint="default"/>
                <w:sz w:val="24"/>
                <w:szCs w:val="24"/>
              </w:rPr>
            </w:pPr>
            <w:r>
              <w:rPr>
                <w:rFonts w:ascii="Arial"/>
                <w:sz w:val="24"/>
              </w:rPr>
              <w:t>10,688,593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Arial" w:hAnsi="Arial" w:cs="Arial" w:eastAsia="Arial" w:hint="default"/>
                <w:sz w:val="24"/>
                <w:szCs w:val="24"/>
              </w:rPr>
            </w:pPr>
            <w:r>
              <w:rPr>
                <w:rFonts w:ascii="Arial"/>
                <w:sz w:val="24"/>
              </w:rPr>
              <w:t>9,773,470</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78" w:lineRule="exact"/>
              <w:ind w:left="200"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1"/>
                <w:sz w:val="24"/>
                <w:szCs w:val="24"/>
              </w:rPr>
              <w:t> </w:t>
            </w:r>
            <w:r>
              <w:rPr>
                <w:rFonts w:ascii="Arial" w:hAnsi="Arial" w:cs="Arial" w:eastAsia="Arial" w:hint="default"/>
                <w:sz w:val="24"/>
                <w:szCs w:val="24"/>
              </w:rPr>
              <w:t>IT</w:t>
            </w:r>
            <w:r>
              <w:rPr>
                <w:rFonts w:ascii="Arial" w:hAnsi="Arial" w:cs="Arial" w:eastAsia="Arial" w:hint="default"/>
                <w:spacing w:val="-5"/>
                <w:sz w:val="24"/>
                <w:szCs w:val="24"/>
              </w:rPr>
              <w:t> </w:t>
            </w:r>
            <w:r>
              <w:rPr>
                <w:rFonts w:ascii="宋体" w:hAnsi="宋体" w:cs="宋体" w:eastAsia="宋体" w:hint="default"/>
                <w:sz w:val="24"/>
                <w:szCs w:val="24"/>
              </w:rPr>
              <w:t>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7" w:right="0"/>
              <w:jc w:val="left"/>
              <w:rPr>
                <w:rFonts w:ascii="Arial" w:hAnsi="Arial" w:cs="Arial" w:eastAsia="Arial" w:hint="default"/>
                <w:sz w:val="24"/>
                <w:szCs w:val="24"/>
              </w:rPr>
            </w:pPr>
            <w:r>
              <w:rPr>
                <w:rFonts w:ascii="Arial"/>
                <w:sz w:val="24"/>
              </w:rPr>
              <w:t>13,080,530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49" w:right="0"/>
              <w:jc w:val="left"/>
              <w:rPr>
                <w:rFonts w:ascii="Arial" w:hAnsi="Arial" w:cs="Arial" w:eastAsia="Arial" w:hint="default"/>
                <w:sz w:val="24"/>
                <w:szCs w:val="24"/>
              </w:rPr>
            </w:pPr>
            <w:r>
              <w:rPr>
                <w:rFonts w:ascii="Arial"/>
                <w:sz w:val="24"/>
              </w:rPr>
              <w:t>12,705,440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5" w:right="0"/>
              <w:jc w:val="left"/>
              <w:rPr>
                <w:rFonts w:ascii="Arial" w:hAnsi="Arial" w:cs="Arial" w:eastAsia="Arial" w:hint="default"/>
                <w:sz w:val="24"/>
                <w:szCs w:val="24"/>
              </w:rPr>
            </w:pPr>
            <w:r>
              <w:rPr>
                <w:rFonts w:ascii="Arial"/>
                <w:sz w:val="24"/>
              </w:rPr>
              <w:t>9,146,696</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Arial" w:hAnsi="Arial" w:cs="Arial" w:eastAsia="Arial" w:hint="default"/>
                <w:sz w:val="24"/>
                <w:szCs w:val="24"/>
              </w:rPr>
            </w:pPr>
            <w:r>
              <w:rPr>
                <w:rFonts w:ascii="Arial"/>
                <w:sz w:val="24"/>
              </w:rPr>
              <w:t>8,925,765</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9"/>
              <w:jc w:val="right"/>
              <w:rPr>
                <w:rFonts w:ascii="Arial" w:hAnsi="Arial" w:cs="Arial" w:eastAsia="Arial" w:hint="default"/>
                <w:sz w:val="24"/>
                <w:szCs w:val="24"/>
              </w:rPr>
            </w:pPr>
            <w:r>
              <w:rPr>
                <w:rFonts w:ascii="Arial"/>
                <w:spacing w:val="-1"/>
                <w:sz w:val="24"/>
              </w:rPr>
              <w:t>9,159,198</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81" w:right="0"/>
              <w:jc w:val="left"/>
              <w:rPr>
                <w:rFonts w:ascii="Arial" w:hAnsi="Arial" w:cs="Arial" w:eastAsia="Arial" w:hint="default"/>
                <w:sz w:val="24"/>
                <w:szCs w:val="24"/>
              </w:rPr>
            </w:pPr>
            <w:r>
              <w:rPr>
                <w:rFonts w:ascii="Arial"/>
                <w:sz w:val="24"/>
              </w:rPr>
              <w:t>8,488,620</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5" w:right="0"/>
              <w:jc w:val="left"/>
              <w:rPr>
                <w:rFonts w:ascii="Arial" w:hAnsi="Arial" w:cs="Arial" w:eastAsia="Arial" w:hint="default"/>
                <w:sz w:val="24"/>
                <w:szCs w:val="24"/>
              </w:rPr>
            </w:pPr>
            <w:r>
              <w:rPr>
                <w:rFonts w:ascii="Arial"/>
                <w:sz w:val="24"/>
              </w:rPr>
              <w:t>7,787,203</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Arial" w:hAnsi="Arial" w:cs="Arial" w:eastAsia="Arial" w:hint="default"/>
                <w:sz w:val="24"/>
                <w:szCs w:val="24"/>
              </w:rPr>
            </w:pPr>
            <w:r>
              <w:rPr>
                <w:rFonts w:ascii="Arial"/>
                <w:sz w:val="24"/>
              </w:rPr>
              <w:t>7,228,576</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9"/>
              <w:jc w:val="right"/>
              <w:rPr>
                <w:rFonts w:ascii="Arial" w:hAnsi="Arial" w:cs="Arial" w:eastAsia="Arial" w:hint="default"/>
                <w:sz w:val="24"/>
                <w:szCs w:val="24"/>
              </w:rPr>
            </w:pPr>
            <w:r>
              <w:rPr>
                <w:rFonts w:ascii="Arial"/>
                <w:spacing w:val="-1"/>
                <w:sz w:val="24"/>
              </w:rPr>
              <w:t>9,122,791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81" w:right="0"/>
              <w:jc w:val="left"/>
              <w:rPr>
                <w:rFonts w:ascii="Arial" w:hAnsi="Arial" w:cs="Arial" w:eastAsia="Arial" w:hint="default"/>
                <w:sz w:val="24"/>
                <w:szCs w:val="24"/>
              </w:rPr>
            </w:pPr>
            <w:r>
              <w:rPr>
                <w:rFonts w:ascii="Arial"/>
                <w:sz w:val="24"/>
              </w:rPr>
              <w:t>8,869,164</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5" w:right="0"/>
              <w:jc w:val="left"/>
              <w:rPr>
                <w:rFonts w:ascii="Arial" w:hAnsi="Arial" w:cs="Arial" w:eastAsia="Arial" w:hint="default"/>
                <w:sz w:val="24"/>
                <w:szCs w:val="24"/>
              </w:rPr>
            </w:pPr>
            <w:r>
              <w:rPr>
                <w:rFonts w:ascii="Arial"/>
                <w:sz w:val="24"/>
              </w:rPr>
              <w:t>7,686,145</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Arial" w:hAnsi="Arial" w:cs="Arial" w:eastAsia="Arial" w:hint="default"/>
                <w:sz w:val="24"/>
                <w:szCs w:val="24"/>
              </w:rPr>
            </w:pPr>
            <w:r>
              <w:rPr>
                <w:rFonts w:ascii="Arial"/>
                <w:sz w:val="24"/>
              </w:rPr>
              <w:t>7,528,156</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小家电产品</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9"/>
              <w:jc w:val="right"/>
              <w:rPr>
                <w:rFonts w:ascii="Arial" w:hAnsi="Arial" w:cs="Arial" w:eastAsia="Arial" w:hint="default"/>
                <w:sz w:val="24"/>
                <w:szCs w:val="24"/>
              </w:rPr>
            </w:pPr>
            <w:r>
              <w:rPr>
                <w:rFonts w:ascii="Arial"/>
                <w:spacing w:val="-1"/>
                <w:sz w:val="24"/>
              </w:rPr>
              <w:t>2,335,312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81" w:right="0"/>
              <w:jc w:val="left"/>
              <w:rPr>
                <w:rFonts w:ascii="Arial" w:hAnsi="Arial" w:cs="Arial" w:eastAsia="Arial" w:hint="default"/>
                <w:sz w:val="24"/>
                <w:szCs w:val="24"/>
              </w:rPr>
            </w:pPr>
            <w:r>
              <w:rPr>
                <w:rFonts w:ascii="Arial"/>
                <w:sz w:val="24"/>
              </w:rPr>
              <w:t>2,004,402</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5" w:right="0"/>
              <w:jc w:val="left"/>
              <w:rPr>
                <w:rFonts w:ascii="Arial" w:hAnsi="Arial" w:cs="Arial" w:eastAsia="Arial" w:hint="default"/>
                <w:sz w:val="24"/>
                <w:szCs w:val="24"/>
              </w:rPr>
            </w:pPr>
            <w:r>
              <w:rPr>
                <w:rFonts w:ascii="Arial"/>
                <w:sz w:val="24"/>
              </w:rPr>
              <w:t>2,092,526</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63" w:right="0"/>
              <w:jc w:val="left"/>
              <w:rPr>
                <w:rFonts w:ascii="Arial" w:hAnsi="Arial" w:cs="Arial" w:eastAsia="Arial" w:hint="default"/>
                <w:sz w:val="24"/>
                <w:szCs w:val="24"/>
              </w:rPr>
            </w:pPr>
            <w:r>
              <w:rPr>
                <w:rFonts w:ascii="Arial"/>
                <w:sz w:val="24"/>
              </w:rPr>
              <w:t>1,864,444</w:t>
            </w:r>
          </w:p>
        </w:tc>
      </w:tr>
      <w:tr>
        <w:trPr>
          <w:trHeight w:val="312"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9"/>
              <w:jc w:val="right"/>
              <w:rPr>
                <w:rFonts w:ascii="Arial" w:hAnsi="Arial" w:cs="Arial" w:eastAsia="Arial" w:hint="default"/>
                <w:sz w:val="24"/>
                <w:szCs w:val="24"/>
              </w:rPr>
            </w:pPr>
            <w:r>
              <w:rPr>
                <w:rFonts w:ascii="Arial"/>
                <w:spacing w:val="-1"/>
                <w:sz w:val="24"/>
              </w:rPr>
              <w:t>194,973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783" w:right="0"/>
              <w:jc w:val="left"/>
              <w:rPr>
                <w:rFonts w:ascii="Arial" w:hAnsi="Arial" w:cs="Arial" w:eastAsia="Arial" w:hint="default"/>
                <w:sz w:val="24"/>
                <w:szCs w:val="24"/>
              </w:rPr>
            </w:pPr>
            <w:r>
              <w:rPr>
                <w:rFonts w:ascii="Arial"/>
                <w:sz w:val="24"/>
              </w:rPr>
              <w:t>171,286</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77" w:right="0"/>
              <w:jc w:val="left"/>
              <w:rPr>
                <w:rFonts w:ascii="Arial" w:hAnsi="Arial" w:cs="Arial" w:eastAsia="Arial" w:hint="default"/>
                <w:sz w:val="24"/>
                <w:szCs w:val="24"/>
              </w:rPr>
            </w:pPr>
            <w:r>
              <w:rPr>
                <w:rFonts w:ascii="Arial"/>
                <w:sz w:val="24"/>
              </w:rPr>
              <w:t>152,399</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5" w:right="0"/>
              <w:jc w:val="left"/>
              <w:rPr>
                <w:rFonts w:ascii="Arial" w:hAnsi="Arial" w:cs="Arial" w:eastAsia="Arial" w:hint="default"/>
                <w:sz w:val="24"/>
                <w:szCs w:val="24"/>
              </w:rPr>
            </w:pPr>
            <w:r>
              <w:rPr>
                <w:rFonts w:ascii="Arial"/>
                <w:sz w:val="24"/>
              </w:rPr>
              <w:t>124,794</w:t>
            </w:r>
          </w:p>
        </w:tc>
      </w:tr>
      <w:tr>
        <w:trPr>
          <w:trHeight w:val="314" w:hRule="exact"/>
        </w:trPr>
        <w:tc>
          <w:tcPr>
            <w:tcW w:w="2173"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48" w:type="dxa"/>
            <w:tcBorders>
              <w:top w:val="nil" w:sz="6" w:space="0" w:color="auto"/>
              <w:left w:val="nil" w:sz="6" w:space="0" w:color="auto"/>
              <w:bottom w:val="nil" w:sz="6" w:space="0" w:color="auto"/>
              <w:right w:val="nil" w:sz="6" w:space="0" w:color="auto"/>
            </w:tcBorders>
          </w:tcPr>
          <w:p>
            <w:pPr>
              <w:pStyle w:val="TableParagraph"/>
              <w:tabs>
                <w:tab w:pos="931" w:val="left" w:leader="none"/>
                <w:tab w:pos="1639" w:val="left" w:leader="none"/>
              </w:tabs>
              <w:spacing w:line="240" w:lineRule="auto" w:before="21"/>
              <w:ind w:right="10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7,827</w:t>
              <w:tab/>
            </w:r>
            <w:r>
              <w:rPr>
                <w:rFonts w:ascii="Arial"/>
                <w:spacing w:val="-1"/>
                <w:sz w:val="24"/>
              </w:rPr>
            </w:r>
          </w:p>
        </w:tc>
        <w:tc>
          <w:tcPr>
            <w:tcW w:w="1854" w:type="dxa"/>
            <w:tcBorders>
              <w:top w:val="nil" w:sz="6" w:space="0" w:color="auto"/>
              <w:left w:val="nil" w:sz="6" w:space="0" w:color="auto"/>
              <w:bottom w:val="nil" w:sz="6" w:space="0" w:color="auto"/>
              <w:right w:val="nil" w:sz="6" w:space="0" w:color="auto"/>
            </w:tcBorders>
          </w:tcPr>
          <w:p>
            <w:pPr>
              <w:pStyle w:val="TableParagraph"/>
              <w:tabs>
                <w:tab w:pos="1049" w:val="left" w:leader="none"/>
                <w:tab w:pos="1757" w:val="left" w:leader="none"/>
              </w:tabs>
              <w:spacing w:line="240" w:lineRule="auto" w:before="4"/>
              <w:ind w:left="1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7,868</w:t>
              <w:tab/>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902" w:val="left" w:leader="none"/>
                <w:tab w:pos="1610" w:val="left" w:leader="none"/>
              </w:tabs>
              <w:spacing w:line="240" w:lineRule="auto" w:before="21"/>
              <w:ind w:right="8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8,554</w:t>
              <w:tab/>
            </w:r>
            <w:r>
              <w:rPr>
                <w:rFonts w:ascii="Arial"/>
                <w:spacing w:val="-1"/>
                <w:sz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1031" w:val="left" w:leader="none"/>
                <w:tab w:pos="1739" w:val="left" w:leader="none"/>
              </w:tabs>
              <w:spacing w:line="240" w:lineRule="auto" w:before="21"/>
              <w:ind w:left="15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8,731</w:t>
              <w:tab/>
            </w:r>
            <w:r>
              <w:rPr>
                <w:rFonts w:ascii="Arial"/>
                <w:sz w:val="24"/>
              </w:rPr>
            </w:r>
          </w:p>
        </w:tc>
      </w:tr>
      <w:tr>
        <w:trPr>
          <w:trHeight w:val="263" w:hRule="exact"/>
        </w:trPr>
        <w:tc>
          <w:tcPr>
            <w:tcW w:w="2173"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nil" w:sz="6" w:space="0" w:color="auto"/>
            </w:tcBorders>
          </w:tcPr>
          <w:p>
            <w:pPr>
              <w:pStyle w:val="TableParagraph"/>
              <w:tabs>
                <w:tab w:pos="345" w:val="left" w:leader="none"/>
                <w:tab w:pos="1653" w:val="left" w:leader="none"/>
              </w:tabs>
              <w:spacing w:line="268" w:lineRule="exact"/>
              <w:ind w:right="10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67,263,014</w:t>
              <w:tab/>
            </w:r>
            <w:r>
              <w:rPr>
                <w:rFonts w:ascii="Arial"/>
                <w:spacing w:val="-1"/>
                <w:sz w:val="24"/>
              </w:rPr>
            </w:r>
          </w:p>
        </w:tc>
        <w:tc>
          <w:tcPr>
            <w:tcW w:w="1854" w:type="dxa"/>
            <w:tcBorders>
              <w:top w:val="nil" w:sz="6" w:space="0" w:color="auto"/>
              <w:left w:val="nil" w:sz="6" w:space="0" w:color="auto"/>
              <w:bottom w:val="nil" w:sz="6" w:space="0" w:color="auto"/>
              <w:right w:val="nil" w:sz="6" w:space="0" w:color="auto"/>
            </w:tcBorders>
          </w:tcPr>
          <w:p>
            <w:pPr>
              <w:pStyle w:val="TableParagraph"/>
              <w:tabs>
                <w:tab w:pos="449" w:val="left" w:leader="none"/>
                <w:tab w:pos="1757" w:val="left" w:leader="none"/>
              </w:tabs>
              <w:spacing w:line="268" w:lineRule="exact"/>
              <w:ind w:left="12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62,509,067</w:t>
              <w:tab/>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316" w:val="left" w:leader="none"/>
                <w:tab w:pos="1625" w:val="left" w:leader="none"/>
              </w:tabs>
              <w:spacing w:line="268" w:lineRule="exact"/>
              <w:ind w:right="8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54,366,074</w:t>
              <w:tab/>
            </w:r>
            <w:r>
              <w:rPr>
                <w:rFonts w:ascii="Arial"/>
                <w:spacing w:val="-1"/>
                <w:sz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431" w:val="left" w:leader="none"/>
                <w:tab w:pos="1739" w:val="left" w:leader="none"/>
              </w:tabs>
              <w:spacing w:line="268" w:lineRule="exact"/>
              <w:ind w:left="13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50,747,280</w:t>
              <w:tab/>
            </w:r>
            <w:r>
              <w:rPr>
                <w:rFonts w:ascii="Arial"/>
                <w:sz w:val="24"/>
              </w:rPr>
            </w:r>
          </w:p>
        </w:tc>
      </w:tr>
    </w:tbl>
    <w:p>
      <w:pPr>
        <w:spacing w:after="0" w:line="268" w:lineRule="exact"/>
        <w:jc w:val="left"/>
        <w:rPr>
          <w:rFonts w:ascii="Arial" w:hAnsi="Arial" w:cs="Arial" w:eastAsia="Arial" w:hint="default"/>
          <w:sz w:val="24"/>
          <w:szCs w:val="24"/>
        </w:rPr>
        <w:sectPr>
          <w:headerReference w:type="default" r:id="rId100"/>
          <w:footerReference w:type="default" r:id="rId101"/>
          <w:pgSz w:w="11910" w:h="16850"/>
          <w:pgMar w:header="754" w:footer="956" w:top="2240" w:bottom="1140" w:left="820" w:right="0"/>
          <w:pgNumType w:start="221"/>
        </w:sectPr>
      </w:pPr>
    </w:p>
    <w:p>
      <w:pPr>
        <w:spacing w:line="240" w:lineRule="auto" w:before="11"/>
        <w:rPr>
          <w:rFonts w:ascii="Times New Roman" w:hAnsi="Times New Roman" w:cs="Times New Roman" w:eastAsia="Times New Roman"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776"/>
        <w:gridCol w:w="1819"/>
        <w:gridCol w:w="2135"/>
        <w:gridCol w:w="1854"/>
        <w:gridCol w:w="1841"/>
        <w:gridCol w:w="1837"/>
      </w:tblGrid>
      <w:tr>
        <w:trPr>
          <w:trHeight w:val="69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395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99"/>
              <w:ind w:left="117"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854" w:type="dxa"/>
            <w:tcBorders>
              <w:top w:val="single" w:sz="6" w:space="0" w:color="000000"/>
              <w:left w:val="nil" w:sz="6" w:space="0" w:color="auto"/>
              <w:bottom w:val="nil" w:sz="6" w:space="0" w:color="auto"/>
              <w:right w:val="nil" w:sz="6" w:space="0" w:color="auto"/>
            </w:tcBorders>
          </w:tcPr>
          <w:p>
            <w:pPr/>
          </w:p>
        </w:tc>
        <w:tc>
          <w:tcPr>
            <w:tcW w:w="1841" w:type="dxa"/>
            <w:tcBorders>
              <w:top w:val="single" w:sz="6" w:space="0" w:color="000000"/>
              <w:left w:val="nil" w:sz="6" w:space="0" w:color="auto"/>
              <w:bottom w:val="nil" w:sz="6" w:space="0" w:color="auto"/>
              <w:right w:val="nil" w:sz="6" w:space="0" w:color="auto"/>
            </w:tcBorders>
          </w:tcPr>
          <w:p>
            <w:pPr/>
          </w:p>
        </w:tc>
        <w:tc>
          <w:tcPr>
            <w:tcW w:w="1837" w:type="dxa"/>
            <w:tcBorders>
              <w:top w:val="single" w:sz="6" w:space="0" w:color="000000"/>
              <w:left w:val="nil" w:sz="6" w:space="0" w:color="auto"/>
              <w:bottom w:val="nil" w:sz="6" w:space="0" w:color="auto"/>
              <w:right w:val="nil" w:sz="6" w:space="0" w:color="auto"/>
            </w:tcBorders>
          </w:tcPr>
          <w:p>
            <w:pPr/>
          </w:p>
        </w:tc>
      </w:tr>
      <w:tr>
        <w:trPr>
          <w:trHeight w:val="58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(4)</w:t>
            </w:r>
          </w:p>
        </w:tc>
        <w:tc>
          <w:tcPr>
            <w:tcW w:w="39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17" w:right="0"/>
              <w:jc w:val="left"/>
              <w:rPr>
                <w:rFonts w:ascii="Arial" w:hAnsi="Arial" w:cs="Arial" w:eastAsia="Arial" w:hint="default"/>
                <w:sz w:val="24"/>
                <w:szCs w:val="24"/>
              </w:rPr>
            </w:pPr>
            <w:r>
              <w:rPr>
                <w:rFonts w:ascii="宋体" w:hAnsi="宋体" w:cs="宋体" w:eastAsia="宋体" w:hint="default"/>
                <w:b/>
                <w:bCs/>
                <w:sz w:val="24"/>
                <w:szCs w:val="24"/>
              </w:rPr>
              <w:t>营业收入和营业成本</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185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r>
      <w:tr>
        <w:trPr>
          <w:trHeight w:val="5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(a)</w:t>
            </w:r>
          </w:p>
        </w:tc>
        <w:tc>
          <w:tcPr>
            <w:tcW w:w="39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17"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85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r>
      <w:tr>
        <w:trPr>
          <w:trHeight w:val="582" w:hRule="exact"/>
        </w:trPr>
        <w:tc>
          <w:tcPr>
            <w:tcW w:w="776" w:type="dxa"/>
            <w:tcBorders>
              <w:top w:val="nil" w:sz="6" w:space="0" w:color="auto"/>
              <w:left w:val="nil" w:sz="6" w:space="0" w:color="auto"/>
              <w:bottom w:val="nil" w:sz="6" w:space="0" w:color="auto"/>
              <w:right w:val="nil" w:sz="6" w:space="0" w:color="auto"/>
            </w:tcBorders>
          </w:tcPr>
          <w:p>
            <w:pPr/>
          </w:p>
        </w:tc>
        <w:tc>
          <w:tcPr>
            <w:tcW w:w="395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17" w:right="0"/>
              <w:jc w:val="left"/>
              <w:rPr>
                <w:rFonts w:ascii="宋体" w:hAnsi="宋体" w:cs="宋体" w:eastAsia="宋体" w:hint="default"/>
                <w:sz w:val="24"/>
                <w:szCs w:val="24"/>
              </w:rPr>
            </w:pPr>
            <w:r>
              <w:rPr>
                <w:rFonts w:ascii="宋体" w:hAnsi="宋体" w:cs="宋体" w:eastAsia="宋体" w:hint="default"/>
                <w:sz w:val="24"/>
                <w:szCs w:val="24"/>
              </w:rPr>
              <w:t>按地区分析如下：</w:t>
            </w:r>
          </w:p>
        </w:tc>
        <w:tc>
          <w:tcPr>
            <w:tcW w:w="1854"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r>
      <w:tr>
        <w:trPr>
          <w:trHeight w:val="456" w:hRule="exact"/>
        </w:trPr>
        <w:tc>
          <w:tcPr>
            <w:tcW w:w="77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3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615"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6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52"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44" w:hRule="exact"/>
        </w:trPr>
        <w:tc>
          <w:tcPr>
            <w:tcW w:w="77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2135" w:type="dxa"/>
            <w:tcBorders>
              <w:top w:val="nil" w:sz="6" w:space="0" w:color="auto"/>
              <w:left w:val="nil" w:sz="6" w:space="0" w:color="auto"/>
              <w:bottom w:val="nil" w:sz="6" w:space="0" w:color="auto"/>
              <w:right w:val="nil" w:sz="6" w:space="0" w:color="auto"/>
            </w:tcBorders>
          </w:tcPr>
          <w:p>
            <w:pPr>
              <w:pStyle w:val="TableParagraph"/>
              <w:spacing w:line="270" w:lineRule="exact"/>
              <w:ind w:left="274" w:right="0"/>
              <w:jc w:val="center"/>
              <w:rPr>
                <w:rFonts w:ascii="宋体" w:hAnsi="宋体" w:cs="宋体" w:eastAsia="宋体" w:hint="default"/>
                <w:sz w:val="24"/>
                <w:szCs w:val="24"/>
              </w:rPr>
            </w:pPr>
            <w:r>
              <w:rPr>
                <w:rFonts w:ascii="宋体" w:hAnsi="宋体" w:cs="宋体" w:eastAsia="宋体" w:hint="default"/>
                <w:sz w:val="24"/>
                <w:szCs w:val="24"/>
              </w:rPr>
              <w:t>主营业务收入</w:t>
            </w:r>
          </w:p>
        </w:tc>
        <w:tc>
          <w:tcPr>
            <w:tcW w:w="1854" w:type="dxa"/>
            <w:tcBorders>
              <w:top w:val="nil" w:sz="6" w:space="0" w:color="auto"/>
              <w:left w:val="nil" w:sz="6" w:space="0" w:color="auto"/>
              <w:bottom w:val="nil" w:sz="6" w:space="0" w:color="auto"/>
              <w:right w:val="nil" w:sz="6" w:space="0" w:color="auto"/>
            </w:tcBorders>
          </w:tcPr>
          <w:p>
            <w:pPr>
              <w:pStyle w:val="TableParagraph"/>
              <w:spacing w:line="270" w:lineRule="exact"/>
              <w:ind w:left="20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841" w:type="dxa"/>
            <w:tcBorders>
              <w:top w:val="nil" w:sz="6" w:space="0" w:color="auto"/>
              <w:left w:val="nil" w:sz="6" w:space="0" w:color="auto"/>
              <w:bottom w:val="nil" w:sz="6" w:space="0" w:color="auto"/>
              <w:right w:val="nil" w:sz="6" w:space="0" w:color="auto"/>
            </w:tcBorders>
          </w:tcPr>
          <w:p>
            <w:pPr>
              <w:pStyle w:val="TableParagraph"/>
              <w:spacing w:line="270" w:lineRule="exact"/>
              <w:ind w:left="6" w:right="0"/>
              <w:jc w:val="center"/>
              <w:rPr>
                <w:rFonts w:ascii="宋体" w:hAnsi="宋体" w:cs="宋体" w:eastAsia="宋体" w:hint="default"/>
                <w:sz w:val="24"/>
                <w:szCs w:val="24"/>
              </w:rPr>
            </w:pPr>
            <w:r>
              <w:rPr>
                <w:rFonts w:ascii="宋体" w:hAnsi="宋体" w:cs="宋体" w:eastAsia="宋体" w:hint="default"/>
                <w:sz w:val="24"/>
                <w:szCs w:val="24"/>
              </w:rPr>
              <w:t>主营业务收入</w:t>
            </w:r>
          </w:p>
        </w:tc>
        <w:tc>
          <w:tcPr>
            <w:tcW w:w="1837" w:type="dxa"/>
            <w:tcBorders>
              <w:top w:val="nil" w:sz="6" w:space="0" w:color="auto"/>
              <w:left w:val="nil" w:sz="6" w:space="0" w:color="auto"/>
              <w:bottom w:val="nil" w:sz="6" w:space="0" w:color="auto"/>
              <w:right w:val="nil" w:sz="6" w:space="0" w:color="auto"/>
            </w:tcBorders>
          </w:tcPr>
          <w:p>
            <w:pPr>
              <w:pStyle w:val="TableParagraph"/>
              <w:spacing w:line="270" w:lineRule="exact"/>
              <w:ind w:left="196"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45" w:hRule="exact"/>
        </w:trPr>
        <w:tc>
          <w:tcPr>
            <w:tcW w:w="77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4" w:right="0"/>
              <w:jc w:val="left"/>
              <w:rPr>
                <w:rFonts w:ascii="宋体" w:hAnsi="宋体" w:cs="宋体" w:eastAsia="宋体" w:hint="default"/>
                <w:sz w:val="24"/>
                <w:szCs w:val="24"/>
              </w:rPr>
            </w:pPr>
            <w:r>
              <w:rPr>
                <w:rFonts w:ascii="宋体" w:hAnsi="宋体" w:cs="宋体" w:eastAsia="宋体" w:hint="default"/>
                <w:sz w:val="24"/>
                <w:szCs w:val="24"/>
              </w:rPr>
              <w:t>华东一区</w:t>
            </w:r>
          </w:p>
        </w:tc>
        <w:tc>
          <w:tcPr>
            <w:tcW w:w="2135" w:type="dxa"/>
            <w:tcBorders>
              <w:top w:val="nil" w:sz="6" w:space="0" w:color="auto"/>
              <w:left w:val="nil" w:sz="6" w:space="0" w:color="auto"/>
              <w:bottom w:val="nil" w:sz="6" w:space="0" w:color="auto"/>
              <w:right w:val="nil" w:sz="6" w:space="0" w:color="auto"/>
            </w:tcBorders>
          </w:tcPr>
          <w:p>
            <w:pPr>
              <w:pStyle w:val="TableParagraph"/>
              <w:tabs>
                <w:tab w:pos="622" w:val="left" w:leader="none"/>
                <w:tab w:pos="1930" w:val="left" w:leader="none"/>
              </w:tabs>
              <w:spacing w:line="240" w:lineRule="auto" w:before="174"/>
              <w:ind w:left="277"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67,263,014</w:t>
              <w:tab/>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tabs>
                <w:tab w:pos="449" w:val="left" w:leader="none"/>
                <w:tab w:pos="1758" w:val="left" w:leader="none"/>
              </w:tabs>
              <w:spacing w:line="240" w:lineRule="auto" w:before="174"/>
              <w:ind w:left="17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62,509,067</w:t>
              <w:tab/>
            </w:r>
            <w:r>
              <w:rPr>
                <w:rFonts w:ascii="Arial"/>
                <w:sz w:val="24"/>
              </w:rPr>
            </w:r>
          </w:p>
        </w:tc>
        <w:tc>
          <w:tcPr>
            <w:tcW w:w="1841" w:type="dxa"/>
            <w:tcBorders>
              <w:top w:val="nil" w:sz="6" w:space="0" w:color="auto"/>
              <w:left w:val="nil" w:sz="6" w:space="0" w:color="auto"/>
              <w:bottom w:val="nil" w:sz="6" w:space="0" w:color="auto"/>
              <w:right w:val="nil" w:sz="6" w:space="0" w:color="auto"/>
            </w:tcBorders>
          </w:tcPr>
          <w:p>
            <w:pPr>
              <w:pStyle w:val="TableParagraph"/>
              <w:tabs>
                <w:tab w:pos="355" w:val="left" w:leader="none"/>
                <w:tab w:pos="1663" w:val="left" w:leader="none"/>
              </w:tabs>
              <w:spacing w:line="240" w:lineRule="auto" w:before="174"/>
              <w:ind w:left="38" w:right="0"/>
              <w:jc w:val="center"/>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54,366,074</w:t>
              <w:tab/>
            </w:r>
            <w:r>
              <w:rPr>
                <w:rFonts w:ascii="Arial"/>
                <w:sz w:val="24"/>
              </w:rPr>
            </w:r>
          </w:p>
        </w:tc>
        <w:tc>
          <w:tcPr>
            <w:tcW w:w="1837" w:type="dxa"/>
            <w:tcBorders>
              <w:top w:val="nil" w:sz="6" w:space="0" w:color="auto"/>
              <w:left w:val="nil" w:sz="6" w:space="0" w:color="auto"/>
              <w:bottom w:val="nil" w:sz="6" w:space="0" w:color="auto"/>
              <w:right w:val="nil" w:sz="6" w:space="0" w:color="auto"/>
            </w:tcBorders>
          </w:tcPr>
          <w:p>
            <w:pPr>
              <w:pStyle w:val="TableParagraph"/>
              <w:tabs>
                <w:tab w:pos="436" w:val="left" w:leader="none"/>
                <w:tab w:pos="1744" w:val="left" w:leader="none"/>
              </w:tabs>
              <w:spacing w:line="240" w:lineRule="auto" w:before="174"/>
              <w:ind w:left="13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50,747,280</w:t>
              <w:tab/>
            </w:r>
            <w:r>
              <w:rPr>
                <w:rFonts w:ascii="Arial"/>
                <w:sz w:val="24"/>
              </w:rPr>
            </w:r>
          </w:p>
        </w:tc>
      </w:tr>
    </w:tbl>
    <w:p>
      <w:pPr>
        <w:spacing w:line="240" w:lineRule="auto" w:before="8"/>
        <w:rPr>
          <w:rFonts w:ascii="Times New Roman" w:hAnsi="Times New Roman" w:cs="Times New Roman" w:eastAsia="Times New Roman"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694"/>
        <w:gridCol w:w="2549"/>
        <w:gridCol w:w="1489"/>
        <w:gridCol w:w="1854"/>
        <w:gridCol w:w="1836"/>
        <w:gridCol w:w="1833"/>
      </w:tblGrid>
      <w:tr>
        <w:trPr>
          <w:trHeight w:val="419"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4038"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854"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1833" w:type="dxa"/>
            <w:tcBorders>
              <w:top w:val="nil" w:sz="6" w:space="0" w:color="auto"/>
              <w:left w:val="nil" w:sz="6" w:space="0" w:color="auto"/>
              <w:bottom w:val="nil" w:sz="6" w:space="0" w:color="auto"/>
              <w:right w:val="nil" w:sz="6" w:space="0" w:color="auto"/>
            </w:tcBorders>
          </w:tcPr>
          <w:p>
            <w:pPr/>
          </w:p>
        </w:tc>
      </w:tr>
      <w:tr>
        <w:trPr>
          <w:trHeight w:val="461" w:hRule="exact"/>
        </w:trPr>
        <w:tc>
          <w:tcPr>
            <w:tcW w:w="694"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c>
          <w:tcPr>
            <w:tcW w:w="3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68"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36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51" w:right="0"/>
              <w:jc w:val="center"/>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694" w:type="dxa"/>
            <w:tcBorders>
              <w:top w:val="nil" w:sz="6" w:space="0" w:color="auto"/>
              <w:left w:val="nil" w:sz="6" w:space="0" w:color="auto"/>
              <w:bottom w:val="nil" w:sz="6" w:space="0" w:color="auto"/>
              <w:right w:val="nil" w:sz="6" w:space="0" w:color="auto"/>
            </w:tcBorders>
          </w:tcPr>
          <w:p>
            <w:pPr/>
          </w:p>
        </w:tc>
        <w:tc>
          <w:tcPr>
            <w:tcW w:w="4038" w:type="dxa"/>
            <w:gridSpan w:val="2"/>
            <w:tcBorders>
              <w:top w:val="nil" w:sz="6" w:space="0" w:color="auto"/>
              <w:left w:val="nil" w:sz="6" w:space="0" w:color="auto"/>
              <w:bottom w:val="nil" w:sz="6" w:space="0" w:color="auto"/>
              <w:right w:val="nil" w:sz="6" w:space="0" w:color="auto"/>
            </w:tcBorders>
          </w:tcPr>
          <w:p>
            <w:pPr>
              <w:pStyle w:val="TableParagraph"/>
              <w:spacing w:line="275" w:lineRule="exact"/>
              <w:ind w:left="238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854" w:type="dxa"/>
            <w:tcBorders>
              <w:top w:val="nil" w:sz="6" w:space="0" w:color="auto"/>
              <w:left w:val="nil" w:sz="6" w:space="0" w:color="auto"/>
              <w:bottom w:val="nil" w:sz="6" w:space="0" w:color="auto"/>
              <w:right w:val="nil" w:sz="6" w:space="0" w:color="auto"/>
            </w:tcBorders>
          </w:tcPr>
          <w:p>
            <w:pPr>
              <w:pStyle w:val="TableParagraph"/>
              <w:spacing w:line="275" w:lineRule="exact"/>
              <w:ind w:left="20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836" w:type="dxa"/>
            <w:tcBorders>
              <w:top w:val="nil" w:sz="6" w:space="0" w:color="auto"/>
              <w:left w:val="nil" w:sz="6" w:space="0" w:color="auto"/>
              <w:bottom w:val="nil" w:sz="6" w:space="0" w:color="auto"/>
              <w:right w:val="nil" w:sz="6" w:space="0" w:color="auto"/>
            </w:tcBorders>
          </w:tcPr>
          <w:p>
            <w:pPr>
              <w:pStyle w:val="TableParagraph"/>
              <w:spacing w:line="275" w:lineRule="exact"/>
              <w:ind w:left="203"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833" w:type="dxa"/>
            <w:tcBorders>
              <w:top w:val="nil" w:sz="6" w:space="0" w:color="auto"/>
              <w:left w:val="nil" w:sz="6" w:space="0" w:color="auto"/>
              <w:bottom w:val="nil" w:sz="6" w:space="0" w:color="auto"/>
              <w:right w:val="nil" w:sz="6" w:space="0" w:color="auto"/>
            </w:tcBorders>
          </w:tcPr>
          <w:p>
            <w:pPr>
              <w:pStyle w:val="TableParagraph"/>
              <w:spacing w:line="275" w:lineRule="exact"/>
              <w:ind w:left="191" w:right="0"/>
              <w:jc w:val="left"/>
              <w:rPr>
                <w:rFonts w:ascii="宋体" w:hAnsi="宋体" w:cs="宋体" w:eastAsia="宋体" w:hint="default"/>
                <w:sz w:val="24"/>
                <w:szCs w:val="24"/>
              </w:rPr>
            </w:pPr>
            <w:r>
              <w:rPr>
                <w:rFonts w:ascii="宋体" w:hAnsi="宋体" w:cs="宋体" w:eastAsia="宋体" w:hint="default"/>
                <w:sz w:val="24"/>
                <w:szCs w:val="24"/>
              </w:rPr>
              <w:t>其他业务成本</w:t>
            </w:r>
          </w:p>
        </w:tc>
      </w:tr>
      <w:tr>
        <w:trPr>
          <w:trHeight w:val="481" w:hRule="exact"/>
        </w:trPr>
        <w:tc>
          <w:tcPr>
            <w:tcW w:w="694"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7" w:right="0"/>
              <w:jc w:val="left"/>
              <w:rPr>
                <w:rFonts w:ascii="宋体" w:hAnsi="宋体" w:cs="宋体" w:eastAsia="宋体" w:hint="default"/>
                <w:sz w:val="24"/>
                <w:szCs w:val="24"/>
              </w:rPr>
            </w:pPr>
            <w:r>
              <w:rPr>
                <w:rFonts w:ascii="宋体" w:hAnsi="宋体" w:cs="宋体" w:eastAsia="宋体" w:hint="default"/>
                <w:sz w:val="24"/>
                <w:szCs w:val="24"/>
              </w:rPr>
              <w:t>连锁店服务收入</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411" w:right="0"/>
              <w:jc w:val="left"/>
              <w:rPr>
                <w:rFonts w:ascii="Arial" w:hAnsi="Arial" w:cs="Arial" w:eastAsia="Arial" w:hint="default"/>
                <w:sz w:val="24"/>
                <w:szCs w:val="24"/>
              </w:rPr>
            </w:pPr>
            <w:r>
              <w:rPr>
                <w:rFonts w:ascii="Arial"/>
                <w:sz w:val="24"/>
              </w:rPr>
              <w:t>132,753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218"/>
              <w:jc w:val="right"/>
              <w:rPr>
                <w:rFonts w:ascii="Arial" w:hAnsi="Arial" w:cs="Arial" w:eastAsia="Arial" w:hint="default"/>
                <w:sz w:val="24"/>
                <w:szCs w:val="24"/>
              </w:rPr>
            </w:pPr>
            <w:r>
              <w:rPr>
                <w:rFonts w:ascii="Arial"/>
                <w:w w:val="99"/>
                <w:sz w:val="24"/>
              </w:rPr>
              <w:t>-</w:t>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777" w:right="0"/>
              <w:jc w:val="left"/>
              <w:rPr>
                <w:rFonts w:ascii="Arial" w:hAnsi="Arial" w:cs="Arial" w:eastAsia="Arial" w:hint="default"/>
                <w:sz w:val="24"/>
                <w:szCs w:val="24"/>
              </w:rPr>
            </w:pPr>
            <w:r>
              <w:rPr>
                <w:rFonts w:ascii="Arial"/>
                <w:sz w:val="24"/>
              </w:rPr>
              <w:t>127,234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185"/>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22" w:hRule="exact"/>
        </w:trPr>
        <w:tc>
          <w:tcPr>
            <w:tcW w:w="694"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66" w:lineRule="exact"/>
              <w:ind w:left="217" w:right="0"/>
              <w:jc w:val="left"/>
              <w:rPr>
                <w:rFonts w:ascii="宋体" w:hAnsi="宋体" w:cs="宋体" w:eastAsia="宋体" w:hint="default"/>
                <w:sz w:val="24"/>
                <w:szCs w:val="24"/>
              </w:rPr>
            </w:pPr>
            <w:r>
              <w:rPr>
                <w:rFonts w:ascii="宋体" w:hAnsi="宋体" w:cs="宋体" w:eastAsia="宋体" w:hint="default"/>
                <w:sz w:val="24"/>
                <w:szCs w:val="24"/>
              </w:rPr>
              <w:t>代理费收入</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7"/>
              <w:jc w:val="right"/>
              <w:rPr>
                <w:rFonts w:ascii="Arial" w:hAnsi="Arial" w:cs="Arial" w:eastAsia="Arial" w:hint="default"/>
                <w:sz w:val="24"/>
                <w:szCs w:val="24"/>
              </w:rPr>
            </w:pPr>
            <w:r>
              <w:rPr>
                <w:rFonts w:ascii="Arial"/>
                <w:spacing w:val="-1"/>
                <w:sz w:val="24"/>
              </w:rPr>
              <w:t>70,375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8"/>
              <w:jc w:val="right"/>
              <w:rPr>
                <w:rFonts w:ascii="Arial" w:hAnsi="Arial" w:cs="Arial" w:eastAsia="Arial" w:hint="default"/>
                <w:sz w:val="24"/>
                <w:szCs w:val="24"/>
              </w:rPr>
            </w:pPr>
            <w:r>
              <w:rPr>
                <w:rFonts w:ascii="Arial"/>
                <w:w w:val="99"/>
                <w:sz w:val="24"/>
              </w:rPr>
              <w:t>-</w:t>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09" w:right="0"/>
              <w:jc w:val="left"/>
              <w:rPr>
                <w:rFonts w:ascii="Arial" w:hAnsi="Arial" w:cs="Arial" w:eastAsia="Arial" w:hint="default"/>
                <w:sz w:val="24"/>
                <w:szCs w:val="24"/>
              </w:rPr>
            </w:pPr>
            <w:r>
              <w:rPr>
                <w:rFonts w:ascii="Arial"/>
                <w:sz w:val="24"/>
              </w:rPr>
              <w:t>98,464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22" w:hRule="exact"/>
        </w:trPr>
        <w:tc>
          <w:tcPr>
            <w:tcW w:w="694"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spacing w:line="265" w:lineRule="exact"/>
              <w:ind w:left="217" w:right="0"/>
              <w:jc w:val="left"/>
              <w:rPr>
                <w:rFonts w:ascii="宋体" w:hAnsi="宋体" w:cs="宋体" w:eastAsia="宋体" w:hint="default"/>
                <w:sz w:val="24"/>
                <w:szCs w:val="24"/>
              </w:rPr>
            </w:pPr>
            <w:r>
              <w:rPr>
                <w:rFonts w:ascii="宋体" w:hAnsi="宋体" w:cs="宋体" w:eastAsia="宋体" w:hint="default"/>
                <w:sz w:val="24"/>
                <w:szCs w:val="24"/>
              </w:rPr>
              <w:t>广告位使用费收入</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7"/>
              <w:jc w:val="right"/>
              <w:rPr>
                <w:rFonts w:ascii="Arial" w:hAnsi="Arial" w:cs="Arial" w:eastAsia="Arial" w:hint="default"/>
                <w:sz w:val="24"/>
                <w:szCs w:val="24"/>
              </w:rPr>
            </w:pPr>
            <w:r>
              <w:rPr>
                <w:rFonts w:ascii="Arial"/>
                <w:spacing w:val="-1"/>
                <w:sz w:val="24"/>
              </w:rPr>
              <w:t>33,481</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8"/>
              <w:jc w:val="right"/>
              <w:rPr>
                <w:rFonts w:ascii="Arial" w:hAnsi="Arial" w:cs="Arial" w:eastAsia="Arial" w:hint="default"/>
                <w:sz w:val="24"/>
                <w:szCs w:val="24"/>
              </w:rPr>
            </w:pPr>
            <w:r>
              <w:rPr>
                <w:rFonts w:ascii="Arial"/>
                <w:w w:val="99"/>
                <w:sz w:val="24"/>
              </w:rPr>
              <w:t>-</w:t>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09" w:right="0"/>
              <w:jc w:val="left"/>
              <w:rPr>
                <w:rFonts w:ascii="Arial" w:hAnsi="Arial" w:cs="Arial" w:eastAsia="Arial" w:hint="default"/>
                <w:sz w:val="24"/>
                <w:szCs w:val="24"/>
              </w:rPr>
            </w:pPr>
            <w:r>
              <w:rPr>
                <w:rFonts w:ascii="Arial"/>
                <w:sz w:val="24"/>
              </w:rPr>
              <w:t>18,018</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9" w:hRule="exact"/>
        </w:trPr>
        <w:tc>
          <w:tcPr>
            <w:tcW w:w="694"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Style w:val="TableParagraph"/>
              <w:tabs>
                <w:tab w:pos="2296" w:val="left" w:leader="none"/>
                <w:tab w:pos="3092" w:val="left" w:leader="none"/>
              </w:tabs>
              <w:spacing w:line="265" w:lineRule="exact"/>
              <w:ind w:left="217" w:right="-544"/>
              <w:jc w:val="left"/>
              <w:rPr>
                <w:rFonts w:ascii="Arial" w:hAnsi="Arial" w:cs="Arial" w:eastAsia="Arial" w:hint="default"/>
                <w:sz w:val="24"/>
                <w:szCs w:val="24"/>
              </w:rPr>
            </w:pPr>
            <w:r>
              <w:rPr>
                <w:rFonts w:ascii="宋体" w:hAnsi="宋体" w:cs="宋体" w:eastAsia="宋体" w:hint="default"/>
                <w:position w:val="2"/>
                <w:sz w:val="24"/>
                <w:szCs w:val="24"/>
              </w:rPr>
              <w:t>租赁收入</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489"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5"/>
              <w:ind w:right="100"/>
              <w:jc w:val="right"/>
              <w:rPr>
                <w:rFonts w:ascii="Arial" w:hAnsi="Arial" w:cs="Arial" w:eastAsia="Arial" w:hint="default"/>
                <w:sz w:val="24"/>
                <w:szCs w:val="24"/>
              </w:rPr>
            </w:pPr>
            <w:r>
              <w:rPr>
                <w:rFonts w:ascii="Arial"/>
                <w:w w:val="99"/>
                <w:sz w:val="24"/>
              </w:rPr>
            </w:r>
            <w:r>
              <w:rPr>
                <w:rFonts w:ascii="Arial"/>
                <w:spacing w:val="-1"/>
                <w:sz w:val="24"/>
                <w:u w:val="single" w:color="000000"/>
              </w:rPr>
              <w:t>39,825</w:t>
              <w:tab/>
            </w:r>
            <w:r>
              <w:rPr>
                <w:rFonts w:ascii="Arial"/>
                <w:spacing w:val="-1"/>
                <w:sz w:val="24"/>
              </w:rPr>
            </w:r>
          </w:p>
        </w:tc>
        <w:tc>
          <w:tcPr>
            <w:tcW w:w="1854" w:type="dxa"/>
            <w:tcBorders>
              <w:top w:val="nil" w:sz="6" w:space="0" w:color="auto"/>
              <w:left w:val="nil" w:sz="6" w:space="0" w:color="auto"/>
              <w:bottom w:val="nil" w:sz="6" w:space="0" w:color="auto"/>
              <w:right w:val="nil" w:sz="6" w:space="0" w:color="auto"/>
            </w:tcBorders>
          </w:tcPr>
          <w:p>
            <w:pPr>
              <w:pStyle w:val="TableParagraph"/>
              <w:tabs>
                <w:tab w:pos="915" w:val="left" w:leader="none"/>
                <w:tab w:pos="1757" w:val="left" w:leader="none"/>
              </w:tabs>
              <w:spacing w:line="240" w:lineRule="auto" w:before="25"/>
              <w:ind w:left="19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30,300</w:t>
              <w:tab/>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909" w:val="left" w:leader="none"/>
                <w:tab w:pos="1752" w:val="left" w:leader="none"/>
              </w:tabs>
              <w:spacing w:line="240" w:lineRule="auto" w:before="25"/>
              <w:ind w:left="14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24,400</w:t>
              <w:tab/>
            </w:r>
            <w:r>
              <w:rPr>
                <w:rFonts w:ascii="Arial"/>
                <w:sz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897" w:val="left" w:leader="none"/>
                <w:tab w:pos="1739" w:val="left" w:leader="none"/>
              </w:tabs>
              <w:spacing w:line="240" w:lineRule="auto" w:before="25"/>
              <w:ind w:left="15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10,291</w:t>
              <w:tab/>
            </w:r>
            <w:r>
              <w:rPr>
                <w:rFonts w:ascii="Arial"/>
                <w:sz w:val="24"/>
              </w:rPr>
            </w:r>
          </w:p>
        </w:tc>
      </w:tr>
      <w:tr>
        <w:trPr>
          <w:trHeight w:val="437" w:hRule="exact"/>
        </w:trPr>
        <w:tc>
          <w:tcPr>
            <w:tcW w:w="694" w:type="dxa"/>
            <w:tcBorders>
              <w:top w:val="nil" w:sz="6" w:space="0" w:color="auto"/>
              <w:left w:val="nil" w:sz="6" w:space="0" w:color="auto"/>
              <w:bottom w:val="nil" w:sz="6" w:space="0" w:color="auto"/>
              <w:right w:val="nil" w:sz="6" w:space="0" w:color="auto"/>
            </w:tcBorders>
          </w:tcPr>
          <w:p>
            <w:pPr/>
          </w:p>
        </w:tc>
        <w:tc>
          <w:tcPr>
            <w:tcW w:w="4038" w:type="dxa"/>
            <w:gridSpan w:val="2"/>
            <w:tcBorders>
              <w:top w:val="nil" w:sz="6" w:space="0" w:color="auto"/>
              <w:left w:val="nil" w:sz="6" w:space="0" w:color="auto"/>
              <w:bottom w:val="nil" w:sz="6" w:space="0" w:color="auto"/>
              <w:right w:val="nil" w:sz="6" w:space="0" w:color="auto"/>
            </w:tcBorders>
          </w:tcPr>
          <w:p>
            <w:pPr>
              <w:pStyle w:val="TableParagraph"/>
              <w:tabs>
                <w:tab w:pos="2960" w:val="left" w:leader="none"/>
                <w:tab w:pos="3935" w:val="left" w:leader="none"/>
              </w:tabs>
              <w:spacing w:line="268" w:lineRule="exact"/>
              <w:ind w:left="229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276,434</w:t>
              <w:tab/>
            </w:r>
            <w:r>
              <w:rPr>
                <w:rFonts w:ascii="Arial"/>
                <w:sz w:val="24"/>
              </w:rPr>
            </w:r>
          </w:p>
        </w:tc>
        <w:tc>
          <w:tcPr>
            <w:tcW w:w="1854" w:type="dxa"/>
            <w:tcBorders>
              <w:top w:val="nil" w:sz="6" w:space="0" w:color="auto"/>
              <w:left w:val="nil" w:sz="6" w:space="0" w:color="auto"/>
              <w:bottom w:val="nil" w:sz="6" w:space="0" w:color="auto"/>
              <w:right w:val="nil" w:sz="6" w:space="0" w:color="auto"/>
            </w:tcBorders>
          </w:tcPr>
          <w:p>
            <w:pPr>
              <w:pStyle w:val="TableParagraph"/>
              <w:tabs>
                <w:tab w:pos="915" w:val="left" w:leader="none"/>
                <w:tab w:pos="1757" w:val="left" w:leader="none"/>
              </w:tabs>
              <w:spacing w:line="268" w:lineRule="exact"/>
              <w:ind w:left="19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30,300</w:t>
              <w:tab/>
            </w:r>
            <w:r>
              <w:rPr>
                <w:rFonts w:ascii="Arial"/>
                <w:sz w:val="24"/>
              </w:rPr>
            </w:r>
          </w:p>
        </w:tc>
        <w:tc>
          <w:tcPr>
            <w:tcW w:w="1836" w:type="dxa"/>
            <w:tcBorders>
              <w:top w:val="nil" w:sz="6" w:space="0" w:color="auto"/>
              <w:left w:val="nil" w:sz="6" w:space="0" w:color="auto"/>
              <w:bottom w:val="nil" w:sz="6" w:space="0" w:color="auto"/>
              <w:right w:val="nil" w:sz="6" w:space="0" w:color="auto"/>
            </w:tcBorders>
          </w:tcPr>
          <w:p>
            <w:pPr>
              <w:pStyle w:val="TableParagraph"/>
              <w:tabs>
                <w:tab w:pos="793" w:val="left" w:leader="none"/>
                <w:tab w:pos="1752" w:val="left" w:leader="none"/>
              </w:tabs>
              <w:spacing w:line="268" w:lineRule="exact"/>
              <w:ind w:left="14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268,116</w:t>
              <w:tab/>
            </w:r>
            <w:r>
              <w:rPr>
                <w:rFonts w:ascii="Arial"/>
                <w:spacing w:val="-3"/>
                <w:sz w:val="24"/>
              </w:rPr>
            </w:r>
          </w:p>
        </w:tc>
        <w:tc>
          <w:tcPr>
            <w:tcW w:w="1833" w:type="dxa"/>
            <w:tcBorders>
              <w:top w:val="nil" w:sz="6" w:space="0" w:color="auto"/>
              <w:left w:val="nil" w:sz="6" w:space="0" w:color="auto"/>
              <w:bottom w:val="nil" w:sz="6" w:space="0" w:color="auto"/>
              <w:right w:val="nil" w:sz="6" w:space="0" w:color="auto"/>
            </w:tcBorders>
          </w:tcPr>
          <w:p>
            <w:pPr>
              <w:pStyle w:val="TableParagraph"/>
              <w:tabs>
                <w:tab w:pos="897" w:val="left" w:leader="none"/>
                <w:tab w:pos="1739" w:val="left" w:leader="none"/>
              </w:tabs>
              <w:spacing w:line="268" w:lineRule="exact"/>
              <w:ind w:left="15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10,291</w:t>
              <w:tab/>
            </w:r>
            <w:r>
              <w:rPr>
                <w:rFonts w:ascii="Arial"/>
                <w:sz w:val="24"/>
              </w:rPr>
            </w:r>
          </w:p>
        </w:tc>
      </w:tr>
      <w:tr>
        <w:trPr>
          <w:trHeight w:val="414" w:hRule="exact"/>
        </w:trPr>
        <w:tc>
          <w:tcPr>
            <w:tcW w:w="694" w:type="dxa"/>
            <w:tcBorders>
              <w:top w:val="nil" w:sz="6" w:space="0" w:color="auto"/>
              <w:left w:val="nil" w:sz="6" w:space="0" w:color="auto"/>
              <w:bottom w:val="nil" w:sz="6" w:space="0" w:color="auto"/>
              <w:right w:val="nil" w:sz="6" w:space="0" w:color="auto"/>
            </w:tcBorders>
          </w:tcPr>
          <w:p>
            <w:pPr/>
          </w:p>
        </w:tc>
        <w:tc>
          <w:tcPr>
            <w:tcW w:w="77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注：连锁店服务收入指供应商支付的广告促销收入及广告费收入等。</w:t>
            </w:r>
          </w:p>
        </w:tc>
        <w:tc>
          <w:tcPr>
            <w:tcW w:w="1833"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701"/>
        <w:gridCol w:w="4344"/>
        <w:gridCol w:w="2593"/>
        <w:gridCol w:w="2630"/>
      </w:tblGrid>
      <w:tr>
        <w:trPr>
          <w:trHeight w:val="41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4344" w:type="dxa"/>
            <w:tcBorders>
              <w:top w:val="nil" w:sz="6" w:space="0" w:color="auto"/>
              <w:left w:val="nil" w:sz="6" w:space="0" w:color="auto"/>
              <w:bottom w:val="nil" w:sz="6" w:space="0" w:color="auto"/>
              <w:right w:val="nil" w:sz="6" w:space="0" w:color="auto"/>
            </w:tcBorders>
          </w:tcPr>
          <w:p>
            <w:pPr>
              <w:pStyle w:val="TableParagraph"/>
              <w:spacing w:line="245" w:lineRule="exact"/>
              <w:ind w:left="221" w:right="0"/>
              <w:jc w:val="left"/>
              <w:rPr>
                <w:rFonts w:ascii="宋体" w:hAnsi="宋体" w:cs="宋体" w:eastAsia="宋体" w:hint="default"/>
                <w:sz w:val="24"/>
                <w:szCs w:val="24"/>
              </w:rPr>
            </w:pPr>
            <w:r>
              <w:rPr>
                <w:rFonts w:ascii="宋体" w:hAnsi="宋体" w:cs="宋体" w:eastAsia="宋体" w:hint="default"/>
                <w:sz w:val="24"/>
                <w:szCs w:val="24"/>
              </w:rPr>
              <w:t>本公司前五名客户的营业收入情况</w:t>
            </w:r>
          </w:p>
        </w:tc>
        <w:tc>
          <w:tcPr>
            <w:tcW w:w="2593"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r>
      <w:tr>
        <w:trPr>
          <w:trHeight w:val="906" w:hRule="exact"/>
        </w:trPr>
        <w:tc>
          <w:tcPr>
            <w:tcW w:w="701" w:type="dxa"/>
            <w:tcBorders>
              <w:top w:val="nil" w:sz="6" w:space="0" w:color="auto"/>
              <w:left w:val="nil" w:sz="6" w:space="0" w:color="auto"/>
              <w:bottom w:val="nil" w:sz="6" w:space="0" w:color="auto"/>
              <w:right w:val="nil" w:sz="6" w:space="0" w:color="auto"/>
            </w:tcBorders>
          </w:tcPr>
          <w:p>
            <w:pPr/>
          </w:p>
        </w:tc>
        <w:tc>
          <w:tcPr>
            <w:tcW w:w="9567"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0"/>
              <w:ind w:left="221" w:right="0"/>
              <w:jc w:val="left"/>
              <w:rPr>
                <w:rFonts w:ascii="宋体" w:hAnsi="宋体" w:cs="宋体" w:eastAsia="宋体" w:hint="default"/>
                <w:sz w:val="24"/>
                <w:szCs w:val="24"/>
              </w:rPr>
            </w:pPr>
            <w:r>
              <w:rPr>
                <w:rFonts w:ascii="宋体" w:hAnsi="宋体" w:cs="宋体" w:eastAsia="宋体" w:hint="default"/>
                <w:sz w:val="24"/>
                <w:szCs w:val="24"/>
              </w:rPr>
              <w:t>本公司前五名客户营业收入的总额为约人民币</w:t>
            </w:r>
            <w:r>
              <w:rPr>
                <w:rFonts w:ascii="宋体" w:hAnsi="宋体" w:cs="宋体" w:eastAsia="宋体" w:hint="default"/>
                <w:spacing w:val="-50"/>
                <w:sz w:val="24"/>
                <w:szCs w:val="24"/>
              </w:rPr>
              <w:t> </w:t>
            </w:r>
            <w:r>
              <w:rPr>
                <w:rFonts w:ascii="Arial" w:hAnsi="Arial" w:cs="Arial" w:eastAsia="Arial" w:hint="default"/>
                <w:sz w:val="24"/>
                <w:szCs w:val="24"/>
              </w:rPr>
              <w:t>157.7</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(2010</w:t>
            </w:r>
            <w:r>
              <w:rPr>
                <w:rFonts w:ascii="Arial" w:hAnsi="Arial" w:cs="Arial" w:eastAsia="Arial" w:hint="default"/>
                <w:spacing w:val="4"/>
                <w:sz w:val="24"/>
                <w:szCs w:val="24"/>
              </w:rPr>
              <w:t> </w:t>
            </w:r>
            <w:r>
              <w:rPr>
                <w:rFonts w:ascii="宋体" w:hAnsi="宋体" w:cs="宋体" w:eastAsia="宋体" w:hint="default"/>
                <w:sz w:val="24"/>
                <w:szCs w:val="24"/>
              </w:rPr>
              <w:t>年：约人民币</w:t>
            </w:r>
            <w:r>
              <w:rPr>
                <w:rFonts w:ascii="宋体" w:hAnsi="宋体" w:cs="宋体" w:eastAsia="宋体" w:hint="default"/>
                <w:spacing w:val="-50"/>
                <w:sz w:val="24"/>
                <w:szCs w:val="24"/>
              </w:rPr>
              <w:t> </w:t>
            </w:r>
            <w:r>
              <w:rPr>
                <w:rFonts w:ascii="Arial" w:hAnsi="Arial" w:cs="Arial" w:eastAsia="Arial" w:hint="default"/>
                <w:sz w:val="24"/>
                <w:szCs w:val="24"/>
              </w:rPr>
              <w:t>148.6</w:t>
            </w:r>
            <w:r>
              <w:rPr>
                <w:rFonts w:ascii="Arial" w:hAnsi="Arial" w:cs="Arial" w:eastAsia="Arial" w:hint="default"/>
                <w:spacing w:val="5"/>
                <w:sz w:val="24"/>
                <w:szCs w:val="24"/>
              </w:rPr>
              <w:t> </w:t>
            </w:r>
            <w:r>
              <w:rPr>
                <w:rFonts w:ascii="宋体" w:hAnsi="宋体" w:cs="宋体" w:eastAsia="宋体" w:hint="default"/>
                <w:sz w:val="24"/>
                <w:szCs w:val="24"/>
              </w:rPr>
              <w:t>亿</w:t>
            </w:r>
          </w:p>
          <w:p>
            <w:pPr>
              <w:pStyle w:val="TableParagraph"/>
              <w:spacing w:line="322" w:lineRule="exact"/>
              <w:ind w:left="221" w:right="0"/>
              <w:jc w:val="left"/>
              <w:rPr>
                <w:rFonts w:ascii="宋体" w:hAnsi="宋体" w:cs="宋体" w:eastAsia="宋体" w:hint="default"/>
                <w:sz w:val="24"/>
                <w:szCs w:val="24"/>
              </w:rPr>
            </w:pP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，占本公司全部营业收入的比例为</w:t>
            </w:r>
            <w:r>
              <w:rPr>
                <w:rFonts w:ascii="宋体" w:hAnsi="宋体" w:cs="宋体" w:eastAsia="宋体" w:hint="default"/>
                <w:spacing w:val="-66"/>
                <w:sz w:val="24"/>
                <w:szCs w:val="24"/>
              </w:rPr>
              <w:t> </w:t>
            </w:r>
            <w:r>
              <w:rPr>
                <w:rFonts w:ascii="Arial" w:hAnsi="Arial" w:cs="Arial" w:eastAsia="Arial" w:hint="default"/>
                <w:sz w:val="24"/>
                <w:szCs w:val="24"/>
              </w:rPr>
              <w:t>23%(2010</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Arial" w:hAnsi="Arial" w:cs="Arial" w:eastAsia="Arial" w:hint="default"/>
                <w:sz w:val="24"/>
                <w:szCs w:val="24"/>
              </w:rPr>
              <w:t>27%)</w:t>
            </w:r>
            <w:r>
              <w:rPr>
                <w:rFonts w:ascii="宋体" w:hAnsi="宋体" w:cs="宋体" w:eastAsia="宋体" w:hint="default"/>
                <w:sz w:val="24"/>
                <w:szCs w:val="24"/>
              </w:rPr>
              <w:t>，具体情况如下：</w:t>
            </w:r>
          </w:p>
        </w:tc>
      </w:tr>
      <w:tr>
        <w:trPr>
          <w:trHeight w:val="911"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1364"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630" w:type="dxa"/>
            <w:tcBorders>
              <w:top w:val="nil" w:sz="6" w:space="0" w:color="auto"/>
              <w:left w:val="nil" w:sz="6" w:space="0" w:color="auto"/>
              <w:bottom w:val="nil" w:sz="6" w:space="0" w:color="auto"/>
              <w:right w:val="nil" w:sz="6" w:space="0" w:color="auto"/>
            </w:tcBorders>
          </w:tcPr>
          <w:p>
            <w:pPr>
              <w:pStyle w:val="TableParagraph"/>
              <w:spacing w:line="313" w:lineRule="exact" w:before="94"/>
              <w:ind w:left="267" w:right="0"/>
              <w:jc w:val="left"/>
              <w:rPr>
                <w:rFonts w:ascii="宋体" w:hAnsi="宋体" w:cs="宋体" w:eastAsia="宋体" w:hint="default"/>
                <w:sz w:val="24"/>
                <w:szCs w:val="24"/>
              </w:rPr>
            </w:pPr>
            <w:r>
              <w:rPr>
                <w:rFonts w:ascii="宋体" w:hAnsi="宋体" w:cs="宋体" w:eastAsia="宋体" w:hint="default"/>
                <w:sz w:val="24"/>
                <w:szCs w:val="24"/>
              </w:rPr>
              <w:t>占本公司全部营业收</w:t>
            </w:r>
          </w:p>
          <w:p>
            <w:pPr>
              <w:pStyle w:val="TableParagraph"/>
              <w:spacing w:line="330" w:lineRule="exact"/>
              <w:ind w:left="1093" w:right="0"/>
              <w:jc w:val="left"/>
              <w:rPr>
                <w:rFonts w:ascii="Arial" w:hAnsi="Arial" w:cs="Arial" w:eastAsia="Arial" w:hint="default"/>
                <w:sz w:val="24"/>
                <w:szCs w:val="24"/>
              </w:rPr>
            </w:pPr>
            <w:r>
              <w:rPr>
                <w:rFonts w:ascii="宋体" w:hAnsi="宋体" w:cs="宋体" w:eastAsia="宋体" w:hint="default"/>
                <w:sz w:val="24"/>
                <w:szCs w:val="24"/>
              </w:rPr>
              <w:t>入的比例</w:t>
            </w:r>
            <w:r>
              <w:rPr>
                <w:rFonts w:ascii="Arial" w:hAnsi="Arial" w:cs="Arial" w:eastAsia="Arial" w:hint="default"/>
                <w:sz w:val="24"/>
                <w:szCs w:val="24"/>
              </w:rPr>
              <w:t>(%)</w:t>
            </w:r>
          </w:p>
        </w:tc>
      </w:tr>
      <w:tr>
        <w:trPr>
          <w:trHeight w:val="475"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21" w:right="0"/>
              <w:jc w:val="left"/>
              <w:rPr>
                <w:rFonts w:ascii="宋体" w:hAnsi="宋体" w:cs="宋体" w:eastAsia="宋体" w:hint="default"/>
                <w:sz w:val="24"/>
                <w:szCs w:val="24"/>
              </w:rPr>
            </w:pPr>
            <w:r>
              <w:rPr>
                <w:rFonts w:ascii="宋体" w:hAnsi="宋体" w:cs="宋体" w:eastAsia="宋体" w:hint="default"/>
                <w:sz w:val="24"/>
                <w:szCs w:val="24"/>
              </w:rPr>
              <w:t>北京苏宁电器有限公司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242" w:right="0"/>
              <w:jc w:val="left"/>
              <w:rPr>
                <w:rFonts w:ascii="Arial" w:hAnsi="Arial" w:cs="Arial" w:eastAsia="Arial" w:hint="default"/>
                <w:sz w:val="24"/>
                <w:szCs w:val="24"/>
              </w:rPr>
            </w:pPr>
            <w:r>
              <w:rPr>
                <w:rFonts w:ascii="Arial"/>
                <w:sz w:val="24"/>
              </w:rPr>
              <w:t>5,306,458</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98"/>
              <w:jc w:val="right"/>
              <w:rPr>
                <w:rFonts w:ascii="Arial" w:hAnsi="Arial" w:cs="Arial" w:eastAsia="Arial" w:hint="default"/>
                <w:sz w:val="24"/>
                <w:szCs w:val="24"/>
              </w:rPr>
            </w:pPr>
            <w:r>
              <w:rPr>
                <w:rFonts w:ascii="Arial"/>
                <w:sz w:val="24"/>
              </w:rPr>
              <w:t>7.9%</w:t>
            </w:r>
          </w:p>
        </w:tc>
      </w:tr>
      <w:tr>
        <w:trPr>
          <w:trHeight w:val="322"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Style w:val="TableParagraph"/>
              <w:spacing w:line="265" w:lineRule="exact"/>
              <w:ind w:left="221" w:right="0"/>
              <w:jc w:val="left"/>
              <w:rPr>
                <w:rFonts w:ascii="宋体" w:hAnsi="宋体" w:cs="宋体" w:eastAsia="宋体" w:hint="default"/>
                <w:sz w:val="24"/>
                <w:szCs w:val="24"/>
              </w:rPr>
            </w:pPr>
            <w:r>
              <w:rPr>
                <w:rFonts w:ascii="宋体" w:hAnsi="宋体" w:cs="宋体" w:eastAsia="宋体" w:hint="default"/>
                <w:sz w:val="24"/>
                <w:szCs w:val="24"/>
              </w:rPr>
              <w:t>上海苏宁电器有限公司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2" w:right="0"/>
              <w:jc w:val="left"/>
              <w:rPr>
                <w:rFonts w:ascii="Arial" w:hAnsi="Arial" w:cs="Arial" w:eastAsia="Arial" w:hint="default"/>
                <w:sz w:val="24"/>
                <w:szCs w:val="24"/>
              </w:rPr>
            </w:pPr>
            <w:r>
              <w:rPr>
                <w:rFonts w:ascii="Arial"/>
                <w:sz w:val="24"/>
              </w:rPr>
              <w:t>4,147,350</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z w:val="24"/>
              </w:rPr>
              <w:t>6.1%</w:t>
            </w:r>
          </w:p>
        </w:tc>
      </w:tr>
      <w:tr>
        <w:trPr>
          <w:trHeight w:val="317"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Style w:val="TableParagraph"/>
              <w:spacing w:line="265" w:lineRule="exact"/>
              <w:ind w:left="221" w:right="0"/>
              <w:jc w:val="left"/>
              <w:rPr>
                <w:rFonts w:ascii="宋体" w:hAnsi="宋体" w:cs="宋体" w:eastAsia="宋体" w:hint="default"/>
                <w:sz w:val="24"/>
                <w:szCs w:val="24"/>
              </w:rPr>
            </w:pPr>
            <w:r>
              <w:rPr>
                <w:rFonts w:ascii="宋体" w:hAnsi="宋体" w:cs="宋体" w:eastAsia="宋体" w:hint="default"/>
                <w:sz w:val="24"/>
                <w:szCs w:val="24"/>
              </w:rPr>
              <w:t>重庆渝宁苏宁电器有限公司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42" w:right="0"/>
              <w:jc w:val="left"/>
              <w:rPr>
                <w:rFonts w:ascii="Arial" w:hAnsi="Arial" w:cs="Arial" w:eastAsia="Arial" w:hint="default"/>
                <w:sz w:val="24"/>
                <w:szCs w:val="24"/>
              </w:rPr>
            </w:pPr>
            <w:r>
              <w:rPr>
                <w:rFonts w:ascii="Arial"/>
                <w:sz w:val="24"/>
              </w:rPr>
              <w:t>2,222,367</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sz w:val="24"/>
              </w:rPr>
              <w:t>3.3%</w:t>
            </w:r>
          </w:p>
        </w:tc>
      </w:tr>
      <w:tr>
        <w:trPr>
          <w:trHeight w:val="312"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Style w:val="TableParagraph"/>
              <w:spacing w:line="261" w:lineRule="exact"/>
              <w:ind w:left="221" w:right="0"/>
              <w:jc w:val="left"/>
              <w:rPr>
                <w:rFonts w:ascii="宋体" w:hAnsi="宋体" w:cs="宋体" w:eastAsia="宋体" w:hint="default"/>
                <w:sz w:val="24"/>
                <w:szCs w:val="24"/>
              </w:rPr>
            </w:pPr>
            <w:r>
              <w:rPr>
                <w:rFonts w:ascii="宋体" w:hAnsi="宋体" w:cs="宋体" w:eastAsia="宋体" w:hint="default"/>
                <w:sz w:val="24"/>
                <w:szCs w:val="24"/>
              </w:rPr>
              <w:t>深圳市苏宁电器有限公司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42" w:right="0"/>
              <w:jc w:val="left"/>
              <w:rPr>
                <w:rFonts w:ascii="Arial" w:hAnsi="Arial" w:cs="Arial" w:eastAsia="Arial" w:hint="default"/>
                <w:sz w:val="24"/>
                <w:szCs w:val="24"/>
              </w:rPr>
            </w:pPr>
            <w:r>
              <w:rPr>
                <w:rFonts w:ascii="Arial"/>
                <w:sz w:val="24"/>
              </w:rPr>
              <w:t>2,150,665</w:t>
            </w:r>
          </w:p>
        </w:tc>
        <w:tc>
          <w:tcPr>
            <w:tcW w:w="26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z w:val="24"/>
              </w:rPr>
              <w:t>3.2%</w:t>
            </w:r>
          </w:p>
        </w:tc>
      </w:tr>
      <w:tr>
        <w:trPr>
          <w:trHeight w:val="314"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Style w:val="TableParagraph"/>
              <w:spacing w:line="261" w:lineRule="exact"/>
              <w:ind w:left="221" w:right="0"/>
              <w:jc w:val="left"/>
              <w:rPr>
                <w:rFonts w:ascii="宋体" w:hAnsi="宋体" w:cs="宋体" w:eastAsia="宋体" w:hint="default"/>
                <w:sz w:val="24"/>
                <w:szCs w:val="24"/>
              </w:rPr>
            </w:pPr>
            <w:r>
              <w:rPr>
                <w:rFonts w:ascii="宋体" w:hAnsi="宋体" w:cs="宋体" w:eastAsia="宋体" w:hint="default"/>
                <w:sz w:val="24"/>
                <w:szCs w:val="24"/>
              </w:rPr>
              <w:t>广东苏宁电器有限公司</w:t>
            </w:r>
          </w:p>
        </w:tc>
        <w:tc>
          <w:tcPr>
            <w:tcW w:w="2593" w:type="dxa"/>
            <w:tcBorders>
              <w:top w:val="nil" w:sz="6" w:space="0" w:color="auto"/>
              <w:left w:val="nil" w:sz="6" w:space="0" w:color="auto"/>
              <w:bottom w:val="nil" w:sz="6" w:space="0" w:color="auto"/>
              <w:right w:val="nil" w:sz="6" w:space="0" w:color="auto"/>
            </w:tcBorders>
          </w:tcPr>
          <w:p>
            <w:pPr>
              <w:pStyle w:val="TableParagraph"/>
              <w:tabs>
                <w:tab w:pos="924" w:val="left" w:leader="none"/>
                <w:tab w:pos="2114" w:val="left" w:leader="none"/>
              </w:tabs>
              <w:spacing w:line="240" w:lineRule="auto" w:before="21"/>
              <w:ind w:right="15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1,942,907</w:t>
              <w:tab/>
            </w:r>
            <w:r>
              <w:rPr>
                <w:rFonts w:ascii="Arial"/>
                <w:spacing w:val="-1"/>
                <w:sz w:val="24"/>
              </w:rPr>
            </w:r>
          </w:p>
        </w:tc>
        <w:tc>
          <w:tcPr>
            <w:tcW w:w="2630" w:type="dxa"/>
            <w:tcBorders>
              <w:top w:val="nil" w:sz="6" w:space="0" w:color="auto"/>
              <w:left w:val="nil" w:sz="6" w:space="0" w:color="auto"/>
              <w:bottom w:val="nil" w:sz="6" w:space="0" w:color="auto"/>
              <w:right w:val="nil" w:sz="6" w:space="0" w:color="auto"/>
            </w:tcBorders>
          </w:tcPr>
          <w:p>
            <w:pPr>
              <w:pStyle w:val="TableParagraph"/>
              <w:tabs>
                <w:tab w:pos="1880" w:val="left" w:leader="none"/>
                <w:tab w:pos="2533" w:val="left" w:leader="none"/>
              </w:tabs>
              <w:spacing w:line="240" w:lineRule="auto" w:before="21"/>
              <w:ind w:left="7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2.9%</w:t>
              <w:tab/>
            </w:r>
            <w:r>
              <w:rPr>
                <w:rFonts w:ascii="Arial"/>
                <w:sz w:val="24"/>
              </w:rPr>
            </w:r>
          </w:p>
        </w:tc>
      </w:tr>
      <w:tr>
        <w:trPr>
          <w:trHeight w:val="263" w:hRule="exact"/>
        </w:trPr>
        <w:tc>
          <w:tcPr>
            <w:tcW w:w="701" w:type="dxa"/>
            <w:tcBorders>
              <w:top w:val="nil" w:sz="6" w:space="0" w:color="auto"/>
              <w:left w:val="nil" w:sz="6" w:space="0" w:color="auto"/>
              <w:bottom w:val="nil" w:sz="6" w:space="0" w:color="auto"/>
              <w:right w:val="nil" w:sz="6" w:space="0" w:color="auto"/>
            </w:tcBorders>
          </w:tcPr>
          <w:p>
            <w:pPr/>
          </w:p>
        </w:tc>
        <w:tc>
          <w:tcPr>
            <w:tcW w:w="4344" w:type="dxa"/>
            <w:tcBorders>
              <w:top w:val="nil" w:sz="6" w:space="0" w:color="auto"/>
              <w:left w:val="nil" w:sz="6" w:space="0" w:color="auto"/>
              <w:bottom w:val="nil" w:sz="6" w:space="0" w:color="auto"/>
              <w:right w:val="nil" w:sz="6" w:space="0" w:color="auto"/>
            </w:tcBorders>
          </w:tcPr>
          <w:p>
            <w:pPr/>
          </w:p>
        </w:tc>
        <w:tc>
          <w:tcPr>
            <w:tcW w:w="2593" w:type="dxa"/>
            <w:tcBorders>
              <w:top w:val="nil" w:sz="6" w:space="0" w:color="auto"/>
              <w:left w:val="nil" w:sz="6" w:space="0" w:color="auto"/>
              <w:bottom w:val="nil" w:sz="6" w:space="0" w:color="auto"/>
              <w:right w:val="nil" w:sz="6" w:space="0" w:color="auto"/>
            </w:tcBorders>
          </w:tcPr>
          <w:p>
            <w:pPr>
              <w:pStyle w:val="TableParagraph"/>
              <w:tabs>
                <w:tab w:pos="792" w:val="left" w:leader="none"/>
                <w:tab w:pos="2114" w:val="left" w:leader="none"/>
              </w:tabs>
              <w:spacing w:line="268" w:lineRule="exact"/>
              <w:ind w:right="15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15,769,747</w:t>
              <w:tab/>
            </w:r>
            <w:r>
              <w:rPr>
                <w:rFonts w:ascii="Arial"/>
                <w:spacing w:val="-1"/>
                <w:sz w:val="24"/>
              </w:rPr>
            </w:r>
          </w:p>
        </w:tc>
        <w:tc>
          <w:tcPr>
            <w:tcW w:w="2630" w:type="dxa"/>
            <w:tcBorders>
              <w:top w:val="nil" w:sz="6" w:space="0" w:color="auto"/>
              <w:left w:val="nil" w:sz="6" w:space="0" w:color="auto"/>
              <w:bottom w:val="nil" w:sz="6" w:space="0" w:color="auto"/>
              <w:right w:val="nil" w:sz="6" w:space="0" w:color="auto"/>
            </w:tcBorders>
          </w:tcPr>
          <w:p>
            <w:pPr>
              <w:pStyle w:val="TableParagraph"/>
              <w:tabs>
                <w:tab w:pos="1746" w:val="left" w:leader="none"/>
                <w:tab w:pos="2533" w:val="left" w:leader="none"/>
              </w:tabs>
              <w:spacing w:line="268" w:lineRule="exact"/>
              <w:ind w:left="7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23.4%</w:t>
              <w:tab/>
            </w:r>
            <w:r>
              <w:rPr>
                <w:rFonts w:ascii="Arial"/>
                <w:sz w:val="24"/>
              </w:rPr>
            </w:r>
          </w:p>
        </w:tc>
      </w:tr>
    </w:tbl>
    <w:p>
      <w:pPr>
        <w:spacing w:after="0" w:line="268" w:lineRule="exact"/>
        <w:jc w:val="left"/>
        <w:rPr>
          <w:rFonts w:ascii="Arial" w:hAnsi="Arial" w:cs="Arial" w:eastAsia="Arial" w:hint="default"/>
          <w:sz w:val="24"/>
          <w:szCs w:val="24"/>
        </w:rPr>
        <w:sectPr>
          <w:pgSz w:w="11910" w:h="16850"/>
          <w:pgMar w:header="754" w:footer="956" w:top="2240" w:bottom="1140" w:left="80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4504"/>
        <w:gridCol w:w="2823"/>
        <w:gridCol w:w="2254"/>
      </w:tblGrid>
      <w:tr>
        <w:trPr>
          <w:trHeight w:val="69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sz w:val="24"/>
                <w:szCs w:val="24"/>
              </w:rPr>
            </w:r>
          </w:p>
        </w:tc>
        <w:tc>
          <w:tcPr>
            <w:tcW w:w="4504"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44" w:right="0"/>
              <w:jc w:val="left"/>
              <w:rPr>
                <w:rFonts w:ascii="Arial" w:hAnsi="Arial" w:cs="Arial" w:eastAsia="Arial" w:hint="default"/>
                <w:sz w:val="24"/>
                <w:szCs w:val="24"/>
              </w:rPr>
            </w:pPr>
            <w:r>
              <w:rPr>
                <w:rFonts w:ascii="宋体" w:hAnsi="宋体" w:cs="宋体" w:eastAsia="宋体" w:hint="default"/>
                <w:b/>
                <w:bCs/>
                <w:sz w:val="24"/>
                <w:szCs w:val="24"/>
              </w:rPr>
              <w:t>公司财务报表附注</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c>
          <w:tcPr>
            <w:tcW w:w="2823" w:type="dxa"/>
            <w:tcBorders>
              <w:top w:val="single" w:sz="6" w:space="0" w:color="000000"/>
              <w:left w:val="nil" w:sz="6" w:space="0" w:color="auto"/>
              <w:bottom w:val="nil" w:sz="6" w:space="0" w:color="auto"/>
              <w:right w:val="nil" w:sz="6" w:space="0" w:color="auto"/>
            </w:tcBorders>
          </w:tcPr>
          <w:p>
            <w:pPr/>
          </w:p>
        </w:tc>
        <w:tc>
          <w:tcPr>
            <w:tcW w:w="2254" w:type="dxa"/>
            <w:tcBorders>
              <w:top w:val="single" w:sz="6" w:space="0" w:color="000000"/>
              <w:left w:val="nil" w:sz="6" w:space="0" w:color="auto"/>
              <w:bottom w:val="nil" w:sz="6" w:space="0" w:color="auto"/>
              <w:right w:val="nil" w:sz="6" w:space="0" w:color="auto"/>
            </w:tcBorders>
          </w:tcPr>
          <w:p>
            <w:pPr/>
          </w:p>
        </w:tc>
      </w:tr>
      <w:tr>
        <w:trPr>
          <w:trHeight w:val="44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200" w:right="0"/>
              <w:jc w:val="left"/>
              <w:rPr>
                <w:rFonts w:ascii="Arial" w:hAnsi="Arial" w:cs="Arial" w:eastAsia="Arial" w:hint="default"/>
                <w:sz w:val="24"/>
                <w:szCs w:val="24"/>
              </w:rPr>
            </w:pPr>
            <w:r>
              <w:rPr>
                <w:rFonts w:ascii="Arial"/>
                <w:sz w:val="24"/>
              </w:rPr>
              <w:t>(5)</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44" w:right="0"/>
              <w:jc w:val="left"/>
              <w:rPr>
                <w:rFonts w:ascii="宋体" w:hAnsi="宋体" w:cs="宋体" w:eastAsia="宋体" w:hint="default"/>
                <w:sz w:val="24"/>
                <w:szCs w:val="24"/>
              </w:rPr>
            </w:pPr>
            <w:r>
              <w:rPr>
                <w:rFonts w:ascii="宋体" w:hAnsi="宋体" w:cs="宋体" w:eastAsia="宋体" w:hint="default"/>
                <w:b/>
                <w:bCs/>
                <w:sz w:val="24"/>
                <w:szCs w:val="24"/>
              </w:rPr>
              <w:t>投资收益</w:t>
            </w:r>
            <w:r>
              <w:rPr>
                <w:rFonts w:ascii="宋体" w:hAnsi="宋体" w:cs="宋体" w:eastAsia="宋体" w:hint="default"/>
                <w:sz w:val="24"/>
                <w:szCs w:val="24"/>
              </w:rPr>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93" w:lineRule="exact"/>
              <w:ind w:left="990"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54" w:type="dxa"/>
            <w:tcBorders>
              <w:top w:val="nil" w:sz="6" w:space="0" w:color="auto"/>
              <w:left w:val="nil" w:sz="6" w:space="0" w:color="auto"/>
              <w:bottom w:val="nil" w:sz="6" w:space="0" w:color="auto"/>
              <w:right w:val="nil" w:sz="6" w:space="0" w:color="auto"/>
            </w:tcBorders>
          </w:tcPr>
          <w:p>
            <w:pPr>
              <w:pStyle w:val="TableParagraph"/>
              <w:spacing w:line="293" w:lineRule="exact"/>
              <w:ind w:right="301"/>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613"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5816" w:val="left" w:leader="none"/>
              </w:tabs>
              <w:spacing w:line="240" w:lineRule="auto" w:before="93"/>
              <w:ind w:left="144" w:right="-1312"/>
              <w:jc w:val="left"/>
              <w:rPr>
                <w:rFonts w:ascii="Arial" w:hAnsi="Arial" w:cs="Arial" w:eastAsia="Arial" w:hint="default"/>
                <w:sz w:val="24"/>
                <w:szCs w:val="24"/>
              </w:rPr>
            </w:pPr>
            <w:r>
              <w:rPr>
                <w:rFonts w:ascii="宋体" w:hAnsi="宋体" w:cs="宋体" w:eastAsia="宋体" w:hint="default"/>
                <w:position w:val="2"/>
                <w:sz w:val="24"/>
                <w:szCs w:val="24"/>
              </w:rPr>
              <w:t>成本法核算的长期股权投资收益</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437" w:val="left" w:leader="none"/>
                <w:tab w:pos="4036" w:val="left" w:leader="none"/>
              </w:tabs>
              <w:spacing w:line="240" w:lineRule="auto" w:before="168"/>
              <w:ind w:left="1311" w:right="-1214"/>
              <w:jc w:val="left"/>
              <w:rPr>
                <w:rFonts w:ascii="Arial" w:hAnsi="Arial" w:cs="Arial" w:eastAsia="Arial" w:hint="default"/>
                <w:sz w:val="24"/>
                <w:szCs w:val="24"/>
              </w:rPr>
            </w:pPr>
            <w:r>
              <w:rPr>
                <w:rFonts w:ascii="Arial"/>
                <w:w w:val="99"/>
                <w:sz w:val="24"/>
              </w:rPr>
            </w:r>
            <w:r>
              <w:rPr>
                <w:rFonts w:ascii="Arial"/>
                <w:sz w:val="24"/>
                <w:u w:val="thick" w:color="000000"/>
              </w:rPr>
              <w:t>17,974 </w:t>
            </w:r>
            <w:r>
              <w:rPr>
                <w:rFonts w:ascii="Arial"/>
                <w:spacing w:val="-27"/>
                <w:sz w:val="24"/>
                <w:u w:val="thick" w:color="000000"/>
              </w:rPr>
              <w:t> </w:t>
            </w:r>
            <w:r>
              <w:rPr>
                <w:rFonts w:ascii="Arial"/>
                <w:spacing w:val="-27"/>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168"/>
              <w:ind w:right="196"/>
              <w:jc w:val="right"/>
              <w:rPr>
                <w:rFonts w:ascii="Arial" w:hAnsi="Arial" w:cs="Arial" w:eastAsia="Arial" w:hint="default"/>
                <w:sz w:val="24"/>
                <w:szCs w:val="24"/>
              </w:rPr>
            </w:pPr>
            <w:r>
              <w:rPr>
                <w:rFonts w:ascii="Arial"/>
                <w:w w:val="99"/>
                <w:sz w:val="24"/>
              </w:rPr>
            </w:r>
            <w:r>
              <w:rPr>
                <w:rFonts w:ascii="Arial"/>
                <w:spacing w:val="-1"/>
                <w:sz w:val="24"/>
                <w:u w:val="thick" w:color="000000"/>
              </w:rPr>
              <w:t>53,846</w:t>
              <w:tab/>
            </w:r>
            <w:r>
              <w:rPr>
                <w:rFonts w:ascii="Arial"/>
                <w:spacing w:val="-1"/>
                <w:sz w:val="24"/>
              </w:rPr>
            </w:r>
          </w:p>
        </w:tc>
      </w:tr>
      <w:tr>
        <w:trPr>
          <w:trHeight w:val="586"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4" w:right="0"/>
              <w:jc w:val="left"/>
              <w:rPr>
                <w:rFonts w:ascii="宋体" w:hAnsi="宋体" w:cs="宋体" w:eastAsia="宋体" w:hint="default"/>
                <w:sz w:val="24"/>
                <w:szCs w:val="24"/>
              </w:rPr>
            </w:pPr>
            <w:r>
              <w:rPr>
                <w:rFonts w:ascii="宋体" w:hAnsi="宋体" w:cs="宋体" w:eastAsia="宋体" w:hint="default"/>
                <w:sz w:val="24"/>
                <w:szCs w:val="24"/>
              </w:rPr>
              <w:t>本公司不存在投资收益汇回的重大限制。</w:t>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58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(6)</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4" w:right="0"/>
              <w:jc w:val="left"/>
              <w:rPr>
                <w:rFonts w:ascii="宋体" w:hAnsi="宋体" w:cs="宋体" w:eastAsia="宋体" w:hint="default"/>
                <w:sz w:val="24"/>
                <w:szCs w:val="24"/>
              </w:rPr>
            </w:pP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45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(a)</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4"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456"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93" w:lineRule="exact"/>
              <w:ind w:left="102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54" w:type="dxa"/>
            <w:tcBorders>
              <w:top w:val="nil" w:sz="6" w:space="0" w:color="auto"/>
              <w:left w:val="nil" w:sz="6" w:space="0" w:color="auto"/>
              <w:bottom w:val="nil" w:sz="6" w:space="0" w:color="auto"/>
              <w:right w:val="nil" w:sz="6" w:space="0" w:color="auto"/>
            </w:tcBorders>
          </w:tcPr>
          <w:p>
            <w:pPr>
              <w:pStyle w:val="TableParagraph"/>
              <w:spacing w:line="293" w:lineRule="exact"/>
              <w:ind w:right="294"/>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0"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14" w:right="0"/>
              <w:jc w:val="left"/>
              <w:rPr>
                <w:rFonts w:ascii="Arial" w:hAnsi="Arial" w:cs="Arial" w:eastAsia="Arial" w:hint="default"/>
                <w:sz w:val="24"/>
                <w:szCs w:val="24"/>
              </w:rPr>
            </w:pPr>
            <w:r>
              <w:rPr>
                <w:rFonts w:ascii="Arial"/>
                <w:sz w:val="24"/>
              </w:rPr>
              <w:t>2,606,014</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77"/>
              <w:jc w:val="right"/>
              <w:rPr>
                <w:rFonts w:ascii="Arial" w:hAnsi="Arial" w:cs="Arial" w:eastAsia="Arial" w:hint="default"/>
                <w:sz w:val="24"/>
                <w:szCs w:val="24"/>
              </w:rPr>
            </w:pPr>
            <w:r>
              <w:rPr>
                <w:rFonts w:ascii="Arial"/>
                <w:spacing w:val="-1"/>
                <w:sz w:val="24"/>
              </w:rPr>
              <w:t>2,290,641</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120" w:right="0"/>
              <w:jc w:val="left"/>
              <w:rPr>
                <w:rFonts w:ascii="宋体" w:hAnsi="宋体" w:cs="宋体" w:eastAsia="宋体" w:hint="default"/>
                <w:sz w:val="24"/>
                <w:szCs w:val="24"/>
              </w:rPr>
            </w:pPr>
            <w:r>
              <w:rPr>
                <w:rFonts w:ascii="宋体" w:hAnsi="宋体" w:cs="宋体" w:eastAsia="宋体" w:hint="default"/>
                <w:sz w:val="24"/>
                <w:szCs w:val="24"/>
              </w:rPr>
              <w:t>加：资产减值损失</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47" w:right="0"/>
              <w:jc w:val="left"/>
              <w:rPr>
                <w:rFonts w:ascii="Arial" w:hAnsi="Arial" w:cs="Arial" w:eastAsia="Arial" w:hint="default"/>
                <w:sz w:val="24"/>
                <w:szCs w:val="24"/>
              </w:rPr>
            </w:pPr>
            <w:r>
              <w:rPr>
                <w:rFonts w:ascii="Arial"/>
                <w:sz w:val="24"/>
              </w:rPr>
              <w:t>38,133</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spacing w:val="-1"/>
                <w:sz w:val="24"/>
              </w:rPr>
              <w:t>45,347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固定资产折旧</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13" w:right="0"/>
              <w:jc w:val="left"/>
              <w:rPr>
                <w:rFonts w:ascii="Arial" w:hAnsi="Arial" w:cs="Arial" w:eastAsia="Arial" w:hint="default"/>
                <w:sz w:val="24"/>
                <w:szCs w:val="24"/>
              </w:rPr>
            </w:pPr>
            <w:r>
              <w:rPr>
                <w:rFonts w:ascii="Arial"/>
                <w:sz w:val="24"/>
              </w:rPr>
              <w:t>134,957</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spacing w:val="-1"/>
                <w:sz w:val="24"/>
              </w:rPr>
              <w:t>61,774</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45" w:right="0"/>
              <w:jc w:val="left"/>
              <w:rPr>
                <w:rFonts w:ascii="Arial" w:hAnsi="Arial" w:cs="Arial" w:eastAsia="Arial" w:hint="default"/>
                <w:sz w:val="24"/>
                <w:szCs w:val="24"/>
              </w:rPr>
            </w:pPr>
            <w:r>
              <w:rPr>
                <w:rFonts w:ascii="Arial"/>
                <w:sz w:val="24"/>
              </w:rPr>
              <w:t>80,576</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spacing w:val="-1"/>
                <w:sz w:val="24"/>
              </w:rPr>
              <w:t>41,517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45" w:right="0"/>
              <w:jc w:val="left"/>
              <w:rPr>
                <w:rFonts w:ascii="Arial" w:hAnsi="Arial" w:cs="Arial" w:eastAsia="Arial" w:hint="default"/>
                <w:sz w:val="24"/>
                <w:szCs w:val="24"/>
              </w:rPr>
            </w:pPr>
            <w:r>
              <w:rPr>
                <w:rFonts w:ascii="Arial"/>
                <w:sz w:val="24"/>
              </w:rPr>
              <w:t>41,285</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spacing w:val="-1"/>
                <w:sz w:val="24"/>
              </w:rPr>
              <w:t>19,379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78" w:lineRule="exact"/>
              <w:ind w:left="616" w:right="0"/>
              <w:jc w:val="left"/>
              <w:rPr>
                <w:rFonts w:ascii="宋体" w:hAnsi="宋体" w:cs="宋体" w:eastAsia="宋体" w:hint="default"/>
                <w:sz w:val="24"/>
                <w:szCs w:val="24"/>
              </w:rPr>
            </w:pPr>
            <w:r>
              <w:rPr>
                <w:rFonts w:ascii="宋体" w:hAnsi="宋体" w:cs="宋体" w:eastAsia="宋体" w:hint="default"/>
                <w:sz w:val="24"/>
                <w:szCs w:val="24"/>
              </w:rPr>
              <w:t>处置固定资产的</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r>
              <w:rPr>
                <w:rFonts w:ascii="宋体" w:hAnsi="宋体" w:cs="宋体" w:eastAsia="宋体" w:hint="default"/>
                <w:sz w:val="24"/>
                <w:szCs w:val="24"/>
              </w:rPr>
              <w:t>损失</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98" w:right="0"/>
              <w:jc w:val="left"/>
              <w:rPr>
                <w:rFonts w:ascii="Arial" w:hAnsi="Arial" w:cs="Arial" w:eastAsia="Arial" w:hint="default"/>
                <w:sz w:val="24"/>
                <w:szCs w:val="24"/>
              </w:rPr>
            </w:pPr>
            <w:r>
              <w:rPr>
                <w:rFonts w:ascii="Arial"/>
                <w:sz w:val="24"/>
              </w:rPr>
              <w:t>(1,095)</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1"/>
              <w:jc w:val="right"/>
              <w:rPr>
                <w:rFonts w:ascii="Arial" w:hAnsi="Arial" w:cs="Arial" w:eastAsia="Arial" w:hint="default"/>
                <w:sz w:val="24"/>
                <w:szCs w:val="24"/>
              </w:rPr>
            </w:pPr>
            <w:r>
              <w:rPr>
                <w:rFonts w:ascii="Arial"/>
                <w:spacing w:val="-1"/>
                <w:sz w:val="24"/>
              </w:rPr>
              <w:t>1,779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79" w:right="0"/>
              <w:jc w:val="left"/>
              <w:rPr>
                <w:rFonts w:ascii="Arial" w:hAnsi="Arial" w:cs="Arial" w:eastAsia="Arial" w:hint="default"/>
                <w:sz w:val="24"/>
                <w:szCs w:val="24"/>
              </w:rPr>
            </w:pPr>
            <w:r>
              <w:rPr>
                <w:rFonts w:ascii="Arial"/>
                <w:sz w:val="24"/>
              </w:rPr>
              <w:t>4,204</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66" w:right="0"/>
              <w:jc w:val="left"/>
              <w:rPr>
                <w:rFonts w:ascii="Arial" w:hAnsi="Arial" w:cs="Arial" w:eastAsia="Arial" w:hint="default"/>
                <w:sz w:val="24"/>
                <w:szCs w:val="24"/>
              </w:rPr>
            </w:pPr>
            <w:r>
              <w:rPr>
                <w:rFonts w:ascii="Arial"/>
                <w:sz w:val="24"/>
              </w:rPr>
              <w:t>(17,974)</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w w:val="95"/>
                <w:sz w:val="24"/>
              </w:rPr>
              <w:t>(53,846)</w:t>
            </w:r>
            <w:r>
              <w:rPr>
                <w:rFonts w:ascii="Arial"/>
                <w:sz w:val="24"/>
              </w:rPr>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78" w:lineRule="exact"/>
              <w:ind w:left="619"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r>
              <w:rPr>
                <w:rFonts w:ascii="宋体" w:hAnsi="宋体" w:cs="宋体" w:eastAsia="宋体" w:hint="default"/>
                <w:sz w:val="24"/>
                <w:szCs w:val="24"/>
              </w:rPr>
              <w:t>减少</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98" w:right="0"/>
              <w:jc w:val="left"/>
              <w:rPr>
                <w:rFonts w:ascii="Arial" w:hAnsi="Arial" w:cs="Arial" w:eastAsia="Arial" w:hint="default"/>
                <w:sz w:val="24"/>
                <w:szCs w:val="24"/>
              </w:rPr>
            </w:pPr>
            <w:r>
              <w:rPr>
                <w:rFonts w:ascii="Arial"/>
                <w:sz w:val="24"/>
              </w:rPr>
              <w:t>(7,728)</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7"/>
              <w:jc w:val="right"/>
              <w:rPr>
                <w:rFonts w:ascii="Arial" w:hAnsi="Arial" w:cs="Arial" w:eastAsia="Arial" w:hint="default"/>
                <w:sz w:val="24"/>
                <w:szCs w:val="24"/>
              </w:rPr>
            </w:pPr>
            <w:r>
              <w:rPr>
                <w:rFonts w:ascii="Arial"/>
                <w:spacing w:val="-1"/>
                <w:sz w:val="24"/>
              </w:rPr>
              <w:t>24,002</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32" w:right="0"/>
              <w:jc w:val="left"/>
              <w:rPr>
                <w:rFonts w:ascii="Arial" w:hAnsi="Arial" w:cs="Arial" w:eastAsia="Arial" w:hint="default"/>
                <w:sz w:val="24"/>
                <w:szCs w:val="24"/>
              </w:rPr>
            </w:pPr>
            <w:r>
              <w:rPr>
                <w:rFonts w:ascii="Arial"/>
                <w:sz w:val="24"/>
              </w:rPr>
              <w:t>(1,928,466)</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pacing w:val="-1"/>
                <w:sz w:val="24"/>
              </w:rPr>
              <w:t>(2,300,942)</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61" w:lineRule="exact"/>
              <w:ind w:left="619"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98" w:right="0"/>
              <w:jc w:val="left"/>
              <w:rPr>
                <w:rFonts w:ascii="Arial" w:hAnsi="Arial" w:cs="Arial" w:eastAsia="Arial" w:hint="default"/>
                <w:sz w:val="24"/>
                <w:szCs w:val="24"/>
              </w:rPr>
            </w:pPr>
            <w:r>
              <w:rPr>
                <w:rFonts w:ascii="Arial"/>
                <w:sz w:val="24"/>
              </w:rPr>
              <w:t>(10,184,986)</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24"/>
                <w:szCs w:val="24"/>
              </w:rPr>
            </w:pPr>
            <w:r>
              <w:rPr>
                <w:rFonts w:ascii="Arial"/>
                <w:spacing w:val="-1"/>
                <w:sz w:val="24"/>
              </w:rPr>
              <w:t>(2,054,709)</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5386" w:val="left" w:leader="none"/>
              </w:tabs>
              <w:spacing w:line="260" w:lineRule="exact"/>
              <w:ind w:left="619" w:right="-883"/>
              <w:jc w:val="left"/>
              <w:rPr>
                <w:rFonts w:ascii="Arial" w:hAnsi="Arial" w:cs="Arial" w:eastAsia="Arial" w:hint="default"/>
                <w:sz w:val="24"/>
                <w:szCs w:val="24"/>
              </w:rPr>
            </w:pPr>
            <w:r>
              <w:rPr>
                <w:rFonts w:ascii="宋体" w:hAnsi="宋体" w:cs="宋体" w:eastAsia="宋体" w:hint="default"/>
                <w:position w:val="2"/>
                <w:sz w:val="24"/>
                <w:szCs w:val="24"/>
              </w:rPr>
              <w:t>经营性应付项目的增加</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437" w:val="left" w:leader="none"/>
                <w:tab w:pos="3729" w:val="left" w:leader="none"/>
              </w:tabs>
              <w:spacing w:line="240" w:lineRule="auto" w:before="21"/>
              <w:ind w:left="882" w:right="-906"/>
              <w:jc w:val="left"/>
              <w:rPr>
                <w:rFonts w:ascii="Arial" w:hAnsi="Arial" w:cs="Arial" w:eastAsia="Arial" w:hint="default"/>
                <w:sz w:val="24"/>
                <w:szCs w:val="24"/>
              </w:rPr>
            </w:pPr>
            <w:r>
              <w:rPr>
                <w:rFonts w:ascii="Arial"/>
                <w:w w:val="99"/>
                <w:sz w:val="24"/>
              </w:rPr>
            </w:r>
            <w:r>
              <w:rPr>
                <w:rFonts w:ascii="Arial"/>
                <w:sz w:val="24"/>
                <w:u w:val="single" w:color="000000"/>
              </w:rPr>
              <w:t>12,164,695 </w:t>
            </w:r>
            <w:r>
              <w:rPr>
                <w:rFonts w:ascii="Arial"/>
                <w:spacing w:val="-27"/>
                <w:sz w:val="24"/>
                <w:u w:val="single" w:color="000000"/>
              </w:rPr>
              <w:t> </w:t>
            </w:r>
            <w:r>
              <w:rPr>
                <w:rFonts w:ascii="Arial"/>
                <w:spacing w:val="-27"/>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21"/>
              <w:ind w:right="189"/>
              <w:jc w:val="right"/>
              <w:rPr>
                <w:rFonts w:ascii="Arial" w:hAnsi="Arial" w:cs="Arial" w:eastAsia="Arial" w:hint="default"/>
                <w:sz w:val="24"/>
                <w:szCs w:val="24"/>
              </w:rPr>
            </w:pPr>
            <w:r>
              <w:rPr>
                <w:rFonts w:ascii="Arial"/>
                <w:w w:val="100"/>
                <w:sz w:val="24"/>
              </w:rPr>
            </w:r>
            <w:r>
              <w:rPr>
                <w:rFonts w:ascii="Arial"/>
                <w:spacing w:val="-1"/>
                <w:sz w:val="24"/>
                <w:u w:val="single" w:color="000000"/>
              </w:rPr>
              <w:t>3,353,414</w:t>
              <w:tab/>
            </w:r>
            <w:r>
              <w:rPr>
                <w:rFonts w:ascii="Arial"/>
                <w:spacing w:val="-1"/>
                <w:sz w:val="24"/>
              </w:rPr>
            </w:r>
          </w:p>
        </w:tc>
      </w:tr>
      <w:tr>
        <w:trPr>
          <w:trHeight w:val="46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5518" w:val="left" w:leader="none"/>
              </w:tabs>
              <w:spacing w:line="262" w:lineRule="exact"/>
              <w:ind w:left="120" w:right="-1015"/>
              <w:jc w:val="left"/>
              <w:rPr>
                <w:rFonts w:ascii="Arial" w:hAnsi="Arial" w:cs="Arial" w:eastAsia="Arial" w:hint="default"/>
                <w:sz w:val="24"/>
                <w:szCs w:val="24"/>
              </w:rPr>
            </w:pPr>
            <w:r>
              <w:rPr>
                <w:rFonts w:ascii="宋体" w:hAnsi="宋体" w:cs="宋体" w:eastAsia="宋体" w:hint="default"/>
                <w:position w:val="2"/>
                <w:sz w:val="24"/>
                <w:szCs w:val="24"/>
              </w:rPr>
              <w:t>经营活动产生的现金流量净额</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437" w:val="left" w:leader="none"/>
                <w:tab w:pos="3729" w:val="left" w:leader="none"/>
              </w:tabs>
              <w:spacing w:line="240" w:lineRule="auto" w:before="23"/>
              <w:ind w:left="1014" w:right="-906"/>
              <w:jc w:val="left"/>
              <w:rPr>
                <w:rFonts w:ascii="Arial" w:hAnsi="Arial" w:cs="Arial" w:eastAsia="Arial" w:hint="default"/>
                <w:sz w:val="24"/>
                <w:szCs w:val="24"/>
              </w:rPr>
            </w:pPr>
            <w:r>
              <w:rPr>
                <w:rFonts w:ascii="Arial"/>
                <w:w w:val="99"/>
                <w:sz w:val="24"/>
              </w:rPr>
            </w:r>
            <w:r>
              <w:rPr>
                <w:rFonts w:ascii="Arial"/>
                <w:sz w:val="24"/>
                <w:u w:val="thick" w:color="000000"/>
              </w:rPr>
              <w:t>2,929,615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23"/>
              <w:ind w:right="189"/>
              <w:jc w:val="right"/>
              <w:rPr>
                <w:rFonts w:ascii="Arial" w:hAnsi="Arial" w:cs="Arial" w:eastAsia="Arial" w:hint="default"/>
                <w:sz w:val="24"/>
                <w:szCs w:val="24"/>
              </w:rPr>
            </w:pPr>
            <w:r>
              <w:rPr>
                <w:rFonts w:ascii="Arial"/>
                <w:w w:val="100"/>
                <w:sz w:val="24"/>
              </w:rPr>
            </w:r>
            <w:r>
              <w:rPr>
                <w:rFonts w:ascii="Arial"/>
                <w:spacing w:val="-1"/>
                <w:sz w:val="24"/>
                <w:u w:val="thick" w:color="000000"/>
              </w:rPr>
              <w:t>1,428,356</w:t>
              <w:tab/>
            </w:r>
            <w:r>
              <w:rPr>
                <w:rFonts w:ascii="Arial"/>
                <w:spacing w:val="-1"/>
                <w:sz w:val="24"/>
              </w:rPr>
            </w:r>
          </w:p>
        </w:tc>
      </w:tr>
      <w:tr>
        <w:trPr>
          <w:trHeight w:val="59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20" w:right="0"/>
              <w:jc w:val="left"/>
              <w:rPr>
                <w:rFonts w:ascii="宋体" w:hAnsi="宋体" w:cs="宋体" w:eastAsia="宋体" w:hint="default"/>
                <w:sz w:val="24"/>
                <w:szCs w:val="24"/>
              </w:rPr>
            </w:pPr>
            <w:r>
              <w:rPr>
                <w:rFonts w:ascii="宋体" w:hAnsi="宋体" w:cs="宋体" w:eastAsia="宋体" w:hint="default"/>
                <w:sz w:val="24"/>
                <w:szCs w:val="24"/>
              </w:rPr>
              <w:t>不涉及现金收支的重大投资和筹资活动</w:t>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2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4"/>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611"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6490" w:val="left" w:leader="none"/>
              </w:tabs>
              <w:spacing w:line="240" w:lineRule="auto" w:before="93"/>
              <w:ind w:left="136" w:right="-1987"/>
              <w:jc w:val="left"/>
              <w:rPr>
                <w:rFonts w:ascii="Arial" w:hAnsi="Arial" w:cs="Arial" w:eastAsia="Arial" w:hint="default"/>
                <w:sz w:val="24"/>
                <w:szCs w:val="24"/>
              </w:rPr>
            </w:pPr>
            <w:r>
              <w:rPr>
                <w:rFonts w:ascii="宋体" w:hAnsi="宋体" w:cs="宋体" w:eastAsia="宋体" w:hint="default"/>
                <w:position w:val="2"/>
                <w:sz w:val="24"/>
                <w:szCs w:val="24"/>
              </w:rPr>
              <w:t>资本公积转增股本</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451" w:val="left" w:leader="none"/>
                <w:tab w:pos="1728" w:val="left" w:leader="none"/>
              </w:tabs>
              <w:spacing w:line="240" w:lineRule="auto" w:before="168"/>
              <w:ind w:right="-892"/>
              <w:jc w:val="right"/>
              <w:rPr>
                <w:rFonts w:ascii="Arial" w:hAnsi="Arial" w:cs="Arial" w:eastAsia="Arial" w:hint="default"/>
                <w:sz w:val="24"/>
                <w:szCs w:val="24"/>
              </w:rPr>
            </w:pPr>
            <w:r>
              <w:rPr>
                <w:rFonts w:ascii="Arial"/>
                <w:w w:val="99"/>
                <w:sz w:val="24"/>
              </w:rPr>
            </w:r>
            <w:r>
              <w:rPr>
                <w:rFonts w:ascii="Arial"/>
                <w:w w:val="95"/>
                <w:sz w:val="24"/>
                <w:u w:val="thick" w:color="000000"/>
              </w:rPr>
              <w:t>- </w:t>
            </w:r>
            <w:r>
              <w:rPr>
                <w:rFonts w:ascii="Arial"/>
                <w:spacing w:val="-10"/>
                <w:w w:val="95"/>
                <w:sz w:val="24"/>
                <w:u w:val="thick" w:color="000000"/>
              </w:rPr>
              <w:t> </w:t>
            </w:r>
            <w:r>
              <w:rPr>
                <w:rFonts w:ascii="Arial"/>
                <w:spacing w:val="-10"/>
                <w:w w:val="95"/>
                <w:sz w:val="24"/>
              </w:rPr>
            </w:r>
            <w:r>
              <w:rPr>
                <w:rFonts w:ascii="Arial"/>
                <w:w w:val="95"/>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168"/>
              <w:ind w:right="189"/>
              <w:jc w:val="right"/>
              <w:rPr>
                <w:rFonts w:ascii="Arial" w:hAnsi="Arial" w:cs="Arial" w:eastAsia="Arial" w:hint="default"/>
                <w:sz w:val="24"/>
                <w:szCs w:val="24"/>
              </w:rPr>
            </w:pPr>
            <w:r>
              <w:rPr>
                <w:rFonts w:ascii="Arial"/>
                <w:w w:val="99"/>
                <w:sz w:val="24"/>
              </w:rPr>
            </w:r>
            <w:r>
              <w:rPr>
                <w:rFonts w:ascii="Arial"/>
                <w:spacing w:val="-1"/>
                <w:sz w:val="24"/>
                <w:u w:val="thick" w:color="000000"/>
              </w:rPr>
              <w:t>2,332,071</w:t>
              <w:tab/>
            </w:r>
            <w:r>
              <w:rPr>
                <w:rFonts w:ascii="Arial"/>
                <w:spacing w:val="-1"/>
                <w:sz w:val="24"/>
              </w:rPr>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(c)</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0"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823" w:type="dxa"/>
            <w:tcBorders>
              <w:top w:val="nil" w:sz="6" w:space="0" w:color="auto"/>
              <w:left w:val="nil" w:sz="6" w:space="0" w:color="auto"/>
              <w:bottom w:val="nil" w:sz="6" w:space="0" w:color="auto"/>
              <w:right w:val="nil" w:sz="6" w:space="0" w:color="auto"/>
            </w:tcBorders>
          </w:tcPr>
          <w:p>
            <w:pPr/>
          </w:p>
        </w:tc>
        <w:tc>
          <w:tcPr>
            <w:tcW w:w="2254" w:type="dxa"/>
            <w:tcBorders>
              <w:top w:val="nil" w:sz="6" w:space="0" w:color="auto"/>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2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4"/>
              <w:jc w:val="right"/>
              <w:rPr>
                <w:rFonts w:ascii="宋体" w:hAnsi="宋体" w:cs="宋体" w:eastAsia="宋体" w:hint="default"/>
                <w:sz w:val="24"/>
                <w:szCs w:val="24"/>
              </w:rPr>
            </w:pP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0" w:right="0"/>
              <w:jc w:val="left"/>
              <w:rPr>
                <w:rFonts w:ascii="宋体" w:hAnsi="宋体" w:cs="宋体" w:eastAsia="宋体" w:hint="default"/>
                <w:sz w:val="24"/>
                <w:szCs w:val="24"/>
              </w:rPr>
            </w:pPr>
            <w:r>
              <w:rPr>
                <w:rFonts w:ascii="宋体" w:hAnsi="宋体" w:cs="宋体" w:eastAsia="宋体" w:hint="default"/>
                <w:sz w:val="24"/>
                <w:szCs w:val="24"/>
              </w:rPr>
              <w:t>现金的年末余额</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997" w:right="0"/>
              <w:jc w:val="left"/>
              <w:rPr>
                <w:rFonts w:ascii="Arial" w:hAnsi="Arial" w:cs="Arial" w:eastAsia="Arial" w:hint="default"/>
                <w:sz w:val="24"/>
                <w:szCs w:val="24"/>
              </w:rPr>
            </w:pPr>
            <w:r>
              <w:rPr>
                <w:rFonts w:ascii="Arial"/>
                <w:sz w:val="24"/>
              </w:rPr>
              <w:t>8,626,018</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305"/>
              <w:jc w:val="right"/>
              <w:rPr>
                <w:rFonts w:ascii="Arial" w:hAnsi="Arial" w:cs="Arial" w:eastAsia="Arial" w:hint="default"/>
                <w:sz w:val="24"/>
                <w:szCs w:val="24"/>
              </w:rPr>
            </w:pPr>
            <w:r>
              <w:rPr>
                <w:rFonts w:ascii="Arial"/>
                <w:spacing w:val="-1"/>
                <w:sz w:val="24"/>
              </w:rPr>
              <w:t>8,181,699</w:t>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5420" w:val="left" w:leader="none"/>
              </w:tabs>
              <w:spacing w:line="260" w:lineRule="exact"/>
              <w:ind w:left="120" w:right="-916"/>
              <w:jc w:val="left"/>
              <w:rPr>
                <w:rFonts w:ascii="Arial" w:hAnsi="Arial" w:cs="Arial" w:eastAsia="Arial" w:hint="default"/>
                <w:sz w:val="24"/>
                <w:szCs w:val="24"/>
              </w:rPr>
            </w:pPr>
            <w:r>
              <w:rPr>
                <w:rFonts w:ascii="宋体" w:hAnsi="宋体" w:cs="宋体" w:eastAsia="宋体" w:hint="default"/>
                <w:position w:val="2"/>
                <w:sz w:val="24"/>
                <w:szCs w:val="24"/>
              </w:rPr>
              <w:t>减：现金的年初余额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437" w:val="left" w:leader="none"/>
                <w:tab w:pos="3484" w:val="left" w:leader="none"/>
              </w:tabs>
              <w:spacing w:line="240" w:lineRule="auto" w:before="21"/>
              <w:ind w:left="915" w:right="-662"/>
              <w:jc w:val="left"/>
              <w:rPr>
                <w:rFonts w:ascii="Arial" w:hAnsi="Arial" w:cs="Arial" w:eastAsia="Arial" w:hint="default"/>
                <w:sz w:val="24"/>
                <w:szCs w:val="24"/>
              </w:rPr>
            </w:pPr>
            <w:r>
              <w:rPr>
                <w:rFonts w:ascii="Arial"/>
                <w:w w:val="99"/>
                <w:sz w:val="24"/>
              </w:rPr>
            </w:r>
            <w:r>
              <w:rPr>
                <w:rFonts w:ascii="Arial"/>
                <w:sz w:val="24"/>
                <w:u w:val="single" w:color="000000"/>
              </w:rPr>
              <w:t>(8,181,699)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6"/>
              <w:jc w:val="right"/>
              <w:rPr>
                <w:rFonts w:ascii="Arial" w:hAnsi="Arial" w:cs="Arial" w:eastAsia="Arial" w:hint="default"/>
                <w:sz w:val="24"/>
                <w:szCs w:val="24"/>
              </w:rPr>
            </w:pPr>
            <w:r>
              <w:rPr>
                <w:rFonts w:ascii="Arial"/>
                <w:w w:val="99"/>
                <w:sz w:val="24"/>
              </w:rPr>
            </w:r>
            <w:r>
              <w:rPr>
                <w:rFonts w:ascii="Arial"/>
                <w:spacing w:val="-1"/>
                <w:sz w:val="24"/>
                <w:u w:val="single" w:color="000000"/>
              </w:rPr>
              <w:t>(10,527,343)</w:t>
            </w:r>
            <w:r>
              <w:rPr>
                <w:rFonts w:ascii="Arial"/>
                <w:spacing w:val="-1"/>
                <w:sz w:val="24"/>
              </w:rPr>
            </w:r>
          </w:p>
        </w:tc>
      </w:tr>
      <w:tr>
        <w:trPr>
          <w:trHeight w:val="294" w:hRule="exact"/>
        </w:trPr>
        <w:tc>
          <w:tcPr>
            <w:tcW w:w="772"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tabs>
                <w:tab w:pos="4426" w:val="left" w:leader="none"/>
                <w:tab w:pos="5703" w:val="left" w:leader="none"/>
              </w:tabs>
              <w:spacing w:line="279" w:lineRule="exact"/>
              <w:ind w:left="120" w:right="-1199"/>
              <w:jc w:val="left"/>
              <w:rPr>
                <w:rFonts w:ascii="Arial" w:hAnsi="Arial" w:cs="Arial" w:eastAsia="Arial" w:hint="default"/>
                <w:sz w:val="24"/>
                <w:szCs w:val="24"/>
              </w:rPr>
            </w:pPr>
            <w:r>
              <w:rPr>
                <w:rFonts w:ascii="宋体" w:hAnsi="宋体" w:cs="宋体" w:eastAsia="宋体" w:hint="default"/>
                <w:position w:val="2"/>
                <w:sz w:val="24"/>
                <w:szCs w:val="24"/>
              </w:rPr>
              <w:t>现金及现金等价物净增加</w:t>
            </w:r>
            <w:r>
              <w:rPr>
                <w:rFonts w:ascii="Arial" w:hAnsi="Arial" w:cs="Arial" w:eastAsia="Arial" w:hint="default"/>
                <w:position w:val="2"/>
                <w:sz w:val="24"/>
                <w:szCs w:val="24"/>
              </w:rPr>
              <w:t>/(</w:t>
            </w:r>
            <w:r>
              <w:rPr>
                <w:rFonts w:ascii="宋体" w:hAnsi="宋体" w:cs="宋体" w:eastAsia="宋体" w:hint="default"/>
                <w:position w:val="2"/>
                <w:sz w:val="24"/>
                <w:szCs w:val="24"/>
              </w:rPr>
              <w:t>减少</w:t>
            </w:r>
            <w:r>
              <w:rPr>
                <w:rFonts w:ascii="Arial" w:hAnsi="Arial" w:cs="Arial" w:eastAsia="Arial" w:hint="default"/>
                <w:position w:val="2"/>
                <w:sz w:val="24"/>
                <w:szCs w:val="24"/>
              </w:rPr>
              <w:t>)</w:t>
            </w:r>
            <w:r>
              <w:rPr>
                <w:rFonts w:ascii="宋体" w:hAnsi="宋体" w:cs="宋体" w:eastAsia="宋体" w:hint="default"/>
                <w:position w:val="2"/>
                <w:sz w:val="24"/>
                <w:szCs w:val="24"/>
              </w:rPr>
              <w:t>额</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437" w:val="left" w:leader="none"/>
                <w:tab w:pos="3618" w:val="left" w:leader="none"/>
              </w:tabs>
              <w:spacing w:line="240" w:lineRule="auto" w:before="23"/>
              <w:ind w:left="1198" w:right="-796"/>
              <w:jc w:val="left"/>
              <w:rPr>
                <w:rFonts w:ascii="Arial" w:hAnsi="Arial" w:cs="Arial" w:eastAsia="Arial" w:hint="default"/>
                <w:sz w:val="24"/>
                <w:szCs w:val="24"/>
              </w:rPr>
            </w:pPr>
            <w:r>
              <w:rPr>
                <w:rFonts w:ascii="Arial"/>
                <w:w w:val="99"/>
                <w:sz w:val="24"/>
              </w:rPr>
            </w:r>
            <w:r>
              <w:rPr>
                <w:rFonts w:ascii="Arial"/>
                <w:sz w:val="24"/>
                <w:u w:val="thick" w:color="000000"/>
              </w:rPr>
              <w:t>444,319 </w:t>
            </w:r>
            <w:r>
              <w:rPr>
                <w:rFonts w:ascii="Arial"/>
                <w:spacing w:val="-10"/>
                <w:sz w:val="24"/>
                <w:u w:val="thick" w:color="000000"/>
              </w:rPr>
              <w:t> </w:t>
            </w:r>
            <w:r>
              <w:rPr>
                <w:rFonts w:ascii="Arial"/>
                <w:spacing w:val="-10"/>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7"/>
              <w:jc w:val="right"/>
              <w:rPr>
                <w:rFonts w:ascii="Arial" w:hAnsi="Arial" w:cs="Arial" w:eastAsia="Arial" w:hint="default"/>
                <w:sz w:val="24"/>
                <w:szCs w:val="24"/>
              </w:rPr>
            </w:pPr>
            <w:r>
              <w:rPr>
                <w:rFonts w:ascii="Arial"/>
                <w:sz w:val="24"/>
              </w:rPr>
            </w:r>
            <w:r>
              <w:rPr>
                <w:rFonts w:ascii="Arial"/>
                <w:spacing w:val="-1"/>
                <w:sz w:val="24"/>
                <w:u w:val="thick" w:color="000000"/>
              </w:rPr>
              <w:t>(2,345,644)</w:t>
            </w:r>
            <w:r>
              <w:rPr>
                <w:rFonts w:ascii="Arial"/>
                <w:spacing w:val="-1"/>
                <w:sz w:val="24"/>
              </w:rPr>
            </w:r>
          </w:p>
        </w:tc>
      </w:tr>
    </w:tbl>
    <w:p>
      <w:pPr>
        <w:spacing w:after="0" w:line="240" w:lineRule="auto"/>
        <w:jc w:val="right"/>
        <w:rPr>
          <w:rFonts w:ascii="Arial" w:hAnsi="Arial" w:cs="Arial" w:eastAsia="Arial" w:hint="default"/>
          <w:sz w:val="24"/>
          <w:szCs w:val="24"/>
        </w:rPr>
        <w:sectPr>
          <w:pgSz w:w="11910" w:h="16850"/>
          <w:pgMar w:header="754" w:footer="956" w:top="224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2537"/>
        <w:gridCol w:w="1037"/>
        <w:gridCol w:w="1119"/>
        <w:gridCol w:w="1195"/>
        <w:gridCol w:w="1331"/>
        <w:gridCol w:w="1035"/>
        <w:gridCol w:w="1132"/>
      </w:tblGrid>
      <w:tr>
        <w:trPr>
          <w:trHeight w:val="69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sz w:val="24"/>
                <w:szCs w:val="24"/>
              </w:rPr>
              <w:t>一</w:t>
            </w:r>
          </w:p>
        </w:tc>
        <w:tc>
          <w:tcPr>
            <w:tcW w:w="2537" w:type="dxa"/>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宋体" w:hAnsi="宋体" w:cs="宋体" w:eastAsia="宋体" w:hint="default"/>
                <w:sz w:val="24"/>
                <w:szCs w:val="24"/>
              </w:rPr>
            </w:pPr>
            <w:r>
              <w:rPr>
                <w:rFonts w:ascii="宋体" w:hAnsi="宋体" w:cs="宋体" w:eastAsia="宋体" w:hint="default"/>
                <w:b/>
                <w:bCs/>
                <w:sz w:val="24"/>
                <w:szCs w:val="24"/>
              </w:rPr>
              <w:t>非经常性损益明细表</w:t>
            </w:r>
            <w:r>
              <w:rPr>
                <w:rFonts w:ascii="宋体" w:hAnsi="宋体" w:cs="宋体" w:eastAsia="宋体" w:hint="default"/>
                <w:sz w:val="24"/>
                <w:szCs w:val="24"/>
              </w:rPr>
            </w:r>
          </w:p>
        </w:tc>
        <w:tc>
          <w:tcPr>
            <w:tcW w:w="1037" w:type="dxa"/>
            <w:tcBorders>
              <w:top w:val="single" w:sz="6" w:space="0" w:color="000000"/>
              <w:left w:val="nil" w:sz="6" w:space="0" w:color="auto"/>
              <w:bottom w:val="nil" w:sz="6" w:space="0" w:color="auto"/>
              <w:right w:val="nil" w:sz="6" w:space="0" w:color="auto"/>
            </w:tcBorders>
          </w:tcPr>
          <w:p>
            <w:pPr/>
          </w:p>
        </w:tc>
        <w:tc>
          <w:tcPr>
            <w:tcW w:w="1119" w:type="dxa"/>
            <w:tcBorders>
              <w:top w:val="single" w:sz="6" w:space="0" w:color="000000"/>
              <w:left w:val="nil" w:sz="6" w:space="0" w:color="auto"/>
              <w:bottom w:val="nil" w:sz="6" w:space="0" w:color="auto"/>
              <w:right w:val="nil" w:sz="6" w:space="0" w:color="auto"/>
            </w:tcBorders>
          </w:tcPr>
          <w:p>
            <w:pPr/>
          </w:p>
        </w:tc>
        <w:tc>
          <w:tcPr>
            <w:tcW w:w="1195" w:type="dxa"/>
            <w:tcBorders>
              <w:top w:val="single" w:sz="6" w:space="0" w:color="000000"/>
              <w:left w:val="nil" w:sz="6" w:space="0" w:color="auto"/>
              <w:bottom w:val="nil" w:sz="6" w:space="0" w:color="auto"/>
              <w:right w:val="nil" w:sz="6" w:space="0" w:color="auto"/>
            </w:tcBorders>
          </w:tcPr>
          <w:p>
            <w:pPr/>
          </w:p>
        </w:tc>
        <w:tc>
          <w:tcPr>
            <w:tcW w:w="1331" w:type="dxa"/>
            <w:tcBorders>
              <w:top w:val="single" w:sz="6" w:space="0" w:color="000000"/>
              <w:left w:val="nil" w:sz="6" w:space="0" w:color="auto"/>
              <w:bottom w:val="nil" w:sz="6" w:space="0" w:color="auto"/>
              <w:right w:val="nil" w:sz="6" w:space="0" w:color="auto"/>
            </w:tcBorders>
          </w:tcPr>
          <w:p>
            <w:pPr/>
          </w:p>
        </w:tc>
        <w:tc>
          <w:tcPr>
            <w:tcW w:w="1035" w:type="dxa"/>
            <w:tcBorders>
              <w:top w:val="single" w:sz="6" w:space="0" w:color="000000"/>
              <w:left w:val="nil" w:sz="6" w:space="0" w:color="auto"/>
              <w:bottom w:val="nil" w:sz="6" w:space="0" w:color="auto"/>
              <w:right w:val="nil" w:sz="6" w:space="0" w:color="auto"/>
            </w:tcBorders>
          </w:tcPr>
          <w:p>
            <w:pPr/>
          </w:p>
        </w:tc>
        <w:tc>
          <w:tcPr>
            <w:tcW w:w="1132" w:type="dxa"/>
            <w:tcBorders>
              <w:top w:val="single" w:sz="6" w:space="0" w:color="000000"/>
              <w:left w:val="nil" w:sz="6" w:space="0" w:color="auto"/>
              <w:bottom w:val="nil" w:sz="6" w:space="0" w:color="auto"/>
              <w:right w:val="nil" w:sz="6" w:space="0" w:color="auto"/>
            </w:tcBorders>
          </w:tcPr>
          <w:p>
            <w:pPr/>
          </w:p>
        </w:tc>
      </w:tr>
      <w:tr>
        <w:trPr>
          <w:trHeight w:val="594"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6" w:right="0"/>
              <w:jc w:val="left"/>
              <w:rPr>
                <w:rFonts w:ascii="宋体" w:hAnsi="宋体" w:cs="宋体" w:eastAsia="宋体" w:hint="default"/>
                <w:sz w:val="24"/>
                <w:szCs w:val="24"/>
              </w:rPr>
            </w:pPr>
            <w:r>
              <w:rPr>
                <w:rFonts w:ascii="Arial" w:hAnsi="Arial" w:cs="Arial" w:eastAsia="Arial" w:hint="default"/>
                <w:spacing w:val="-5"/>
                <w:sz w:val="24"/>
                <w:szCs w:val="24"/>
              </w:rPr>
              <w:t>2011 </w:t>
            </w:r>
            <w:r>
              <w:rPr>
                <w:rFonts w:ascii="宋体" w:hAnsi="宋体" w:cs="宋体" w:eastAsia="宋体" w:hint="default"/>
                <w:sz w:val="24"/>
                <w:szCs w:val="24"/>
              </w:rPr>
              <w:t>年度</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8"/>
              <w:jc w:val="right"/>
              <w:rPr>
                <w:rFonts w:ascii="Arial" w:hAnsi="Arial" w:cs="Arial" w:eastAsia="Arial" w:hint="default"/>
                <w:sz w:val="24"/>
                <w:szCs w:val="24"/>
              </w:rPr>
            </w:pPr>
            <w:r>
              <w:rPr>
                <w:rFonts w:ascii="Arial"/>
                <w:w w:val="99"/>
                <w:sz w:val="24"/>
              </w:rPr>
              <w:t>2</w:t>
            </w:r>
            <w:r>
              <w:rPr>
                <w:rFonts w:ascii="Arial"/>
                <w:sz w:val="24"/>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4"/>
                <w:szCs w:val="24"/>
              </w:rPr>
            </w:pPr>
            <w:r>
              <w:rPr>
                <w:rFonts w:ascii="Arial" w:hAnsi="Arial" w:cs="Arial" w:eastAsia="Arial" w:hint="default"/>
                <w:sz w:val="24"/>
                <w:szCs w:val="24"/>
              </w:rPr>
              <w:t>010</w:t>
            </w:r>
            <w:r>
              <w:rPr>
                <w:rFonts w:ascii="Arial" w:hAnsi="Arial" w:cs="Arial" w:eastAsia="Arial" w:hint="default"/>
                <w:spacing w:val="-9"/>
                <w:sz w:val="24"/>
                <w:szCs w:val="24"/>
              </w:rPr>
              <w:t> </w:t>
            </w:r>
            <w:r>
              <w:rPr>
                <w:rFonts w:ascii="宋体" w:hAnsi="宋体" w:cs="宋体" w:eastAsia="宋体" w:hint="default"/>
                <w:sz w:val="24"/>
                <w:szCs w:val="24"/>
              </w:rPr>
              <w:t>年度</w:t>
            </w:r>
          </w:p>
        </w:tc>
      </w:tr>
      <w:tr>
        <w:trPr>
          <w:trHeight w:val="460"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非流动资产处置净损失</w:t>
            </w: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89"/>
              <w:jc w:val="right"/>
              <w:rPr>
                <w:rFonts w:ascii="Arial" w:hAnsi="Arial" w:cs="Arial" w:eastAsia="Arial" w:hint="default"/>
                <w:sz w:val="24"/>
                <w:szCs w:val="24"/>
              </w:rPr>
            </w:pPr>
            <w:r>
              <w:rPr>
                <w:rFonts w:ascii="Arial"/>
                <w:spacing w:val="-1"/>
                <w:sz w:val="24"/>
              </w:rPr>
              <w:t>1,970</w:t>
            </w:r>
          </w:p>
        </w:tc>
        <w:tc>
          <w:tcPr>
            <w:tcW w:w="103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33"/>
              <w:jc w:val="right"/>
              <w:rPr>
                <w:rFonts w:ascii="Arial" w:hAnsi="Arial" w:cs="Arial" w:eastAsia="Arial" w:hint="default"/>
                <w:sz w:val="24"/>
                <w:szCs w:val="24"/>
              </w:rPr>
            </w:pPr>
            <w:r>
              <w:rPr>
                <w:rFonts w:ascii="Arial"/>
                <w:spacing w:val="-1"/>
                <w:sz w:val="24"/>
              </w:rPr>
              <w:t>3,717</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57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Arial" w:hAnsi="Arial" w:cs="Arial" w:eastAsia="Arial" w:hint="default"/>
                <w:sz w:val="24"/>
                <w:szCs w:val="24"/>
              </w:rPr>
            </w:pPr>
            <w:r>
              <w:rPr>
                <w:rFonts w:ascii="Arial"/>
                <w:spacing w:val="-1"/>
                <w:sz w:val="24"/>
              </w:rPr>
              <w:t>(83,566)</w:t>
            </w:r>
          </w:p>
        </w:tc>
        <w:tc>
          <w:tcPr>
            <w:tcW w:w="103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5"/>
              <w:jc w:val="right"/>
              <w:rPr>
                <w:rFonts w:ascii="Arial" w:hAnsi="Arial" w:cs="Arial" w:eastAsia="Arial" w:hint="default"/>
                <w:sz w:val="24"/>
                <w:szCs w:val="24"/>
              </w:rPr>
            </w:pPr>
            <w:r>
              <w:rPr>
                <w:rFonts w:ascii="Arial"/>
                <w:spacing w:val="-1"/>
                <w:sz w:val="24"/>
              </w:rPr>
              <w:t>(41,982)</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693" w:type="dxa"/>
            <w:gridSpan w:val="3"/>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Arial" w:hAnsi="Arial" w:cs="Arial" w:eastAsia="Arial" w:hint="default"/>
                <w:sz w:val="24"/>
                <w:szCs w:val="24"/>
              </w:rPr>
            </w:pPr>
            <w:r>
              <w:rPr>
                <w:rFonts w:ascii="Arial"/>
                <w:spacing w:val="-1"/>
                <w:sz w:val="24"/>
              </w:rPr>
              <w:t>52,451</w:t>
            </w:r>
          </w:p>
        </w:tc>
        <w:tc>
          <w:tcPr>
            <w:tcW w:w="103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2"/>
              <w:jc w:val="right"/>
              <w:rPr>
                <w:rFonts w:ascii="Arial" w:hAnsi="Arial" w:cs="Arial" w:eastAsia="Arial" w:hint="default"/>
                <w:sz w:val="24"/>
                <w:szCs w:val="24"/>
              </w:rPr>
            </w:pPr>
            <w:r>
              <w:rPr>
                <w:rFonts w:ascii="Arial"/>
                <w:spacing w:val="-1"/>
                <w:sz w:val="24"/>
              </w:rPr>
              <w:t>68,169</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3574"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交易性金融资产公允价值变动</w:t>
            </w: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Arial" w:hAnsi="Arial" w:cs="Arial" w:eastAsia="Arial" w:hint="default"/>
                <w:sz w:val="24"/>
                <w:szCs w:val="24"/>
              </w:rPr>
            </w:pPr>
            <w:r>
              <w:rPr>
                <w:rFonts w:ascii="Arial"/>
                <w:w w:val="99"/>
                <w:sz w:val="24"/>
              </w:rPr>
              <w:t>-</w:t>
            </w:r>
            <w:r>
              <w:rPr>
                <w:rFonts w:ascii="Arial"/>
                <w:sz w:val="24"/>
              </w:rPr>
            </w:r>
          </w:p>
        </w:tc>
        <w:tc>
          <w:tcPr>
            <w:tcW w:w="103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5"/>
              <w:jc w:val="right"/>
              <w:rPr>
                <w:rFonts w:ascii="Arial" w:hAnsi="Arial" w:cs="Arial" w:eastAsia="Arial" w:hint="default"/>
                <w:sz w:val="24"/>
                <w:szCs w:val="24"/>
              </w:rPr>
            </w:pPr>
            <w:r>
              <w:rPr>
                <w:rFonts w:ascii="Arial"/>
                <w:sz w:val="24"/>
              </w:rPr>
              <w:t>(5,658)</w:t>
            </w:r>
          </w:p>
        </w:tc>
      </w:tr>
      <w:tr>
        <w:trPr>
          <w:trHeight w:val="312" w:hRule="exact"/>
        </w:trPr>
        <w:tc>
          <w:tcPr>
            <w:tcW w:w="772" w:type="dxa"/>
            <w:tcBorders>
              <w:top w:val="nil" w:sz="6" w:space="0" w:color="auto"/>
              <w:left w:val="nil" w:sz="6" w:space="0" w:color="auto"/>
              <w:bottom w:val="nil" w:sz="6" w:space="0" w:color="auto"/>
              <w:right w:val="nil" w:sz="6" w:space="0" w:color="auto"/>
            </w:tcBorders>
          </w:tcPr>
          <w:p>
            <w:pPr/>
          </w:p>
        </w:tc>
        <w:tc>
          <w:tcPr>
            <w:tcW w:w="4693" w:type="dxa"/>
            <w:gridSpan w:val="3"/>
            <w:tcBorders>
              <w:top w:val="nil" w:sz="6" w:space="0" w:color="auto"/>
              <w:left w:val="nil" w:sz="6" w:space="0" w:color="auto"/>
              <w:bottom w:val="nil" w:sz="6" w:space="0" w:color="auto"/>
              <w:right w:val="nil" w:sz="6" w:space="0" w:color="auto"/>
            </w:tcBorders>
          </w:tcPr>
          <w:p>
            <w:pPr>
              <w:pStyle w:val="TableParagraph"/>
              <w:spacing w:line="261" w:lineRule="exact"/>
              <w:ind w:left="136"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526"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40" w:lineRule="auto" w:before="21"/>
              <w:ind w:left="86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(179,223)</w:t>
            </w:r>
            <w:r>
              <w:rPr>
                <w:rFonts w:ascii="Arial"/>
                <w:sz w:val="24"/>
              </w:rPr>
            </w:r>
          </w:p>
        </w:tc>
        <w:tc>
          <w:tcPr>
            <w:tcW w:w="2167" w:type="dxa"/>
            <w:gridSpan w:val="2"/>
            <w:tcBorders>
              <w:top w:val="nil" w:sz="6" w:space="0" w:color="auto"/>
              <w:left w:val="nil" w:sz="6" w:space="0" w:color="auto"/>
              <w:bottom w:val="nil" w:sz="6" w:space="0" w:color="auto"/>
              <w:right w:val="nil" w:sz="6" w:space="0" w:color="auto"/>
            </w:tcBorders>
          </w:tcPr>
          <w:p>
            <w:pPr>
              <w:pStyle w:val="TableParagraph"/>
              <w:tabs>
                <w:tab w:pos="1950" w:val="left" w:leader="none"/>
                <w:tab w:pos="2166" w:val="left" w:leader="none"/>
              </w:tabs>
              <w:spacing w:line="240" w:lineRule="auto" w:before="21"/>
              <w:ind w:left="46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83"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2526"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66" w:lineRule="exact"/>
              <w:ind w:left="86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(208,368)</w:t>
            </w:r>
            <w:r>
              <w:rPr>
                <w:rFonts w:ascii="Arial"/>
                <w:sz w:val="24"/>
              </w:rPr>
            </w:r>
          </w:p>
        </w:tc>
        <w:tc>
          <w:tcPr>
            <w:tcW w:w="2167" w:type="dxa"/>
            <w:gridSpan w:val="2"/>
            <w:tcBorders>
              <w:top w:val="nil" w:sz="6" w:space="0" w:color="auto"/>
              <w:left w:val="nil" w:sz="6" w:space="0" w:color="auto"/>
              <w:bottom w:val="nil" w:sz="6" w:space="0" w:color="auto"/>
              <w:right w:val="nil" w:sz="6" w:space="0" w:color="auto"/>
            </w:tcBorders>
          </w:tcPr>
          <w:p>
            <w:pPr>
              <w:pStyle w:val="TableParagraph"/>
              <w:tabs>
                <w:tab w:pos="1295" w:val="left" w:leader="none"/>
                <w:tab w:pos="2166" w:val="left" w:leader="none"/>
              </w:tabs>
              <w:spacing w:line="266" w:lineRule="exact"/>
              <w:ind w:left="46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24,246</w:t>
              <w:tab/>
            </w:r>
            <w:r>
              <w:rPr>
                <w:rFonts w:ascii="Arial"/>
                <w:sz w:val="24"/>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63" w:lineRule="exact"/>
              <w:ind w:left="136"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25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24"/>
                <w:szCs w:val="24"/>
              </w:rPr>
            </w:pPr>
            <w:r>
              <w:rPr>
                <w:rFonts w:ascii="Arial"/>
                <w:spacing w:val="-1"/>
                <w:sz w:val="24"/>
              </w:rPr>
              <w:t>9,092</w:t>
            </w:r>
          </w:p>
        </w:tc>
        <w:tc>
          <w:tcPr>
            <w:tcW w:w="21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1346" w:right="0"/>
              <w:jc w:val="left"/>
              <w:rPr>
                <w:rFonts w:ascii="Arial" w:hAnsi="Arial" w:cs="Arial" w:eastAsia="Arial" w:hint="default"/>
                <w:sz w:val="24"/>
                <w:szCs w:val="24"/>
              </w:rPr>
            </w:pPr>
            <w:r>
              <w:rPr>
                <w:rFonts w:ascii="Arial"/>
                <w:sz w:val="24"/>
              </w:rPr>
              <w:t>(6,062)</w:t>
            </w:r>
          </w:p>
        </w:tc>
      </w:tr>
      <w:tr>
        <w:trPr>
          <w:trHeight w:val="320" w:hRule="exact"/>
        </w:trPr>
        <w:tc>
          <w:tcPr>
            <w:tcW w:w="772" w:type="dxa"/>
            <w:tcBorders>
              <w:top w:val="nil" w:sz="6" w:space="0" w:color="auto"/>
              <w:left w:val="nil" w:sz="6" w:space="0" w:color="auto"/>
              <w:bottom w:val="nil" w:sz="6" w:space="0" w:color="auto"/>
              <w:right w:val="nil" w:sz="6" w:space="0" w:color="auto"/>
            </w:tcBorders>
          </w:tcPr>
          <w:p>
            <w:pPr/>
          </w:p>
        </w:tc>
        <w:tc>
          <w:tcPr>
            <w:tcW w:w="3574" w:type="dxa"/>
            <w:gridSpan w:val="2"/>
            <w:tcBorders>
              <w:top w:val="nil" w:sz="6" w:space="0" w:color="auto"/>
              <w:left w:val="nil" w:sz="6" w:space="0" w:color="auto"/>
              <w:bottom w:val="nil" w:sz="6" w:space="0" w:color="auto"/>
              <w:right w:val="nil" w:sz="6" w:space="0" w:color="auto"/>
            </w:tcBorders>
          </w:tcPr>
          <w:p>
            <w:pPr>
              <w:pStyle w:val="TableParagraph"/>
              <w:spacing w:line="278" w:lineRule="exact"/>
              <w:ind w:left="136" w:right="0"/>
              <w:jc w:val="left"/>
              <w:rPr>
                <w:rFonts w:ascii="Arial" w:hAnsi="Arial" w:cs="Arial" w:eastAsia="Arial" w:hint="default"/>
                <w:sz w:val="24"/>
                <w:szCs w:val="24"/>
              </w:rPr>
            </w:pPr>
            <w:r>
              <w:rPr>
                <w:rFonts w:ascii="宋体" w:hAnsi="宋体" w:cs="宋体" w:eastAsia="宋体" w:hint="default"/>
                <w:sz w:val="24"/>
                <w:szCs w:val="24"/>
              </w:rPr>
              <w:t>少数股东权益影响额</w:t>
            </w:r>
            <w:r>
              <w:rPr>
                <w:rFonts w:ascii="Arial" w:hAnsi="Arial" w:cs="Arial" w:eastAsia="Arial" w:hint="default"/>
                <w:sz w:val="24"/>
                <w:szCs w:val="24"/>
              </w:rPr>
              <w:t>(</w:t>
            </w:r>
            <w:r>
              <w:rPr>
                <w:rFonts w:ascii="宋体" w:hAnsi="宋体" w:cs="宋体" w:eastAsia="宋体" w:hint="default"/>
                <w:sz w:val="24"/>
                <w:szCs w:val="24"/>
              </w:rPr>
              <w:t>税后</w:t>
            </w:r>
            <w:r>
              <w:rPr>
                <w:rFonts w:ascii="Arial" w:hAnsi="Arial" w:cs="Arial" w:eastAsia="Arial" w:hint="default"/>
                <w:sz w:val="24"/>
                <w:szCs w:val="24"/>
              </w:rPr>
              <w:t>)</w:t>
            </w:r>
          </w:p>
        </w:tc>
        <w:tc>
          <w:tcPr>
            <w:tcW w:w="1119" w:type="dxa"/>
            <w:tcBorders>
              <w:top w:val="nil" w:sz="6" w:space="0" w:color="auto"/>
              <w:left w:val="nil" w:sz="6" w:space="0" w:color="auto"/>
              <w:bottom w:val="nil" w:sz="6" w:space="0" w:color="auto"/>
              <w:right w:val="nil" w:sz="6" w:space="0" w:color="auto"/>
            </w:tcBorders>
          </w:tcPr>
          <w:p>
            <w:pPr/>
          </w:p>
        </w:tc>
        <w:tc>
          <w:tcPr>
            <w:tcW w:w="2526" w:type="dxa"/>
            <w:gridSpan w:val="2"/>
            <w:tcBorders>
              <w:top w:val="nil" w:sz="6" w:space="0" w:color="auto"/>
              <w:left w:val="nil" w:sz="6" w:space="0" w:color="auto"/>
              <w:bottom w:val="nil" w:sz="6" w:space="0" w:color="auto"/>
              <w:right w:val="nil" w:sz="6" w:space="0" w:color="auto"/>
            </w:tcBorders>
          </w:tcPr>
          <w:p>
            <w:pPr>
              <w:pStyle w:val="TableParagraph"/>
              <w:tabs>
                <w:tab w:pos="1835" w:val="left" w:leader="none"/>
                <w:tab w:pos="2563" w:val="left" w:leader="none"/>
              </w:tabs>
              <w:spacing w:line="240" w:lineRule="auto" w:before="21"/>
              <w:ind w:left="863" w:right="-38"/>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2,668</w:t>
              <w:tab/>
            </w:r>
            <w:r>
              <w:rPr>
                <w:rFonts w:ascii="Arial"/>
                <w:sz w:val="24"/>
              </w:rPr>
            </w:r>
          </w:p>
        </w:tc>
        <w:tc>
          <w:tcPr>
            <w:tcW w:w="2167" w:type="dxa"/>
            <w:gridSpan w:val="2"/>
            <w:tcBorders>
              <w:top w:val="nil" w:sz="6" w:space="0" w:color="auto"/>
              <w:left w:val="nil" w:sz="6" w:space="0" w:color="auto"/>
              <w:bottom w:val="nil" w:sz="6" w:space="0" w:color="auto"/>
              <w:right w:val="nil" w:sz="6" w:space="0" w:color="auto"/>
            </w:tcBorders>
          </w:tcPr>
          <w:p>
            <w:pPr>
              <w:pStyle w:val="TableParagraph"/>
              <w:tabs>
                <w:tab w:pos="1547" w:val="left" w:leader="none"/>
              </w:tabs>
              <w:spacing w:line="240" w:lineRule="auto" w:before="21"/>
              <w:ind w:left="46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(415)</w:t>
            </w:r>
            <w:r>
              <w:rPr>
                <w:rFonts w:ascii="Arial"/>
                <w:sz w:val="24"/>
              </w:rPr>
            </w:r>
          </w:p>
        </w:tc>
      </w:tr>
      <w:tr>
        <w:trPr>
          <w:trHeight w:val="442"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2526"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s>
              <w:spacing w:line="274" w:lineRule="exact"/>
              <w:ind w:left="86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(196,608)</w:t>
            </w:r>
            <w:r>
              <w:rPr>
                <w:rFonts w:ascii="Arial"/>
                <w:sz w:val="24"/>
              </w:rPr>
            </w:r>
          </w:p>
        </w:tc>
        <w:tc>
          <w:tcPr>
            <w:tcW w:w="2167" w:type="dxa"/>
            <w:gridSpan w:val="2"/>
            <w:tcBorders>
              <w:top w:val="nil" w:sz="6" w:space="0" w:color="auto"/>
              <w:left w:val="nil" w:sz="6" w:space="0" w:color="auto"/>
              <w:bottom w:val="nil" w:sz="6" w:space="0" w:color="auto"/>
              <w:right w:val="nil" w:sz="6" w:space="0" w:color="auto"/>
            </w:tcBorders>
          </w:tcPr>
          <w:p>
            <w:pPr>
              <w:pStyle w:val="TableParagraph"/>
              <w:tabs>
                <w:tab w:pos="1295" w:val="left" w:leader="none"/>
                <w:tab w:pos="2166" w:val="left" w:leader="none"/>
              </w:tabs>
              <w:spacing w:line="274" w:lineRule="exact"/>
              <w:ind w:left="46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17,769</w:t>
              <w:tab/>
            </w:r>
            <w:r>
              <w:rPr>
                <w:rFonts w:ascii="Arial"/>
                <w:sz w:val="24"/>
              </w:rPr>
            </w:r>
          </w:p>
        </w:tc>
      </w:tr>
      <w:tr>
        <w:trPr>
          <w:trHeight w:val="587" w:hRule="exact"/>
        </w:trPr>
        <w:tc>
          <w:tcPr>
            <w:tcW w:w="1015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9"/>
              <w:ind w:left="908" w:right="0"/>
              <w:jc w:val="left"/>
              <w:rPr>
                <w:rFonts w:ascii="宋体" w:hAnsi="宋体" w:cs="宋体" w:eastAsia="宋体" w:hint="default"/>
                <w:sz w:val="24"/>
                <w:szCs w:val="24"/>
              </w:rPr>
            </w:pPr>
            <w:r>
              <w:rPr>
                <w:rFonts w:ascii="宋体" w:hAnsi="宋体" w:cs="宋体" w:eastAsia="宋体" w:hint="default"/>
                <w:sz w:val="24"/>
                <w:szCs w:val="24"/>
              </w:rPr>
              <w:t>非经常性损益明细表编制基础</w:t>
            </w:r>
          </w:p>
        </w:tc>
      </w:tr>
      <w:tr>
        <w:trPr>
          <w:trHeight w:val="1524" w:hRule="exact"/>
        </w:trPr>
        <w:tc>
          <w:tcPr>
            <w:tcW w:w="10157" w:type="dxa"/>
            <w:gridSpan w:val="8"/>
            <w:tcBorders>
              <w:top w:val="nil" w:sz="6" w:space="0" w:color="auto"/>
              <w:left w:val="nil" w:sz="6" w:space="0" w:color="auto"/>
              <w:bottom w:val="nil" w:sz="6" w:space="0" w:color="auto"/>
              <w:right w:val="nil" w:sz="6" w:space="0" w:color="auto"/>
            </w:tcBorders>
          </w:tcPr>
          <w:p>
            <w:pPr>
              <w:pStyle w:val="TableParagraph"/>
              <w:spacing w:line="230" w:lineRule="auto" w:before="111"/>
              <w:ind w:left="908" w:right="101"/>
              <w:jc w:val="both"/>
              <w:rPr>
                <w:rFonts w:ascii="宋体" w:hAnsi="宋体" w:cs="宋体" w:eastAsia="宋体" w:hint="default"/>
                <w:sz w:val="24"/>
                <w:szCs w:val="24"/>
              </w:rPr>
            </w:pPr>
            <w:r>
              <w:rPr>
                <w:rFonts w:ascii="宋体" w:hAnsi="宋体" w:cs="宋体" w:eastAsia="宋体" w:hint="default"/>
                <w:sz w:val="24"/>
                <w:szCs w:val="24"/>
              </w:rPr>
              <w:t>根据中国证券监督管理委员会《公开发行证券的公司信息披露解释性公告第</w:t>
            </w:r>
            <w:r>
              <w:rPr>
                <w:rFonts w:ascii="宋体" w:hAnsi="宋体" w:cs="宋体" w:eastAsia="宋体" w:hint="default"/>
                <w:spacing w:val="-56"/>
                <w:sz w:val="24"/>
                <w:szCs w:val="24"/>
              </w:rPr>
              <w:t> </w:t>
            </w:r>
            <w:r>
              <w:rPr>
                <w:rFonts w:ascii="Arial" w:hAnsi="Arial" w:cs="Arial" w:eastAsia="Arial" w:hint="default"/>
                <w:sz w:val="24"/>
                <w:szCs w:val="24"/>
              </w:rPr>
              <w:t>1</w:t>
            </w:r>
            <w:r>
              <w:rPr>
                <w:rFonts w:ascii="Arial" w:hAnsi="Arial" w:cs="Arial" w:eastAsia="Arial" w:hint="default"/>
                <w:spacing w:val="-2"/>
                <w:sz w:val="24"/>
                <w:szCs w:val="24"/>
              </w:rPr>
              <w:t> </w:t>
            </w:r>
            <w:r>
              <w:rPr>
                <w:rFonts w:ascii="宋体" w:hAnsi="宋体" w:cs="宋体" w:eastAsia="宋体" w:hint="default"/>
                <w:sz w:val="24"/>
                <w:szCs w:val="24"/>
              </w:rPr>
              <w:t>号——非 经常性损益</w:t>
            </w:r>
            <w:r>
              <w:rPr>
                <w:rFonts w:ascii="Arial" w:hAnsi="Arial" w:cs="Arial" w:eastAsia="Arial" w:hint="default"/>
                <w:sz w:val="24"/>
                <w:szCs w:val="24"/>
              </w:rPr>
              <w:t>[2008]</w:t>
            </w:r>
            <w:r>
              <w:rPr>
                <w:rFonts w:ascii="宋体" w:hAnsi="宋体" w:cs="宋体" w:eastAsia="宋体" w:hint="default"/>
                <w:sz w:val="24"/>
                <w:szCs w:val="24"/>
              </w:rPr>
              <w:t>》的规定，非经常性损益是指与公司正常经营业务无直接关系，以及</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虽与正常经营业务相关，但由于其性质特殊和偶发性，影响报表使用人对公司经营业绩</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和盈利能力作出正确判断的各项交易和事项产生的损益。</w:t>
            </w:r>
          </w:p>
        </w:tc>
      </w:tr>
      <w:tr>
        <w:trPr>
          <w:trHeight w:val="58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b/>
                <w:bCs/>
                <w:w w:val="99"/>
                <w:sz w:val="24"/>
                <w:szCs w:val="24"/>
              </w:rPr>
              <w:t>二</w:t>
            </w:r>
            <w:r>
              <w:rPr>
                <w:rFonts w:ascii="宋体" w:hAnsi="宋体" w:cs="宋体" w:eastAsia="宋体" w:hint="default"/>
                <w:sz w:val="24"/>
                <w:szCs w:val="24"/>
              </w:rPr>
            </w:r>
          </w:p>
        </w:tc>
        <w:tc>
          <w:tcPr>
            <w:tcW w:w="35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36" w:right="0"/>
              <w:jc w:val="left"/>
              <w:rPr>
                <w:rFonts w:ascii="宋体" w:hAnsi="宋体" w:cs="宋体" w:eastAsia="宋体" w:hint="default"/>
                <w:sz w:val="24"/>
                <w:szCs w:val="24"/>
              </w:rPr>
            </w:pPr>
            <w:r>
              <w:rPr>
                <w:rFonts w:ascii="宋体" w:hAnsi="宋体" w:cs="宋体" w:eastAsia="宋体" w:hint="default"/>
                <w:b/>
                <w:bCs/>
                <w:sz w:val="24"/>
                <w:szCs w:val="24"/>
              </w:rPr>
              <w:t>净资产收益率及每股收益</w:t>
            </w:r>
            <w:r>
              <w:rPr>
                <w:rFonts w:ascii="宋体" w:hAnsi="宋体" w:cs="宋体" w:eastAsia="宋体" w:hint="default"/>
                <w:sz w:val="24"/>
                <w:szCs w:val="24"/>
              </w:rPr>
            </w: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430"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0"/>
              <w:right w:val="nil" w:sz="6" w:space="0" w:color="auto"/>
            </w:tcBorders>
          </w:tcPr>
          <w:p>
            <w:pPr/>
          </w:p>
        </w:tc>
        <w:tc>
          <w:tcPr>
            <w:tcW w:w="236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08"/>
              <w:ind w:left="731"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1132" w:type="dxa"/>
            <w:tcBorders>
              <w:top w:val="nil" w:sz="6" w:space="0" w:color="auto"/>
              <w:left w:val="nil" w:sz="6" w:space="0" w:color="auto"/>
              <w:bottom w:val="single" w:sz="12" w:space="0" w:color="000000"/>
              <w:right w:val="nil" w:sz="6" w:space="0" w:color="auto"/>
            </w:tcBorders>
          </w:tcPr>
          <w:p>
            <w:pPr/>
          </w:p>
        </w:tc>
      </w:tr>
      <w:tr>
        <w:trPr>
          <w:trHeight w:val="598"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single" w:sz="12" w:space="0" w:color="000000"/>
              <w:right w:val="nil" w:sz="6" w:space="0" w:color="auto"/>
            </w:tcBorders>
          </w:tcPr>
          <w:p>
            <w:pPr/>
          </w:p>
        </w:tc>
        <w:tc>
          <w:tcPr>
            <w:tcW w:w="2156" w:type="dxa"/>
            <w:gridSpan w:val="2"/>
            <w:tcBorders>
              <w:top w:val="nil" w:sz="6" w:space="0" w:color="auto"/>
              <w:left w:val="nil" w:sz="6" w:space="0" w:color="auto"/>
              <w:bottom w:val="single" w:sz="12" w:space="0" w:color="000000"/>
              <w:right w:val="nil" w:sz="6" w:space="0" w:color="auto"/>
            </w:tcBorders>
          </w:tcPr>
          <w:p>
            <w:pPr>
              <w:pStyle w:val="TableParagraph"/>
              <w:spacing w:line="272" w:lineRule="exact" w:before="32"/>
              <w:ind w:left="235" w:right="329" w:firstLine="374"/>
              <w:jc w:val="left"/>
              <w:rPr>
                <w:rFonts w:ascii="Arial" w:hAnsi="Arial" w:cs="Arial" w:eastAsia="Arial" w:hint="default"/>
                <w:sz w:val="21"/>
                <w:szCs w:val="21"/>
              </w:rPr>
            </w:pPr>
            <w:r>
              <w:rPr>
                <w:rFonts w:ascii="宋体" w:hAnsi="宋体" w:cs="宋体" w:eastAsia="宋体" w:hint="default"/>
                <w:sz w:val="21"/>
                <w:szCs w:val="21"/>
              </w:rPr>
              <w:t>加权平均</w:t>
            </w:r>
            <w:r>
              <w:rPr>
                <w:rFonts w:ascii="宋体" w:hAnsi="宋体" w:cs="宋体" w:eastAsia="宋体" w:hint="default"/>
                <w:w w:val="100"/>
                <w:sz w:val="21"/>
                <w:szCs w:val="21"/>
              </w:rPr>
              <w:t> </w:t>
            </w:r>
            <w:r>
              <w:rPr>
                <w:rFonts w:ascii="宋体" w:hAnsi="宋体" w:cs="宋体" w:eastAsia="宋体" w:hint="default"/>
                <w:spacing w:val="-2"/>
                <w:sz w:val="21"/>
                <w:szCs w:val="21"/>
              </w:rPr>
              <w:t>净资产收益率</w:t>
            </w:r>
            <w:r>
              <w:rPr>
                <w:rFonts w:ascii="Arial" w:hAnsi="Arial" w:cs="Arial" w:eastAsia="Arial" w:hint="default"/>
                <w:spacing w:val="-2"/>
                <w:sz w:val="21"/>
                <w:szCs w:val="21"/>
              </w:rPr>
              <w:t>(%)</w:t>
            </w:r>
            <w:r>
              <w:rPr>
                <w:rFonts w:ascii="Arial" w:hAnsi="Arial" w:cs="Arial" w:eastAsia="Arial" w:hint="default"/>
                <w:sz w:val="21"/>
                <w:szCs w:val="21"/>
              </w:rPr>
            </w:r>
          </w:p>
        </w:tc>
        <w:tc>
          <w:tcPr>
            <w:tcW w:w="2526"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67"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3"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single" w:sz="12" w:space="0" w:color="000000"/>
              <w:left w:val="nil" w:sz="6" w:space="0" w:color="auto"/>
              <w:bottom w:val="nil" w:sz="6" w:space="0" w:color="auto"/>
              <w:right w:val="nil" w:sz="6" w:space="0" w:color="auto"/>
            </w:tcBorders>
          </w:tcPr>
          <w:p>
            <w:pPr/>
          </w:p>
        </w:tc>
        <w:tc>
          <w:tcPr>
            <w:tcW w:w="1037" w:type="dxa"/>
            <w:tcBorders>
              <w:top w:val="single" w:sz="12" w:space="0" w:color="000000"/>
              <w:left w:val="nil" w:sz="6" w:space="0" w:color="auto"/>
              <w:bottom w:val="nil" w:sz="6" w:space="0" w:color="auto"/>
              <w:right w:val="nil" w:sz="6" w:space="0" w:color="auto"/>
            </w:tcBorders>
          </w:tcPr>
          <w:p>
            <w:pPr>
              <w:pStyle w:val="TableParagraph"/>
              <w:spacing w:line="258" w:lineRule="exact"/>
              <w:ind w:left="1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119" w:type="dxa"/>
            <w:tcBorders>
              <w:top w:val="single" w:sz="12" w:space="0" w:color="000000"/>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195" w:type="dxa"/>
            <w:tcBorders>
              <w:top w:val="single" w:sz="12" w:space="0" w:color="000000"/>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331" w:type="dxa"/>
            <w:tcBorders>
              <w:top w:val="single" w:sz="12" w:space="0" w:color="000000"/>
              <w:left w:val="nil" w:sz="6" w:space="0" w:color="auto"/>
              <w:bottom w:val="nil" w:sz="6" w:space="0" w:color="auto"/>
              <w:right w:val="nil" w:sz="6" w:space="0" w:color="auto"/>
            </w:tcBorders>
          </w:tcPr>
          <w:p>
            <w:pPr>
              <w:pStyle w:val="TableParagraph"/>
              <w:spacing w:line="258" w:lineRule="exact"/>
              <w:ind w:left="14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035" w:type="dxa"/>
            <w:tcBorders>
              <w:top w:val="single" w:sz="12" w:space="0" w:color="000000"/>
              <w:left w:val="nil" w:sz="6" w:space="0" w:color="auto"/>
              <w:bottom w:val="nil" w:sz="6" w:space="0" w:color="auto"/>
              <w:right w:val="nil" w:sz="6" w:space="0" w:color="auto"/>
            </w:tcBorders>
          </w:tcPr>
          <w:p>
            <w:pPr>
              <w:pStyle w:val="TableParagraph"/>
              <w:spacing w:line="258" w:lineRule="exact"/>
              <w:ind w:left="9"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132" w:type="dxa"/>
            <w:tcBorders>
              <w:top w:val="single" w:sz="12" w:space="0" w:color="000000"/>
              <w:left w:val="nil" w:sz="6" w:space="0" w:color="auto"/>
              <w:bottom w:val="nil" w:sz="6" w:space="0" w:color="auto"/>
              <w:right w:val="nil" w:sz="6" w:space="0" w:color="auto"/>
            </w:tcBorders>
          </w:tcPr>
          <w:p>
            <w:pPr>
              <w:pStyle w:val="TableParagraph"/>
              <w:spacing w:line="258" w:lineRule="exact"/>
              <w:ind w:right="107"/>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53"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36" w:lineRule="exact"/>
              <w:ind w:left="136" w:right="0"/>
              <w:jc w:val="left"/>
              <w:rPr>
                <w:rFonts w:ascii="宋体" w:hAnsi="宋体" w:cs="宋体" w:eastAsia="宋体" w:hint="default"/>
                <w:sz w:val="21"/>
                <w:szCs w:val="21"/>
              </w:rPr>
            </w:pPr>
            <w:r>
              <w:rPr>
                <w:rFonts w:ascii="宋体" w:hAnsi="宋体" w:cs="宋体" w:eastAsia="宋体" w:hint="default"/>
                <w:spacing w:val="8"/>
                <w:sz w:val="21"/>
                <w:szCs w:val="21"/>
              </w:rPr>
              <w:t>归属于公司普通股股东</w:t>
            </w:r>
            <w:r>
              <w:rPr>
                <w:rFonts w:ascii="宋体" w:hAnsi="宋体" w:cs="宋体" w:eastAsia="宋体" w:hint="default"/>
                <w:sz w:val="21"/>
                <w:szCs w:val="21"/>
              </w:rPr>
            </w:r>
          </w:p>
          <w:p>
            <w:pPr>
              <w:pStyle w:val="TableParagraph"/>
              <w:spacing w:line="275" w:lineRule="exact"/>
              <w:ind w:left="33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Arial" w:hAnsi="Arial" w:cs="Arial" w:eastAsia="Arial" w:hint="default"/>
                <w:sz w:val="21"/>
                <w:szCs w:val="21"/>
              </w:rPr>
            </w:pPr>
            <w:r>
              <w:rPr>
                <w:rFonts w:ascii="Arial"/>
                <w:sz w:val="21"/>
              </w:rPr>
              <w:t>23.68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Arial" w:hAnsi="Arial" w:cs="Arial" w:eastAsia="Arial" w:hint="default"/>
                <w:sz w:val="21"/>
                <w:szCs w:val="21"/>
              </w:rPr>
            </w:pPr>
            <w:r>
              <w:rPr>
                <w:rFonts w:ascii="Arial"/>
                <w:sz w:val="21"/>
              </w:rPr>
              <w:t>24.48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Arial" w:hAnsi="Arial" w:cs="Arial" w:eastAsia="Arial" w:hint="default"/>
                <w:sz w:val="21"/>
                <w:szCs w:val="21"/>
              </w:rPr>
              <w:t>0.69</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43" w:right="0"/>
              <w:jc w:val="left"/>
              <w:rPr>
                <w:rFonts w:ascii="宋体" w:hAnsi="宋体" w:cs="宋体" w:eastAsia="宋体" w:hint="default"/>
                <w:sz w:val="21"/>
                <w:szCs w:val="21"/>
              </w:rPr>
            </w:pPr>
            <w:r>
              <w:rPr>
                <w:rFonts w:ascii="Arial" w:hAnsi="Arial" w:cs="Arial" w:eastAsia="Arial" w:hint="default"/>
                <w:sz w:val="21"/>
                <w:szCs w:val="21"/>
              </w:rPr>
              <w:t>0.57</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9" w:right="0"/>
              <w:jc w:val="left"/>
              <w:rPr>
                <w:rFonts w:ascii="宋体" w:hAnsi="宋体" w:cs="宋体" w:eastAsia="宋体" w:hint="default"/>
                <w:sz w:val="21"/>
                <w:szCs w:val="21"/>
              </w:rPr>
            </w:pPr>
            <w:r>
              <w:rPr>
                <w:rFonts w:ascii="Arial" w:hAnsi="Arial" w:cs="Arial" w:eastAsia="Arial" w:hint="default"/>
                <w:sz w:val="21"/>
                <w:szCs w:val="21"/>
              </w:rPr>
              <w:t>0.69</w:t>
            </w:r>
            <w:r>
              <w:rPr>
                <w:rFonts w:ascii="Arial" w:hAnsi="Arial" w:cs="Arial" w:eastAsia="Arial" w:hint="default"/>
                <w:spacing w:val="-2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Arial" w:hAnsi="Arial" w:cs="Arial" w:eastAsia="Arial" w:hint="default"/>
                <w:sz w:val="21"/>
                <w:szCs w:val="21"/>
              </w:rPr>
              <w:t>0.57</w:t>
            </w:r>
            <w:r>
              <w:rPr>
                <w:rFonts w:ascii="Arial" w:hAnsi="Arial" w:cs="Arial" w:eastAsia="Arial" w:hint="default"/>
                <w:spacing w:val="-2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r>
      <w:tr>
        <w:trPr>
          <w:trHeight w:val="798" w:hRule="exact"/>
        </w:trPr>
        <w:tc>
          <w:tcPr>
            <w:tcW w:w="772" w:type="dxa"/>
            <w:tcBorders>
              <w:top w:val="nil" w:sz="6" w:space="0" w:color="auto"/>
              <w:left w:val="nil" w:sz="6" w:space="0" w:color="auto"/>
              <w:bottom w:val="nil" w:sz="6" w:space="0" w:color="auto"/>
              <w:right w:val="nil" w:sz="6" w:space="0" w:color="auto"/>
            </w:tcBorders>
          </w:tcPr>
          <w:p>
            <w:pPr/>
          </w:p>
        </w:tc>
        <w:tc>
          <w:tcPr>
            <w:tcW w:w="2537" w:type="dxa"/>
            <w:tcBorders>
              <w:top w:val="nil" w:sz="6" w:space="0" w:color="auto"/>
              <w:left w:val="nil" w:sz="6" w:space="0" w:color="auto"/>
              <w:bottom w:val="nil" w:sz="6" w:space="0" w:color="auto"/>
              <w:right w:val="nil" w:sz="6" w:space="0" w:color="auto"/>
            </w:tcBorders>
          </w:tcPr>
          <w:p>
            <w:pPr>
              <w:pStyle w:val="TableParagraph"/>
              <w:spacing w:line="230" w:lineRule="exact"/>
              <w:ind w:left="333" w:right="0" w:hanging="197"/>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扣除非经常性损益后归</w:t>
            </w:r>
            <w:r>
              <w:rPr>
                <w:rFonts w:ascii="宋体" w:hAnsi="宋体" w:cs="宋体" w:eastAsia="宋体" w:hint="default"/>
                <w:sz w:val="21"/>
                <w:szCs w:val="21"/>
              </w:rPr>
            </w:r>
          </w:p>
          <w:p>
            <w:pPr>
              <w:pStyle w:val="TableParagraph"/>
              <w:spacing w:line="272" w:lineRule="exact" w:before="27"/>
              <w:ind w:left="333" w:right="204"/>
              <w:jc w:val="left"/>
              <w:rPr>
                <w:rFonts w:ascii="宋体" w:hAnsi="宋体" w:cs="宋体" w:eastAsia="宋体" w:hint="default"/>
                <w:sz w:val="21"/>
                <w:szCs w:val="21"/>
              </w:rPr>
            </w:pPr>
            <w:r>
              <w:rPr>
                <w:rFonts w:ascii="宋体" w:hAnsi="宋体" w:cs="宋体" w:eastAsia="宋体" w:hint="default"/>
                <w:spacing w:val="9"/>
                <w:sz w:val="21"/>
                <w:szCs w:val="21"/>
              </w:rPr>
              <w:t>属于公司普通股股东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的净利润</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1" w:right="0"/>
              <w:jc w:val="left"/>
              <w:rPr>
                <w:rFonts w:ascii="Arial" w:hAnsi="Arial" w:cs="Arial" w:eastAsia="Arial" w:hint="default"/>
                <w:sz w:val="21"/>
                <w:szCs w:val="21"/>
              </w:rPr>
            </w:pPr>
            <w:r>
              <w:rPr>
                <w:rFonts w:ascii="Arial"/>
                <w:sz w:val="21"/>
              </w:rPr>
              <w:t>22.72</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Arial" w:hAnsi="Arial" w:cs="Arial" w:eastAsia="Arial" w:hint="default"/>
                <w:sz w:val="21"/>
                <w:szCs w:val="21"/>
              </w:rPr>
            </w:pPr>
            <w:r>
              <w:rPr>
                <w:rFonts w:ascii="Arial"/>
                <w:sz w:val="21"/>
              </w:rPr>
              <w:t>24.58</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Arial" w:hAnsi="Arial" w:cs="Arial" w:eastAsia="Arial" w:hint="default"/>
                <w:sz w:val="21"/>
                <w:szCs w:val="21"/>
              </w:rPr>
              <w:t>0.66</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宋体" w:hAnsi="宋体" w:cs="宋体" w:eastAsia="宋体" w:hint="default"/>
                <w:sz w:val="21"/>
                <w:szCs w:val="21"/>
              </w:rPr>
            </w:pPr>
            <w:r>
              <w:rPr>
                <w:rFonts w:ascii="Arial" w:hAnsi="Arial" w:cs="Arial" w:eastAsia="Arial" w:hint="default"/>
                <w:sz w:val="21"/>
                <w:szCs w:val="21"/>
              </w:rPr>
              <w:t>0.58</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 w:right="0"/>
              <w:jc w:val="left"/>
              <w:rPr>
                <w:rFonts w:ascii="宋体" w:hAnsi="宋体" w:cs="宋体" w:eastAsia="宋体" w:hint="default"/>
                <w:sz w:val="21"/>
                <w:szCs w:val="21"/>
              </w:rPr>
            </w:pPr>
            <w:r>
              <w:rPr>
                <w:rFonts w:ascii="Arial" w:hAnsi="Arial" w:cs="Arial" w:eastAsia="Arial" w:hint="default"/>
                <w:sz w:val="21"/>
                <w:szCs w:val="21"/>
              </w:rPr>
              <w:t>0.66</w:t>
            </w:r>
            <w:r>
              <w:rPr>
                <w:rFonts w:ascii="Arial" w:hAnsi="Arial" w:cs="Arial" w:eastAsia="Arial" w:hint="default"/>
                <w:spacing w:val="-2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宋体" w:hAnsi="宋体" w:cs="宋体" w:eastAsia="宋体" w:hint="default"/>
                <w:sz w:val="21"/>
                <w:szCs w:val="21"/>
              </w:rPr>
            </w:pPr>
            <w:r>
              <w:rPr>
                <w:rFonts w:ascii="Arial" w:hAnsi="Arial" w:cs="Arial" w:eastAsia="Arial" w:hint="default"/>
                <w:sz w:val="21"/>
                <w:szCs w:val="21"/>
              </w:rPr>
              <w:t>0.58</w:t>
            </w:r>
            <w:r>
              <w:rPr>
                <w:rFonts w:ascii="Arial" w:hAnsi="Arial" w:cs="Arial" w:eastAsia="Arial" w:hint="default"/>
                <w:spacing w:val="-2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r>
    </w:tbl>
    <w:p>
      <w:pPr>
        <w:spacing w:after="0" w:line="240" w:lineRule="auto"/>
        <w:jc w:val="right"/>
        <w:rPr>
          <w:rFonts w:ascii="宋体" w:hAnsi="宋体" w:cs="宋体" w:eastAsia="宋体" w:hint="default"/>
          <w:sz w:val="21"/>
          <w:szCs w:val="21"/>
        </w:rPr>
        <w:sectPr>
          <w:headerReference w:type="default" r:id="rId102"/>
          <w:pgSz w:w="11910" w:h="16850"/>
          <w:pgMar w:header="1474" w:footer="956" w:top="2960" w:bottom="1140" w:left="82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772"/>
        <w:gridCol w:w="1753"/>
        <w:gridCol w:w="1306"/>
        <w:gridCol w:w="1845"/>
        <w:gridCol w:w="1809"/>
        <w:gridCol w:w="1663"/>
        <w:gridCol w:w="1473"/>
      </w:tblGrid>
      <w:tr>
        <w:trPr>
          <w:trHeight w:val="712"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4904" w:type="dxa"/>
            <w:gridSpan w:val="3"/>
            <w:tcBorders>
              <w:top w:val="single" w:sz="6" w:space="0" w:color="000000"/>
              <w:left w:val="nil" w:sz="6" w:space="0" w:color="auto"/>
              <w:bottom w:val="nil" w:sz="6" w:space="0" w:color="auto"/>
              <w:right w:val="nil" w:sz="6" w:space="0" w:color="auto"/>
            </w:tcBorders>
          </w:tcPr>
          <w:p>
            <w:pPr>
              <w:pStyle w:val="TableParagraph"/>
              <w:spacing w:line="240" w:lineRule="auto" w:before="199"/>
              <w:ind w:left="136" w:right="0"/>
              <w:jc w:val="left"/>
              <w:rPr>
                <w:rFonts w:ascii="宋体" w:hAnsi="宋体" w:cs="宋体" w:eastAsia="宋体" w:hint="default"/>
                <w:sz w:val="24"/>
                <w:szCs w:val="24"/>
              </w:rPr>
            </w:pPr>
            <w:r>
              <w:rPr>
                <w:rFonts w:ascii="宋体" w:hAnsi="宋体" w:cs="宋体" w:eastAsia="宋体" w:hint="default"/>
                <w:b/>
                <w:bCs/>
                <w:sz w:val="24"/>
                <w:szCs w:val="24"/>
              </w:rPr>
              <w:t>主要会计报表项目的异常情况及原因的说明</w:t>
            </w:r>
            <w:r>
              <w:rPr>
                <w:rFonts w:ascii="宋体" w:hAnsi="宋体" w:cs="宋体" w:eastAsia="宋体" w:hint="default"/>
                <w:sz w:val="24"/>
                <w:szCs w:val="24"/>
              </w:rPr>
            </w:r>
          </w:p>
        </w:tc>
        <w:tc>
          <w:tcPr>
            <w:tcW w:w="1809" w:type="dxa"/>
            <w:tcBorders>
              <w:top w:val="single" w:sz="6" w:space="0" w:color="000000"/>
              <w:left w:val="nil" w:sz="6" w:space="0" w:color="auto"/>
              <w:bottom w:val="nil" w:sz="6" w:space="0" w:color="auto"/>
              <w:right w:val="nil" w:sz="6" w:space="0" w:color="auto"/>
            </w:tcBorders>
          </w:tcPr>
          <w:p>
            <w:pPr/>
          </w:p>
        </w:tc>
        <w:tc>
          <w:tcPr>
            <w:tcW w:w="1663" w:type="dxa"/>
            <w:tcBorders>
              <w:top w:val="single" w:sz="6" w:space="0" w:color="000000"/>
              <w:left w:val="nil" w:sz="6" w:space="0" w:color="auto"/>
              <w:bottom w:val="nil" w:sz="6" w:space="0" w:color="auto"/>
              <w:right w:val="nil" w:sz="6" w:space="0" w:color="auto"/>
            </w:tcBorders>
          </w:tcPr>
          <w:p>
            <w:pPr/>
          </w:p>
        </w:tc>
        <w:tc>
          <w:tcPr>
            <w:tcW w:w="1473" w:type="dxa"/>
            <w:tcBorders>
              <w:top w:val="single" w:sz="6" w:space="0" w:color="000000"/>
              <w:left w:val="nil" w:sz="6" w:space="0" w:color="auto"/>
              <w:bottom w:val="nil" w:sz="6" w:space="0" w:color="auto"/>
              <w:right w:val="nil" w:sz="6" w:space="0" w:color="auto"/>
            </w:tcBorders>
          </w:tcPr>
          <w:p>
            <w:pPr/>
          </w:p>
        </w:tc>
      </w:tr>
      <w:tr>
        <w:trPr>
          <w:trHeight w:val="438"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54"/>
              <w:jc w:val="righ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05"/>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7"/>
              <w:ind w:left="656" w:right="0"/>
              <w:jc w:val="left"/>
              <w:rPr>
                <w:rFonts w:ascii="宋体" w:hAnsi="宋体" w:cs="宋体" w:eastAsia="宋体" w:hint="default"/>
                <w:sz w:val="21"/>
                <w:szCs w:val="21"/>
              </w:rPr>
            </w:pPr>
            <w:r>
              <w:rPr>
                <w:rFonts w:ascii="宋体" w:hAnsi="宋体" w:cs="宋体" w:eastAsia="宋体" w:hint="default"/>
                <w:sz w:val="21"/>
                <w:szCs w:val="21"/>
              </w:rPr>
              <w:t>差异变动金额及幅度</w:t>
            </w:r>
          </w:p>
        </w:tc>
      </w:tr>
      <w:tr>
        <w:trPr>
          <w:trHeight w:val="28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51" w:lineRule="exact"/>
              <w:ind w:right="454"/>
              <w:jc w:val="righ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809" w:type="dxa"/>
            <w:tcBorders>
              <w:top w:val="nil" w:sz="6" w:space="0" w:color="auto"/>
              <w:left w:val="nil" w:sz="6" w:space="0" w:color="auto"/>
              <w:bottom w:val="nil" w:sz="6" w:space="0" w:color="auto"/>
              <w:right w:val="nil" w:sz="6" w:space="0" w:color="auto"/>
            </w:tcBorders>
          </w:tcPr>
          <w:p>
            <w:pPr>
              <w:pStyle w:val="TableParagraph"/>
              <w:spacing w:line="251" w:lineRule="exact"/>
              <w:ind w:right="305"/>
              <w:jc w:val="righ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136" w:type="dxa"/>
            <w:gridSpan w:val="2"/>
            <w:tcBorders>
              <w:top w:val="nil" w:sz="6" w:space="0" w:color="auto"/>
              <w:left w:val="nil" w:sz="6" w:space="0" w:color="auto"/>
              <w:bottom w:val="nil" w:sz="6" w:space="0" w:color="auto"/>
              <w:right w:val="nil" w:sz="6" w:space="0" w:color="auto"/>
            </w:tcBorders>
          </w:tcPr>
          <w:p>
            <w:pPr>
              <w:pStyle w:val="TableParagraph"/>
              <w:tabs>
                <w:tab w:pos="2728" w:val="left" w:leader="none"/>
              </w:tabs>
              <w:spacing w:line="251" w:lineRule="exact"/>
              <w:ind w:left="736" w:right="0"/>
              <w:jc w:val="left"/>
              <w:rPr>
                <w:rFonts w:ascii="Arial" w:hAnsi="Arial" w:cs="Arial" w:eastAsia="Arial" w:hint="default"/>
                <w:sz w:val="21"/>
                <w:szCs w:val="21"/>
              </w:rPr>
            </w:pPr>
            <w:r>
              <w:rPr>
                <w:rFonts w:ascii="宋体" w:hAnsi="宋体" w:cs="宋体" w:eastAsia="宋体" w:hint="default"/>
                <w:sz w:val="21"/>
                <w:szCs w:val="21"/>
              </w:rPr>
              <w:t>金额</w:t>
              <w:tab/>
            </w:r>
            <w:r>
              <w:rPr>
                <w:rFonts w:ascii="Arial" w:hAnsi="Arial" w:cs="Arial" w:eastAsia="Arial" w:hint="default"/>
                <w:sz w:val="21"/>
                <w:szCs w:val="21"/>
              </w:rPr>
              <w:t>%</w:t>
            </w:r>
          </w:p>
        </w:tc>
      </w:tr>
      <w:tr>
        <w:trPr>
          <w:trHeight w:val="283"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3" w:lineRule="exact"/>
              <w:ind w:left="136"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306" w:type="dxa"/>
            <w:tcBorders>
              <w:top w:val="nil" w:sz="6" w:space="0" w:color="auto"/>
              <w:left w:val="nil" w:sz="6" w:space="0" w:color="auto"/>
              <w:bottom w:val="nil" w:sz="6" w:space="0" w:color="auto"/>
              <w:right w:val="nil" w:sz="6" w:space="0" w:color="auto"/>
            </w:tcBorders>
          </w:tcPr>
          <w:p>
            <w:pPr>
              <w:pStyle w:val="TableParagraph"/>
              <w:spacing w:line="247"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78"/>
              <w:jc w:val="right"/>
              <w:rPr>
                <w:rFonts w:ascii="Arial" w:hAnsi="Arial" w:cs="Arial" w:eastAsia="Arial" w:hint="default"/>
                <w:sz w:val="20"/>
                <w:szCs w:val="20"/>
              </w:rPr>
            </w:pPr>
            <w:r>
              <w:rPr>
                <w:rFonts w:ascii="Arial"/>
                <w:w w:val="95"/>
                <w:sz w:val="20"/>
              </w:rPr>
              <w:t>7,265</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7"/>
              <w:jc w:val="right"/>
              <w:rPr>
                <w:rFonts w:ascii="Arial" w:hAnsi="Arial" w:cs="Arial" w:eastAsia="Arial" w:hint="default"/>
                <w:sz w:val="20"/>
                <w:szCs w:val="20"/>
              </w:rPr>
            </w:pPr>
            <w:r>
              <w:rPr>
                <w:rFonts w:ascii="Arial"/>
                <w:w w:val="95"/>
                <w:sz w:val="20"/>
              </w:rPr>
              <w:t>2,505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2" w:right="0"/>
              <w:jc w:val="left"/>
              <w:rPr>
                <w:rFonts w:ascii="Arial" w:hAnsi="Arial" w:cs="Arial" w:eastAsia="Arial" w:hint="default"/>
                <w:sz w:val="20"/>
                <w:szCs w:val="20"/>
              </w:rPr>
            </w:pPr>
            <w:r>
              <w:rPr>
                <w:rFonts w:ascii="Arial"/>
                <w:sz w:val="20"/>
              </w:rPr>
              <w:t>4,760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sz w:val="20"/>
              </w:rPr>
              <w:t>190.02%</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w w:val="95"/>
                <w:sz w:val="20"/>
              </w:rPr>
              <w:t>1,841,778</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7"/>
              <w:jc w:val="right"/>
              <w:rPr>
                <w:rFonts w:ascii="Arial" w:hAnsi="Arial" w:cs="Arial" w:eastAsia="Arial" w:hint="default"/>
                <w:sz w:val="20"/>
                <w:szCs w:val="20"/>
              </w:rPr>
            </w:pPr>
            <w:r>
              <w:rPr>
                <w:rFonts w:ascii="Arial"/>
                <w:spacing w:val="-2"/>
                <w:w w:val="95"/>
                <w:sz w:val="20"/>
              </w:rPr>
              <w:t>1,104,611</w:t>
            </w:r>
            <w:r>
              <w:rPr>
                <w:rFonts w:ascii="Arial"/>
                <w:spacing w:val="-2"/>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1" w:right="0"/>
              <w:jc w:val="left"/>
              <w:rPr>
                <w:rFonts w:ascii="Arial" w:hAnsi="Arial" w:cs="Arial" w:eastAsia="Arial" w:hint="default"/>
                <w:sz w:val="20"/>
                <w:szCs w:val="20"/>
              </w:rPr>
            </w:pPr>
            <w:r>
              <w:rPr>
                <w:rFonts w:ascii="Arial"/>
                <w:sz w:val="20"/>
              </w:rPr>
              <w:t>737,167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w w:val="95"/>
                <w:sz w:val="20"/>
              </w:rPr>
              <w:t>66.74%</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w w:val="95"/>
                <w:sz w:val="20"/>
              </w:rPr>
              <w:t>3,643,209</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20"/>
                <w:szCs w:val="20"/>
              </w:rPr>
            </w:pPr>
            <w:r>
              <w:rPr>
                <w:rFonts w:ascii="Arial"/>
                <w:w w:val="95"/>
                <w:sz w:val="20"/>
              </w:rPr>
              <w:t>2,741,405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Arial" w:hAnsi="Arial" w:cs="Arial" w:eastAsia="Arial" w:hint="default"/>
                <w:sz w:val="20"/>
                <w:szCs w:val="20"/>
              </w:rPr>
            </w:pPr>
            <w:r>
              <w:rPr>
                <w:rFonts w:ascii="Arial"/>
                <w:sz w:val="20"/>
              </w:rPr>
              <w:t>901,804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w w:val="95"/>
                <w:sz w:val="20"/>
              </w:rPr>
              <w:t>32.90%</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7"/>
              <w:jc w:val="right"/>
              <w:rPr>
                <w:rFonts w:ascii="Arial" w:hAnsi="Arial" w:cs="Arial" w:eastAsia="Arial" w:hint="default"/>
                <w:sz w:val="20"/>
                <w:szCs w:val="20"/>
              </w:rPr>
            </w:pPr>
            <w:r>
              <w:rPr>
                <w:rFonts w:ascii="Arial"/>
                <w:w w:val="95"/>
                <w:sz w:val="20"/>
              </w:rPr>
              <w:t>74,821</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20"/>
                <w:szCs w:val="20"/>
              </w:rPr>
            </w:pPr>
            <w:r>
              <w:rPr>
                <w:rFonts w:ascii="Arial"/>
                <w:w w:val="95"/>
                <w:sz w:val="20"/>
              </w:rPr>
              <w:t>31,385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1" w:right="0"/>
              <w:jc w:val="left"/>
              <w:rPr>
                <w:rFonts w:ascii="Arial" w:hAnsi="Arial" w:cs="Arial" w:eastAsia="Arial" w:hint="default"/>
                <w:sz w:val="20"/>
                <w:szCs w:val="20"/>
              </w:rPr>
            </w:pPr>
            <w:r>
              <w:rPr>
                <w:rFonts w:ascii="Arial"/>
                <w:sz w:val="20"/>
              </w:rPr>
              <w:t>43,436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spacing w:val="-1"/>
                <w:sz w:val="20"/>
              </w:rPr>
              <w:t>138.40%</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spacing w:val="-1"/>
                <w:sz w:val="20"/>
              </w:rPr>
              <w:t>382,375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8"/>
              <w:jc w:val="right"/>
              <w:rPr>
                <w:rFonts w:ascii="Arial" w:hAnsi="Arial" w:cs="Arial" w:eastAsia="Arial" w:hint="default"/>
                <w:sz w:val="20"/>
                <w:szCs w:val="20"/>
              </w:rPr>
            </w:pPr>
            <w:r>
              <w:rPr>
                <w:rFonts w:ascii="Arial"/>
                <w:spacing w:val="-1"/>
                <w:sz w:val="20"/>
              </w:rPr>
              <w:t>975,737</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1"/>
              <w:jc w:val="right"/>
              <w:rPr>
                <w:rFonts w:ascii="Arial" w:hAnsi="Arial" w:cs="Arial" w:eastAsia="Arial" w:hint="default"/>
                <w:sz w:val="20"/>
                <w:szCs w:val="20"/>
              </w:rPr>
            </w:pPr>
            <w:r>
              <w:rPr>
                <w:rFonts w:ascii="Arial"/>
                <w:spacing w:val="-1"/>
                <w:sz w:val="20"/>
              </w:rPr>
              <w:t>(593,362)</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spacing w:val="-1"/>
                <w:w w:val="95"/>
                <w:sz w:val="20"/>
              </w:rPr>
              <w:t>-60.81%</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w w:val="95"/>
                <w:sz w:val="20"/>
              </w:rPr>
              <w:t>13,426,741</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20"/>
                <w:szCs w:val="20"/>
              </w:rPr>
            </w:pPr>
            <w:r>
              <w:rPr>
                <w:rFonts w:ascii="Arial"/>
                <w:w w:val="95"/>
                <w:sz w:val="20"/>
              </w:rPr>
              <w:t>9,474,449</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3" w:right="0"/>
              <w:jc w:val="left"/>
              <w:rPr>
                <w:rFonts w:ascii="Arial" w:hAnsi="Arial" w:cs="Arial" w:eastAsia="Arial" w:hint="default"/>
                <w:sz w:val="20"/>
                <w:szCs w:val="20"/>
              </w:rPr>
            </w:pPr>
            <w:r>
              <w:rPr>
                <w:rFonts w:ascii="Arial"/>
                <w:sz w:val="20"/>
              </w:rPr>
              <w:t>3,952,292</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w w:val="95"/>
                <w:sz w:val="20"/>
              </w:rPr>
              <w:t>41.72%</w:t>
            </w:r>
            <w:r>
              <w:rPr>
                <w:rFonts w:ascii="Arial"/>
                <w:sz w:val="20"/>
              </w:rPr>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w w:val="95"/>
                <w:sz w:val="20"/>
              </w:rPr>
              <w:t>1,309,062</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8"/>
              <w:jc w:val="right"/>
              <w:rPr>
                <w:rFonts w:ascii="Arial" w:hAnsi="Arial" w:cs="Arial" w:eastAsia="Arial" w:hint="default"/>
                <w:sz w:val="20"/>
                <w:szCs w:val="20"/>
              </w:rPr>
            </w:pPr>
            <w:r>
              <w:rPr>
                <w:rFonts w:ascii="Arial"/>
                <w:spacing w:val="-1"/>
                <w:sz w:val="20"/>
              </w:rPr>
              <w:t>793,656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1" w:right="0"/>
              <w:jc w:val="left"/>
              <w:rPr>
                <w:rFonts w:ascii="Arial" w:hAnsi="Arial" w:cs="Arial" w:eastAsia="Arial" w:hint="default"/>
                <w:sz w:val="20"/>
                <w:szCs w:val="20"/>
              </w:rPr>
            </w:pPr>
            <w:r>
              <w:rPr>
                <w:rFonts w:ascii="Arial"/>
                <w:sz w:val="20"/>
              </w:rPr>
              <w:t>515,406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w w:val="95"/>
                <w:sz w:val="20"/>
              </w:rPr>
              <w:t>64.94%</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8</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spacing w:val="-1"/>
                <w:sz w:val="20"/>
              </w:rPr>
              <w:t>476,564</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Arial" w:hAnsi="Arial" w:cs="Arial" w:eastAsia="Arial" w:hint="default"/>
                <w:sz w:val="20"/>
                <w:szCs w:val="20"/>
              </w:rPr>
            </w:pPr>
            <w:r>
              <w:rPr>
                <w:rFonts w:ascii="Arial"/>
                <w:spacing w:val="-1"/>
                <w:sz w:val="20"/>
              </w:rPr>
              <w:t>130,768</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Arial" w:hAnsi="Arial" w:cs="Arial" w:eastAsia="Arial" w:hint="default"/>
                <w:sz w:val="20"/>
                <w:szCs w:val="20"/>
              </w:rPr>
            </w:pPr>
            <w:r>
              <w:rPr>
                <w:rFonts w:ascii="Arial"/>
                <w:sz w:val="20"/>
              </w:rPr>
              <w:t>345,796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spacing w:val="-1"/>
                <w:sz w:val="20"/>
              </w:rPr>
              <w:t>264.43%</w:t>
            </w:r>
          </w:p>
        </w:tc>
      </w:tr>
      <w:tr>
        <w:trPr>
          <w:trHeight w:val="275"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Arial" w:hAnsi="Arial" w:cs="Arial" w:eastAsia="Arial" w:hint="default"/>
                <w:sz w:val="20"/>
                <w:szCs w:val="20"/>
              </w:rPr>
              <w:t>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spacing w:val="-1"/>
                <w:sz w:val="20"/>
              </w:rPr>
              <w:t>554,793</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8"/>
              <w:jc w:val="right"/>
              <w:rPr>
                <w:rFonts w:ascii="Arial" w:hAnsi="Arial" w:cs="Arial" w:eastAsia="Arial" w:hint="default"/>
                <w:sz w:val="20"/>
                <w:szCs w:val="20"/>
              </w:rPr>
            </w:pPr>
            <w:r>
              <w:rPr>
                <w:rFonts w:ascii="Arial"/>
                <w:spacing w:val="-1"/>
                <w:sz w:val="20"/>
              </w:rPr>
              <w:t>792,896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1"/>
              <w:jc w:val="right"/>
              <w:rPr>
                <w:rFonts w:ascii="Arial" w:hAnsi="Arial" w:cs="Arial" w:eastAsia="Arial" w:hint="default"/>
                <w:sz w:val="20"/>
                <w:szCs w:val="20"/>
              </w:rPr>
            </w:pPr>
            <w:r>
              <w:rPr>
                <w:rFonts w:ascii="Arial"/>
                <w:spacing w:val="-1"/>
                <w:sz w:val="20"/>
              </w:rPr>
              <w:t>(238,103)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spacing w:val="-1"/>
                <w:w w:val="95"/>
                <w:sz w:val="20"/>
              </w:rPr>
              <w:t>-30.03%</w:t>
            </w:r>
            <w:r>
              <w:rPr>
                <w:rFonts w:ascii="Arial"/>
                <w:sz w:val="20"/>
              </w:rPr>
            </w:r>
          </w:p>
        </w:tc>
      </w:tr>
      <w:tr>
        <w:trPr>
          <w:trHeight w:val="275"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7" w:lineRule="exact"/>
              <w:ind w:left="13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306" w:type="dxa"/>
            <w:tcBorders>
              <w:top w:val="nil" w:sz="6" w:space="0" w:color="auto"/>
              <w:left w:val="nil" w:sz="6" w:space="0" w:color="auto"/>
              <w:bottom w:val="nil" w:sz="6" w:space="0" w:color="auto"/>
              <w:right w:val="nil" w:sz="6" w:space="0" w:color="auto"/>
            </w:tcBorders>
          </w:tcPr>
          <w:p>
            <w:pPr>
              <w:pStyle w:val="TableParagraph"/>
              <w:spacing w:line="241"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78"/>
              <w:jc w:val="right"/>
              <w:rPr>
                <w:rFonts w:ascii="Arial" w:hAnsi="Arial" w:cs="Arial" w:eastAsia="Arial" w:hint="default"/>
                <w:sz w:val="20"/>
                <w:szCs w:val="20"/>
              </w:rPr>
            </w:pPr>
            <w:r>
              <w:rPr>
                <w:rFonts w:ascii="Arial"/>
                <w:spacing w:val="-1"/>
                <w:sz w:val="20"/>
              </w:rPr>
              <w:t>684,420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28"/>
              <w:jc w:val="right"/>
              <w:rPr>
                <w:rFonts w:ascii="Arial" w:hAnsi="Arial" w:cs="Arial" w:eastAsia="Arial" w:hint="default"/>
                <w:sz w:val="20"/>
                <w:szCs w:val="20"/>
              </w:rPr>
            </w:pPr>
            <w:r>
              <w:rPr>
                <w:rFonts w:ascii="Arial"/>
                <w:spacing w:val="-1"/>
                <w:sz w:val="20"/>
              </w:rPr>
              <w:t>387,134</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1" w:right="0"/>
              <w:jc w:val="left"/>
              <w:rPr>
                <w:rFonts w:ascii="Arial" w:hAnsi="Arial" w:cs="Arial" w:eastAsia="Arial" w:hint="default"/>
                <w:sz w:val="20"/>
                <w:szCs w:val="20"/>
              </w:rPr>
            </w:pPr>
            <w:r>
              <w:rPr>
                <w:rFonts w:ascii="Arial"/>
                <w:sz w:val="20"/>
              </w:rPr>
              <w:t>297,286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Arial" w:hAnsi="Arial" w:cs="Arial" w:eastAsia="Arial" w:hint="default"/>
                <w:sz w:val="20"/>
                <w:szCs w:val="20"/>
              </w:rPr>
            </w:pPr>
            <w:r>
              <w:rPr>
                <w:rFonts w:ascii="Arial"/>
                <w:w w:val="95"/>
                <w:sz w:val="20"/>
              </w:rPr>
              <w:t>76.79%</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0"/>
                <w:sz w:val="20"/>
                <w:szCs w:val="20"/>
              </w:rPr>
              <w:t> </w:t>
            </w:r>
            <w:r>
              <w:rPr>
                <w:rFonts w:ascii="Arial" w:hAnsi="Arial" w:cs="Arial" w:eastAsia="Arial" w:hint="default"/>
                <w:spacing w:val="-16"/>
                <w:sz w:val="20"/>
                <w:szCs w:val="20"/>
              </w:rPr>
              <w:t>11</w:t>
            </w:r>
            <w:r>
              <w:rPr>
                <w:rFonts w:ascii="Arial" w:hAnsi="Arial" w:cs="Arial" w:eastAsia="Arial" w:hint="default"/>
                <w:sz w:val="20"/>
                <w:szCs w:val="20"/>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w w:val="95"/>
                <w:sz w:val="20"/>
              </w:rPr>
              <w:t>7,347,467</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20"/>
                <w:szCs w:val="20"/>
              </w:rPr>
            </w:pPr>
            <w:r>
              <w:rPr>
                <w:rFonts w:ascii="Arial"/>
                <w:w w:val="95"/>
                <w:sz w:val="20"/>
              </w:rPr>
              <w:t>3,914,317</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3" w:right="0"/>
              <w:jc w:val="left"/>
              <w:rPr>
                <w:rFonts w:ascii="Arial" w:hAnsi="Arial" w:cs="Arial" w:eastAsia="Arial" w:hint="default"/>
                <w:sz w:val="20"/>
                <w:szCs w:val="20"/>
              </w:rPr>
            </w:pPr>
            <w:r>
              <w:rPr>
                <w:rFonts w:ascii="Arial"/>
                <w:sz w:val="20"/>
              </w:rPr>
              <w:t>3,433,150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w w:val="95"/>
                <w:sz w:val="20"/>
              </w:rPr>
              <w:t>87.71%</w:t>
            </w:r>
            <w:r>
              <w:rPr>
                <w:rFonts w:ascii="Arial"/>
                <w:sz w:val="20"/>
              </w:rPr>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4"/>
                <w:sz w:val="20"/>
                <w:szCs w:val="20"/>
              </w:rPr>
              <w:t> </w:t>
            </w:r>
            <w:r>
              <w:rPr>
                <w:rFonts w:ascii="Arial" w:hAnsi="Arial" w:cs="Arial" w:eastAsia="Arial" w:hint="default"/>
                <w:sz w:val="20"/>
                <w:szCs w:val="20"/>
              </w:rPr>
              <w:t>12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w w:val="95"/>
                <w:sz w:val="20"/>
              </w:rPr>
              <w:t>1,251,501</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7"/>
              <w:jc w:val="right"/>
              <w:rPr>
                <w:rFonts w:ascii="Arial" w:hAnsi="Arial" w:cs="Arial" w:eastAsia="Arial" w:hint="default"/>
                <w:sz w:val="20"/>
                <w:szCs w:val="20"/>
              </w:rPr>
            </w:pPr>
            <w:r>
              <w:rPr>
                <w:rFonts w:ascii="Arial"/>
                <w:w w:val="95"/>
                <w:sz w:val="20"/>
              </w:rPr>
              <w:t>2,061,752</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1"/>
              <w:jc w:val="right"/>
              <w:rPr>
                <w:rFonts w:ascii="Arial" w:hAnsi="Arial" w:cs="Arial" w:eastAsia="Arial" w:hint="default"/>
                <w:sz w:val="20"/>
                <w:szCs w:val="20"/>
              </w:rPr>
            </w:pPr>
            <w:r>
              <w:rPr>
                <w:rFonts w:ascii="Arial"/>
                <w:spacing w:val="-1"/>
                <w:sz w:val="20"/>
              </w:rPr>
              <w:t>(810,251)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spacing w:val="-1"/>
                <w:w w:val="95"/>
                <w:sz w:val="20"/>
              </w:rPr>
              <w:t>-39.30%</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w w:val="95"/>
                <w:sz w:val="20"/>
              </w:rPr>
              <w:t>4,368,264</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7"/>
              <w:jc w:val="right"/>
              <w:rPr>
                <w:rFonts w:ascii="Arial" w:hAnsi="Arial" w:cs="Arial" w:eastAsia="Arial" w:hint="default"/>
                <w:sz w:val="20"/>
                <w:szCs w:val="20"/>
              </w:rPr>
            </w:pPr>
            <w:r>
              <w:rPr>
                <w:rFonts w:ascii="Arial"/>
                <w:w w:val="95"/>
                <w:sz w:val="20"/>
              </w:rPr>
              <w:t>1,309,337</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43" w:right="0"/>
              <w:jc w:val="left"/>
              <w:rPr>
                <w:rFonts w:ascii="Arial" w:hAnsi="Arial" w:cs="Arial" w:eastAsia="Arial" w:hint="default"/>
                <w:sz w:val="20"/>
                <w:szCs w:val="20"/>
              </w:rPr>
            </w:pPr>
            <w:r>
              <w:rPr>
                <w:rFonts w:ascii="Arial"/>
                <w:sz w:val="20"/>
              </w:rPr>
              <w:t>3,058,927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spacing w:val="-1"/>
                <w:sz w:val="20"/>
              </w:rPr>
              <w:t>233.62%</w:t>
            </w:r>
          </w:p>
        </w:tc>
      </w:tr>
      <w:tr>
        <w:trPr>
          <w:trHeight w:val="27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7"/>
              <w:jc w:val="right"/>
              <w:rPr>
                <w:rFonts w:ascii="Arial" w:hAnsi="Arial" w:cs="Arial" w:eastAsia="Arial" w:hint="default"/>
                <w:sz w:val="20"/>
                <w:szCs w:val="20"/>
              </w:rPr>
            </w:pPr>
            <w:r>
              <w:rPr>
                <w:rFonts w:ascii="Arial"/>
                <w:w w:val="95"/>
                <w:sz w:val="20"/>
              </w:rPr>
              <w:t>93,898</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7"/>
              <w:jc w:val="right"/>
              <w:rPr>
                <w:rFonts w:ascii="Arial" w:hAnsi="Arial" w:cs="Arial" w:eastAsia="Arial" w:hint="default"/>
                <w:sz w:val="20"/>
                <w:szCs w:val="20"/>
              </w:rPr>
            </w:pPr>
            <w:r>
              <w:rPr>
                <w:rFonts w:ascii="Arial"/>
                <w:w w:val="95"/>
                <w:sz w:val="20"/>
              </w:rPr>
              <w:t>22,125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1" w:right="0"/>
              <w:jc w:val="left"/>
              <w:rPr>
                <w:rFonts w:ascii="Arial" w:hAnsi="Arial" w:cs="Arial" w:eastAsia="Arial" w:hint="default"/>
                <w:sz w:val="20"/>
                <w:szCs w:val="20"/>
              </w:rPr>
            </w:pPr>
            <w:r>
              <w:rPr>
                <w:rFonts w:ascii="Arial"/>
                <w:sz w:val="20"/>
              </w:rPr>
              <w:t>71,773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spacing w:val="-1"/>
                <w:sz w:val="20"/>
              </w:rPr>
              <w:t>324.40%</w:t>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spacing w:val="-1"/>
                <w:sz w:val="20"/>
              </w:rPr>
              <w:t>226,623</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Arial" w:hAnsi="Arial" w:cs="Arial" w:eastAsia="Arial" w:hint="default"/>
                <w:sz w:val="20"/>
                <w:szCs w:val="20"/>
              </w:rPr>
            </w:pPr>
            <w:r>
              <w:rPr>
                <w:rFonts w:ascii="Arial"/>
                <w:spacing w:val="-1"/>
                <w:w w:val="95"/>
                <w:sz w:val="20"/>
              </w:rPr>
              <w:t>616</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Arial" w:hAnsi="Arial" w:cs="Arial" w:eastAsia="Arial" w:hint="default"/>
                <w:sz w:val="20"/>
                <w:szCs w:val="20"/>
              </w:rPr>
            </w:pPr>
            <w:r>
              <w:rPr>
                <w:rFonts w:ascii="Arial"/>
                <w:sz w:val="20"/>
              </w:rPr>
              <w:t>226,007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w w:val="95"/>
                <w:sz w:val="20"/>
              </w:rPr>
              <w:t>36689.45%</w:t>
            </w:r>
            <w:r>
              <w:rPr>
                <w:rFonts w:ascii="Arial"/>
                <w:sz w:val="20"/>
              </w:rPr>
            </w:r>
          </w:p>
        </w:tc>
      </w:tr>
      <w:tr>
        <w:trPr>
          <w:trHeight w:val="27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Arial" w:hAnsi="Arial" w:cs="Arial" w:eastAsia="Arial" w:hint="default"/>
                <w:sz w:val="20"/>
                <w:szCs w:val="20"/>
              </w:rPr>
            </w:pPr>
            <w:r>
              <w:rPr>
                <w:rFonts w:ascii="Arial"/>
                <w:spacing w:val="-1"/>
                <w:sz w:val="20"/>
              </w:rPr>
              <w:t>841,692</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8"/>
              <w:jc w:val="right"/>
              <w:rPr>
                <w:rFonts w:ascii="Arial" w:hAnsi="Arial" w:cs="Arial" w:eastAsia="Arial" w:hint="default"/>
                <w:sz w:val="20"/>
                <w:szCs w:val="20"/>
              </w:rPr>
            </w:pPr>
            <w:r>
              <w:rPr>
                <w:rFonts w:ascii="Arial"/>
                <w:spacing w:val="-1"/>
                <w:sz w:val="20"/>
              </w:rPr>
              <w:t>529,531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1" w:right="0"/>
              <w:jc w:val="left"/>
              <w:rPr>
                <w:rFonts w:ascii="Arial" w:hAnsi="Arial" w:cs="Arial" w:eastAsia="Arial" w:hint="default"/>
                <w:sz w:val="20"/>
                <w:szCs w:val="20"/>
              </w:rPr>
            </w:pPr>
            <w:r>
              <w:rPr>
                <w:rFonts w:ascii="Arial"/>
                <w:sz w:val="20"/>
              </w:rPr>
              <w:t>312,161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0"/>
                <w:szCs w:val="20"/>
              </w:rPr>
            </w:pPr>
            <w:r>
              <w:rPr>
                <w:rFonts w:ascii="Arial"/>
                <w:w w:val="95"/>
                <w:sz w:val="20"/>
              </w:rPr>
              <w:t>58.95%</w:t>
            </w:r>
            <w:r>
              <w:rPr>
                <w:rFonts w:ascii="Arial"/>
                <w:sz w:val="20"/>
              </w:rPr>
            </w:r>
          </w:p>
        </w:tc>
      </w:tr>
      <w:tr>
        <w:trPr>
          <w:trHeight w:val="43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26" w:lineRule="exact"/>
              <w:ind w:left="13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78"/>
              <w:jc w:val="right"/>
              <w:rPr>
                <w:rFonts w:ascii="Arial" w:hAnsi="Arial" w:cs="Arial" w:eastAsia="Arial" w:hint="default"/>
                <w:sz w:val="20"/>
                <w:szCs w:val="20"/>
              </w:rPr>
            </w:pPr>
            <w:r>
              <w:rPr>
                <w:rFonts w:ascii="Arial"/>
                <w:spacing w:val="-1"/>
                <w:sz w:val="20"/>
              </w:rPr>
              <w:t>512,150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8"/>
              <w:jc w:val="right"/>
              <w:rPr>
                <w:rFonts w:ascii="Arial" w:hAnsi="Arial" w:cs="Arial" w:eastAsia="Arial" w:hint="default"/>
                <w:sz w:val="20"/>
                <w:szCs w:val="20"/>
              </w:rPr>
            </w:pPr>
            <w:r>
              <w:rPr>
                <w:rFonts w:ascii="Arial"/>
                <w:spacing w:val="-1"/>
                <w:sz w:val="20"/>
              </w:rPr>
              <w:t>283,320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1" w:right="0"/>
              <w:jc w:val="left"/>
              <w:rPr>
                <w:rFonts w:ascii="Arial" w:hAnsi="Arial" w:cs="Arial" w:eastAsia="Arial" w:hint="default"/>
                <w:sz w:val="20"/>
                <w:szCs w:val="20"/>
              </w:rPr>
            </w:pPr>
            <w:r>
              <w:rPr>
                <w:rFonts w:ascii="Arial"/>
                <w:sz w:val="20"/>
              </w:rPr>
              <w:t>228,830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20"/>
                <w:szCs w:val="20"/>
              </w:rPr>
            </w:pPr>
            <w:r>
              <w:rPr>
                <w:rFonts w:ascii="Arial"/>
                <w:w w:val="95"/>
                <w:sz w:val="20"/>
              </w:rPr>
              <w:t>80.77%</w:t>
            </w:r>
            <w:r>
              <w:rPr>
                <w:rFonts w:ascii="Arial"/>
                <w:sz w:val="20"/>
              </w:rPr>
            </w:r>
          </w:p>
        </w:tc>
      </w:tr>
      <w:tr>
        <w:trPr>
          <w:trHeight w:val="443"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18</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478"/>
              <w:jc w:val="right"/>
              <w:rPr>
                <w:rFonts w:ascii="Arial" w:hAnsi="Arial" w:cs="Arial" w:eastAsia="Arial" w:hint="default"/>
                <w:sz w:val="20"/>
                <w:szCs w:val="20"/>
              </w:rPr>
            </w:pPr>
            <w:r>
              <w:rPr>
                <w:rFonts w:ascii="Arial"/>
                <w:w w:val="95"/>
                <w:sz w:val="20"/>
              </w:rPr>
              <w:t>1,665,686</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328"/>
              <w:jc w:val="right"/>
              <w:rPr>
                <w:rFonts w:ascii="Arial" w:hAnsi="Arial" w:cs="Arial" w:eastAsia="Arial" w:hint="default"/>
                <w:sz w:val="20"/>
                <w:szCs w:val="20"/>
              </w:rPr>
            </w:pPr>
            <w:r>
              <w:rPr>
                <w:rFonts w:ascii="Arial"/>
                <w:spacing w:val="-1"/>
                <w:sz w:val="20"/>
              </w:rPr>
              <w:t>317,789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443" w:right="0"/>
              <w:jc w:val="left"/>
              <w:rPr>
                <w:rFonts w:ascii="Arial" w:hAnsi="Arial" w:cs="Arial" w:eastAsia="Arial" w:hint="default"/>
                <w:sz w:val="20"/>
                <w:szCs w:val="20"/>
              </w:rPr>
            </w:pPr>
            <w:r>
              <w:rPr>
                <w:rFonts w:ascii="Arial"/>
                <w:sz w:val="20"/>
              </w:rPr>
              <w:t>1,347,897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98"/>
              <w:jc w:val="right"/>
              <w:rPr>
                <w:rFonts w:ascii="Arial" w:hAnsi="Arial" w:cs="Arial" w:eastAsia="Arial" w:hint="default"/>
                <w:sz w:val="20"/>
                <w:szCs w:val="20"/>
              </w:rPr>
            </w:pPr>
            <w:r>
              <w:rPr>
                <w:rFonts w:ascii="Arial"/>
                <w:spacing w:val="-1"/>
                <w:sz w:val="20"/>
              </w:rPr>
              <w:t>424.15%</w:t>
            </w:r>
          </w:p>
        </w:tc>
      </w:tr>
      <w:tr>
        <w:trPr>
          <w:trHeight w:val="302"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19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8"/>
              <w:jc w:val="right"/>
              <w:rPr>
                <w:rFonts w:ascii="Arial" w:hAnsi="Arial" w:cs="Arial" w:eastAsia="Arial" w:hint="default"/>
                <w:sz w:val="20"/>
                <w:szCs w:val="20"/>
              </w:rPr>
            </w:pPr>
            <w:r>
              <w:rPr>
                <w:rFonts w:ascii="Arial"/>
                <w:w w:val="95"/>
                <w:sz w:val="20"/>
              </w:rPr>
              <w:t>20,617,593</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28"/>
              <w:jc w:val="right"/>
              <w:rPr>
                <w:rFonts w:ascii="Arial" w:hAnsi="Arial" w:cs="Arial" w:eastAsia="Arial" w:hint="default"/>
                <w:sz w:val="20"/>
                <w:szCs w:val="20"/>
              </w:rPr>
            </w:pPr>
            <w:r>
              <w:rPr>
                <w:rFonts w:ascii="Arial"/>
                <w:w w:val="95"/>
                <w:sz w:val="20"/>
              </w:rPr>
              <w:t>14,277,320</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43" w:right="0"/>
              <w:jc w:val="left"/>
              <w:rPr>
                <w:rFonts w:ascii="Arial" w:hAnsi="Arial" w:cs="Arial" w:eastAsia="Arial" w:hint="default"/>
                <w:sz w:val="20"/>
                <w:szCs w:val="20"/>
              </w:rPr>
            </w:pPr>
            <w:r>
              <w:rPr>
                <w:rFonts w:ascii="Arial"/>
                <w:sz w:val="20"/>
              </w:rPr>
              <w:t>6,340,273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8"/>
              <w:jc w:val="right"/>
              <w:rPr>
                <w:rFonts w:ascii="Arial" w:hAnsi="Arial" w:cs="Arial" w:eastAsia="Arial" w:hint="default"/>
                <w:sz w:val="20"/>
                <w:szCs w:val="20"/>
              </w:rPr>
            </w:pPr>
            <w:r>
              <w:rPr>
                <w:rFonts w:ascii="Arial"/>
                <w:w w:val="95"/>
                <w:sz w:val="20"/>
              </w:rPr>
              <w:t>44.41%</w:t>
            </w:r>
            <w:r>
              <w:rPr>
                <w:rFonts w:ascii="Arial"/>
                <w:sz w:val="20"/>
              </w:rPr>
            </w:r>
          </w:p>
        </w:tc>
      </w:tr>
      <w:tr>
        <w:trPr>
          <w:trHeight w:val="30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8"/>
              <w:jc w:val="right"/>
              <w:rPr>
                <w:rFonts w:ascii="Arial" w:hAnsi="Arial" w:cs="Arial" w:eastAsia="Arial" w:hint="default"/>
                <w:sz w:val="20"/>
                <w:szCs w:val="20"/>
              </w:rPr>
            </w:pPr>
            <w:r>
              <w:rPr>
                <w:rFonts w:ascii="Arial"/>
                <w:spacing w:val="-1"/>
                <w:sz w:val="20"/>
              </w:rPr>
              <w:t>273,558</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8"/>
              <w:jc w:val="right"/>
              <w:rPr>
                <w:rFonts w:ascii="Arial" w:hAnsi="Arial" w:cs="Arial" w:eastAsia="Arial" w:hint="default"/>
                <w:sz w:val="20"/>
                <w:szCs w:val="20"/>
              </w:rPr>
            </w:pPr>
            <w:r>
              <w:rPr>
                <w:rFonts w:ascii="Arial"/>
                <w:spacing w:val="-1"/>
                <w:sz w:val="20"/>
              </w:rPr>
              <w:t>201,295</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1" w:right="0"/>
              <w:jc w:val="left"/>
              <w:rPr>
                <w:rFonts w:ascii="Arial" w:hAnsi="Arial" w:cs="Arial" w:eastAsia="Arial" w:hint="default"/>
                <w:sz w:val="20"/>
                <w:szCs w:val="20"/>
              </w:rPr>
            </w:pPr>
            <w:r>
              <w:rPr>
                <w:rFonts w:ascii="Arial"/>
                <w:sz w:val="20"/>
              </w:rPr>
              <w:t>72,263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20"/>
                <w:szCs w:val="20"/>
              </w:rPr>
            </w:pPr>
            <w:r>
              <w:rPr>
                <w:rFonts w:ascii="Arial"/>
                <w:w w:val="95"/>
                <w:sz w:val="20"/>
              </w:rPr>
              <w:t>35.90%</w:t>
            </w:r>
            <w:r>
              <w:rPr>
                <w:rFonts w:ascii="Arial"/>
                <w:sz w:val="20"/>
              </w:rPr>
            </w:r>
          </w:p>
        </w:tc>
      </w:tr>
      <w:tr>
        <w:trPr>
          <w:trHeight w:val="301"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8"/>
              <w:jc w:val="right"/>
              <w:rPr>
                <w:rFonts w:ascii="Arial" w:hAnsi="Arial" w:cs="Arial" w:eastAsia="Arial" w:hint="default"/>
                <w:sz w:val="20"/>
                <w:szCs w:val="20"/>
              </w:rPr>
            </w:pPr>
            <w:r>
              <w:rPr>
                <w:rFonts w:ascii="Arial"/>
                <w:spacing w:val="-1"/>
                <w:sz w:val="20"/>
              </w:rPr>
              <w:t>790,756</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28"/>
              <w:jc w:val="right"/>
              <w:rPr>
                <w:rFonts w:ascii="Arial" w:hAnsi="Arial" w:cs="Arial" w:eastAsia="Arial" w:hint="default"/>
                <w:sz w:val="20"/>
                <w:szCs w:val="20"/>
              </w:rPr>
            </w:pPr>
            <w:r>
              <w:rPr>
                <w:rFonts w:ascii="Arial"/>
                <w:spacing w:val="-1"/>
                <w:sz w:val="20"/>
              </w:rPr>
              <w:t>525,750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1" w:right="0"/>
              <w:jc w:val="left"/>
              <w:rPr>
                <w:rFonts w:ascii="Arial" w:hAnsi="Arial" w:cs="Arial" w:eastAsia="Arial" w:hint="default"/>
                <w:sz w:val="20"/>
                <w:szCs w:val="20"/>
              </w:rPr>
            </w:pPr>
            <w:r>
              <w:rPr>
                <w:rFonts w:ascii="Arial"/>
                <w:sz w:val="20"/>
              </w:rPr>
              <w:t>265,006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8"/>
              <w:jc w:val="right"/>
              <w:rPr>
                <w:rFonts w:ascii="Arial" w:hAnsi="Arial" w:cs="Arial" w:eastAsia="Arial" w:hint="default"/>
                <w:sz w:val="20"/>
                <w:szCs w:val="20"/>
              </w:rPr>
            </w:pPr>
            <w:r>
              <w:rPr>
                <w:rFonts w:ascii="Arial"/>
                <w:w w:val="95"/>
                <w:sz w:val="20"/>
              </w:rPr>
              <w:t>50.41%</w:t>
            </w:r>
            <w:r>
              <w:rPr>
                <w:rFonts w:ascii="Arial"/>
                <w:sz w:val="20"/>
              </w:rPr>
            </w:r>
          </w:p>
        </w:tc>
      </w:tr>
      <w:tr>
        <w:trPr>
          <w:trHeight w:val="301"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8" w:lineRule="exact"/>
              <w:ind w:left="13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306" w:type="dxa"/>
            <w:tcBorders>
              <w:top w:val="nil" w:sz="6" w:space="0" w:color="auto"/>
              <w:left w:val="nil" w:sz="6" w:space="0" w:color="auto"/>
              <w:bottom w:val="nil" w:sz="6" w:space="0" w:color="auto"/>
              <w:right w:val="nil" w:sz="6" w:space="0" w:color="auto"/>
            </w:tcBorders>
          </w:tcPr>
          <w:p>
            <w:pPr>
              <w:pStyle w:val="TableParagraph"/>
              <w:spacing w:line="252"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8"/>
              <w:jc w:val="right"/>
              <w:rPr>
                <w:rFonts w:ascii="Arial" w:hAnsi="Arial" w:cs="Arial" w:eastAsia="Arial" w:hint="default"/>
                <w:sz w:val="20"/>
                <w:szCs w:val="20"/>
              </w:rPr>
            </w:pPr>
            <w:r>
              <w:rPr>
                <w:rFonts w:ascii="Arial"/>
                <w:w w:val="95"/>
                <w:sz w:val="20"/>
              </w:rPr>
              <w:t>2,743,925</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7"/>
              <w:jc w:val="right"/>
              <w:rPr>
                <w:rFonts w:ascii="Arial" w:hAnsi="Arial" w:cs="Arial" w:eastAsia="Arial" w:hint="default"/>
                <w:sz w:val="20"/>
                <w:szCs w:val="20"/>
              </w:rPr>
            </w:pPr>
            <w:r>
              <w:rPr>
                <w:rFonts w:ascii="Arial"/>
                <w:w w:val="95"/>
                <w:sz w:val="20"/>
              </w:rPr>
              <w:t>1,539,020</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43" w:right="0"/>
              <w:jc w:val="left"/>
              <w:rPr>
                <w:rFonts w:ascii="Arial" w:hAnsi="Arial" w:cs="Arial" w:eastAsia="Arial" w:hint="default"/>
                <w:sz w:val="20"/>
                <w:szCs w:val="20"/>
              </w:rPr>
            </w:pPr>
            <w:r>
              <w:rPr>
                <w:rFonts w:ascii="Arial"/>
                <w:sz w:val="20"/>
              </w:rPr>
              <w:t>1,204,905</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5"/>
                <w:sz w:val="20"/>
              </w:rPr>
              <w:t>78.29%</w:t>
            </w:r>
            <w:r>
              <w:rPr>
                <w:rFonts w:ascii="Arial"/>
                <w:sz w:val="20"/>
              </w:rPr>
            </w:r>
          </w:p>
        </w:tc>
      </w:tr>
      <w:tr>
        <w:trPr>
          <w:trHeight w:val="30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23</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8"/>
              <w:jc w:val="right"/>
              <w:rPr>
                <w:rFonts w:ascii="Arial" w:hAnsi="Arial" w:cs="Arial" w:eastAsia="Arial" w:hint="default"/>
                <w:sz w:val="20"/>
                <w:szCs w:val="20"/>
              </w:rPr>
            </w:pPr>
            <w:r>
              <w:rPr>
                <w:rFonts w:ascii="Arial"/>
                <w:spacing w:val="-1"/>
                <w:sz w:val="20"/>
              </w:rPr>
              <w:t>545,502</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8"/>
              <w:jc w:val="right"/>
              <w:rPr>
                <w:rFonts w:ascii="Arial" w:hAnsi="Arial" w:cs="Arial" w:eastAsia="Arial" w:hint="default"/>
                <w:sz w:val="20"/>
                <w:szCs w:val="20"/>
              </w:rPr>
            </w:pPr>
            <w:r>
              <w:rPr>
                <w:rFonts w:ascii="Arial"/>
                <w:spacing w:val="-1"/>
                <w:sz w:val="20"/>
              </w:rPr>
              <w:t>318,755</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1" w:right="0"/>
              <w:jc w:val="left"/>
              <w:rPr>
                <w:rFonts w:ascii="Arial" w:hAnsi="Arial" w:cs="Arial" w:eastAsia="Arial" w:hint="default"/>
                <w:sz w:val="20"/>
                <w:szCs w:val="20"/>
              </w:rPr>
            </w:pPr>
            <w:r>
              <w:rPr>
                <w:rFonts w:ascii="Arial"/>
                <w:sz w:val="20"/>
              </w:rPr>
              <w:t>226,747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20"/>
                <w:szCs w:val="20"/>
              </w:rPr>
            </w:pPr>
            <w:r>
              <w:rPr>
                <w:rFonts w:ascii="Arial"/>
                <w:w w:val="95"/>
                <w:sz w:val="20"/>
              </w:rPr>
              <w:t>71.14%</w:t>
            </w:r>
            <w:r>
              <w:rPr>
                <w:rFonts w:ascii="Arial"/>
                <w:sz w:val="20"/>
              </w:rPr>
            </w:r>
          </w:p>
        </w:tc>
      </w:tr>
      <w:tr>
        <w:trPr>
          <w:trHeight w:val="302"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24</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8"/>
              <w:jc w:val="right"/>
              <w:rPr>
                <w:rFonts w:ascii="Arial" w:hAnsi="Arial" w:cs="Arial" w:eastAsia="Arial" w:hint="default"/>
                <w:sz w:val="20"/>
                <w:szCs w:val="20"/>
              </w:rPr>
            </w:pPr>
            <w:r>
              <w:rPr>
                <w:rFonts w:ascii="Arial"/>
                <w:spacing w:val="-1"/>
                <w:sz w:val="20"/>
              </w:rPr>
              <w:t>101,135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26"/>
              <w:jc w:val="right"/>
              <w:rPr>
                <w:rFonts w:ascii="Arial" w:hAnsi="Arial" w:cs="Arial" w:eastAsia="Arial" w:hint="default"/>
                <w:sz w:val="20"/>
                <w:szCs w:val="20"/>
              </w:rPr>
            </w:pPr>
            <w:r>
              <w:rPr>
                <w:rFonts w:ascii="Arial"/>
                <w:w w:val="99"/>
                <w:sz w:val="20"/>
              </w:rPr>
              <w:t>-</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11" w:right="0"/>
              <w:jc w:val="left"/>
              <w:rPr>
                <w:rFonts w:ascii="Arial" w:hAnsi="Arial" w:cs="Arial" w:eastAsia="Arial" w:hint="default"/>
                <w:sz w:val="20"/>
                <w:szCs w:val="20"/>
              </w:rPr>
            </w:pPr>
            <w:r>
              <w:rPr>
                <w:rFonts w:ascii="Arial"/>
                <w:sz w:val="20"/>
              </w:rPr>
              <w:t>101,135</w:t>
            </w:r>
          </w:p>
        </w:tc>
        <w:tc>
          <w:tcPr>
            <w:tcW w:w="1473" w:type="dxa"/>
            <w:tcBorders>
              <w:top w:val="nil" w:sz="6" w:space="0" w:color="auto"/>
              <w:left w:val="nil" w:sz="6" w:space="0" w:color="auto"/>
              <w:bottom w:val="nil" w:sz="6" w:space="0" w:color="auto"/>
              <w:right w:val="nil" w:sz="6" w:space="0" w:color="auto"/>
            </w:tcBorders>
          </w:tcPr>
          <w:p>
            <w:pPr/>
          </w:p>
        </w:tc>
      </w:tr>
      <w:tr>
        <w:trPr>
          <w:trHeight w:val="30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25</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8"/>
              <w:jc w:val="right"/>
              <w:rPr>
                <w:rFonts w:ascii="Arial" w:hAnsi="Arial" w:cs="Arial" w:eastAsia="Arial" w:hint="default"/>
                <w:sz w:val="20"/>
                <w:szCs w:val="20"/>
              </w:rPr>
            </w:pPr>
            <w:r>
              <w:rPr>
                <w:rFonts w:ascii="Arial"/>
                <w:spacing w:val="-1"/>
                <w:sz w:val="20"/>
              </w:rPr>
              <w:t>183,239</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7"/>
              <w:jc w:val="right"/>
              <w:rPr>
                <w:rFonts w:ascii="Arial" w:hAnsi="Arial" w:cs="Arial" w:eastAsia="Arial" w:hint="default"/>
                <w:sz w:val="20"/>
                <w:szCs w:val="20"/>
              </w:rPr>
            </w:pPr>
            <w:r>
              <w:rPr>
                <w:rFonts w:ascii="Arial"/>
                <w:w w:val="95"/>
                <w:sz w:val="20"/>
              </w:rPr>
              <w:t>34,395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1" w:right="0"/>
              <w:jc w:val="left"/>
              <w:rPr>
                <w:rFonts w:ascii="Arial" w:hAnsi="Arial" w:cs="Arial" w:eastAsia="Arial" w:hint="default"/>
                <w:sz w:val="20"/>
                <w:szCs w:val="20"/>
              </w:rPr>
            </w:pPr>
            <w:r>
              <w:rPr>
                <w:rFonts w:ascii="Arial"/>
                <w:sz w:val="20"/>
              </w:rPr>
              <w:t>148,844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20"/>
                <w:szCs w:val="20"/>
              </w:rPr>
            </w:pPr>
            <w:r>
              <w:rPr>
                <w:rFonts w:ascii="Arial"/>
                <w:spacing w:val="-1"/>
                <w:sz w:val="20"/>
              </w:rPr>
              <w:t>432.75%</w:t>
            </w:r>
          </w:p>
        </w:tc>
      </w:tr>
      <w:tr>
        <w:trPr>
          <w:trHeight w:val="303"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26</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78"/>
              <w:jc w:val="right"/>
              <w:rPr>
                <w:rFonts w:ascii="Arial" w:hAnsi="Arial" w:cs="Arial" w:eastAsia="Arial" w:hint="default"/>
                <w:sz w:val="20"/>
                <w:szCs w:val="20"/>
              </w:rPr>
            </w:pPr>
            <w:r>
              <w:rPr>
                <w:rFonts w:ascii="Arial"/>
                <w:spacing w:val="-1"/>
                <w:sz w:val="20"/>
              </w:rPr>
              <w:t>833,299</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8"/>
              <w:jc w:val="right"/>
              <w:rPr>
                <w:rFonts w:ascii="Arial" w:hAnsi="Arial" w:cs="Arial" w:eastAsia="Arial" w:hint="default"/>
                <w:sz w:val="20"/>
                <w:szCs w:val="20"/>
              </w:rPr>
            </w:pPr>
            <w:r>
              <w:rPr>
                <w:rFonts w:ascii="Arial"/>
                <w:spacing w:val="-1"/>
                <w:sz w:val="20"/>
              </w:rPr>
              <w:t>493,248</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11" w:right="0"/>
              <w:jc w:val="left"/>
              <w:rPr>
                <w:rFonts w:ascii="Arial" w:hAnsi="Arial" w:cs="Arial" w:eastAsia="Arial" w:hint="default"/>
                <w:sz w:val="20"/>
                <w:szCs w:val="20"/>
              </w:rPr>
            </w:pPr>
            <w:r>
              <w:rPr>
                <w:rFonts w:ascii="Arial"/>
                <w:sz w:val="20"/>
              </w:rPr>
              <w:t>340,051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Arial" w:hAnsi="Arial" w:cs="Arial" w:eastAsia="Arial" w:hint="default"/>
                <w:sz w:val="20"/>
                <w:szCs w:val="20"/>
              </w:rPr>
            </w:pPr>
            <w:r>
              <w:rPr>
                <w:rFonts w:ascii="Arial"/>
                <w:w w:val="95"/>
                <w:sz w:val="20"/>
              </w:rPr>
              <w:t>68.94%</w:t>
            </w:r>
            <w:r>
              <w:rPr>
                <w:rFonts w:ascii="Arial"/>
                <w:sz w:val="20"/>
              </w:rPr>
            </w:r>
          </w:p>
        </w:tc>
      </w:tr>
      <w:tr>
        <w:trPr>
          <w:trHeight w:val="455"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39" w:lineRule="exact"/>
              <w:ind w:left="136" w:right="0"/>
              <w:jc w:val="left"/>
              <w:rPr>
                <w:rFonts w:ascii="宋体" w:hAnsi="宋体" w:cs="宋体" w:eastAsia="宋体" w:hint="default"/>
                <w:sz w:val="20"/>
                <w:szCs w:val="20"/>
              </w:rPr>
            </w:pPr>
            <w:r>
              <w:rPr>
                <w:rFonts w:ascii="宋体" w:hAnsi="宋体" w:cs="宋体" w:eastAsia="宋体" w:hint="default"/>
                <w:sz w:val="20"/>
                <w:szCs w:val="20"/>
              </w:rPr>
              <w:t>外币报表折算差</w:t>
            </w:r>
          </w:p>
        </w:tc>
        <w:tc>
          <w:tcPr>
            <w:tcW w:w="1306" w:type="dxa"/>
            <w:tcBorders>
              <w:top w:val="nil" w:sz="6" w:space="0" w:color="auto"/>
              <w:left w:val="nil" w:sz="6" w:space="0" w:color="auto"/>
              <w:bottom w:val="nil" w:sz="6" w:space="0" w:color="auto"/>
              <w:right w:val="nil" w:sz="6" w:space="0" w:color="auto"/>
            </w:tcBorders>
          </w:tcPr>
          <w:p>
            <w:pPr>
              <w:pStyle w:val="TableParagraph"/>
              <w:spacing w:line="253"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27</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7"/>
              <w:jc w:val="right"/>
              <w:rPr>
                <w:rFonts w:ascii="Arial" w:hAnsi="Arial" w:cs="Arial" w:eastAsia="Arial" w:hint="default"/>
                <w:sz w:val="20"/>
                <w:szCs w:val="20"/>
              </w:rPr>
            </w:pPr>
            <w:r>
              <w:rPr>
                <w:rFonts w:ascii="Arial"/>
                <w:spacing w:val="-1"/>
                <w:sz w:val="20"/>
              </w:rPr>
              <w:t>14,680</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7"/>
              <w:jc w:val="right"/>
              <w:rPr>
                <w:rFonts w:ascii="Arial" w:hAnsi="Arial" w:cs="Arial" w:eastAsia="Arial" w:hint="default"/>
                <w:sz w:val="20"/>
                <w:szCs w:val="20"/>
              </w:rPr>
            </w:pPr>
            <w:r>
              <w:rPr>
                <w:rFonts w:ascii="Arial"/>
                <w:w w:val="95"/>
                <w:sz w:val="20"/>
              </w:rPr>
              <w:t>7,294</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2" w:right="0"/>
              <w:jc w:val="left"/>
              <w:rPr>
                <w:rFonts w:ascii="Arial" w:hAnsi="Arial" w:cs="Arial" w:eastAsia="Arial" w:hint="default"/>
                <w:sz w:val="20"/>
                <w:szCs w:val="20"/>
              </w:rPr>
            </w:pPr>
            <w:r>
              <w:rPr>
                <w:rFonts w:ascii="Arial"/>
                <w:sz w:val="20"/>
              </w:rPr>
              <w:t>7,386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20"/>
                <w:szCs w:val="20"/>
              </w:rPr>
            </w:pPr>
            <w:r>
              <w:rPr>
                <w:rFonts w:ascii="Arial"/>
                <w:spacing w:val="-1"/>
                <w:sz w:val="20"/>
              </w:rPr>
              <w:t>101.26%</w:t>
            </w:r>
          </w:p>
        </w:tc>
      </w:tr>
      <w:tr>
        <w:trPr>
          <w:trHeight w:val="451"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3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630" w:right="0"/>
              <w:jc w:val="left"/>
              <w:rPr>
                <w:rFonts w:ascii="宋体" w:hAnsi="宋体" w:cs="宋体" w:eastAsia="宋体" w:hint="default"/>
                <w:sz w:val="20"/>
                <w:szCs w:val="20"/>
              </w:rPr>
            </w:pPr>
            <w:r>
              <w:rPr>
                <w:rFonts w:ascii="宋体" w:hAnsi="宋体" w:cs="宋体" w:eastAsia="宋体" w:hint="default"/>
                <w:sz w:val="20"/>
                <w:szCs w:val="20"/>
              </w:rPr>
              <w:t>差异变动金额及幅度</w:t>
            </w:r>
          </w:p>
        </w:tc>
      </w:tr>
      <w:tr>
        <w:trPr>
          <w:trHeight w:val="440"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spacing w:line="271" w:lineRule="exact"/>
              <w:ind w:right="475"/>
              <w:jc w:val="right"/>
              <w:rPr>
                <w:rFonts w:ascii="宋体" w:hAnsi="宋体" w:cs="宋体" w:eastAsia="宋体" w:hint="default"/>
                <w:sz w:val="20"/>
                <w:szCs w:val="20"/>
              </w:rPr>
            </w:pPr>
            <w:r>
              <w:rPr>
                <w:rFonts w:ascii="Arial" w:hAnsi="Arial" w:cs="Arial" w:eastAsia="Arial" w:hint="default"/>
                <w:spacing w:val="-5"/>
                <w:sz w:val="20"/>
                <w:szCs w:val="20"/>
              </w:rPr>
              <w:t>2011</w:t>
            </w:r>
            <w:r>
              <w:rPr>
                <w:rFonts w:ascii="Arial" w:hAnsi="Arial" w:cs="Arial" w:eastAsia="Arial" w:hint="default"/>
                <w:spacing w:val="-2"/>
                <w:sz w:val="20"/>
                <w:szCs w:val="20"/>
              </w:rPr>
              <w:t> </w:t>
            </w:r>
            <w:r>
              <w:rPr>
                <w:rFonts w:ascii="宋体" w:hAnsi="宋体" w:cs="宋体" w:eastAsia="宋体" w:hint="default"/>
                <w:sz w:val="20"/>
                <w:szCs w:val="20"/>
              </w:rPr>
              <w:t>年度</w:t>
            </w:r>
          </w:p>
        </w:tc>
        <w:tc>
          <w:tcPr>
            <w:tcW w:w="1809" w:type="dxa"/>
            <w:tcBorders>
              <w:top w:val="nil" w:sz="6" w:space="0" w:color="auto"/>
              <w:left w:val="nil" w:sz="6" w:space="0" w:color="auto"/>
              <w:bottom w:val="nil" w:sz="6" w:space="0" w:color="auto"/>
              <w:right w:val="nil" w:sz="6" w:space="0" w:color="auto"/>
            </w:tcBorders>
          </w:tcPr>
          <w:p>
            <w:pPr>
              <w:pStyle w:val="TableParagraph"/>
              <w:spacing w:line="271" w:lineRule="exact"/>
              <w:ind w:right="329"/>
              <w:jc w:val="righ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年度</w:t>
            </w:r>
          </w:p>
        </w:tc>
        <w:tc>
          <w:tcPr>
            <w:tcW w:w="3136" w:type="dxa"/>
            <w:gridSpan w:val="2"/>
            <w:tcBorders>
              <w:top w:val="nil" w:sz="6" w:space="0" w:color="auto"/>
              <w:left w:val="nil" w:sz="6" w:space="0" w:color="auto"/>
              <w:bottom w:val="nil" w:sz="6" w:space="0" w:color="auto"/>
              <w:right w:val="nil" w:sz="6" w:space="0" w:color="auto"/>
            </w:tcBorders>
          </w:tcPr>
          <w:p>
            <w:pPr>
              <w:pStyle w:val="TableParagraph"/>
              <w:tabs>
                <w:tab w:pos="2135" w:val="left" w:leader="none"/>
              </w:tabs>
              <w:spacing w:line="271" w:lineRule="exact"/>
              <w:ind w:left="635" w:right="0"/>
              <w:jc w:val="left"/>
              <w:rPr>
                <w:rFonts w:ascii="Arial" w:hAnsi="Arial" w:cs="Arial" w:eastAsia="Arial" w:hint="default"/>
                <w:sz w:val="20"/>
                <w:szCs w:val="20"/>
              </w:rPr>
            </w:pPr>
            <w:r>
              <w:rPr>
                <w:rFonts w:ascii="宋体" w:hAnsi="宋体" w:cs="宋体" w:eastAsia="宋体" w:hint="default"/>
                <w:w w:val="95"/>
                <w:sz w:val="20"/>
                <w:szCs w:val="20"/>
              </w:rPr>
              <w:t>金额</w:t>
              <w:tab/>
            </w:r>
            <w:r>
              <w:rPr>
                <w:rFonts w:ascii="Arial" w:hAnsi="Arial" w:cs="Arial" w:eastAsia="Arial" w:hint="default"/>
                <w:sz w:val="20"/>
                <w:szCs w:val="20"/>
              </w:rPr>
              <w:t>%</w:t>
            </w:r>
          </w:p>
        </w:tc>
      </w:tr>
      <w:tr>
        <w:trPr>
          <w:trHeight w:val="443"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6"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28</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478"/>
              <w:jc w:val="right"/>
              <w:rPr>
                <w:rFonts w:ascii="Arial" w:hAnsi="Arial" w:cs="Arial" w:eastAsia="Arial" w:hint="default"/>
                <w:sz w:val="20"/>
                <w:szCs w:val="20"/>
              </w:rPr>
            </w:pPr>
            <w:r>
              <w:rPr>
                <w:rFonts w:ascii="Arial"/>
                <w:w w:val="95"/>
                <w:sz w:val="20"/>
              </w:rPr>
              <w:t>93,888,580</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328"/>
              <w:jc w:val="right"/>
              <w:rPr>
                <w:rFonts w:ascii="Arial" w:hAnsi="Arial" w:cs="Arial" w:eastAsia="Arial" w:hint="default"/>
                <w:sz w:val="20"/>
                <w:szCs w:val="20"/>
              </w:rPr>
            </w:pPr>
            <w:r>
              <w:rPr>
                <w:rFonts w:ascii="Arial"/>
                <w:w w:val="95"/>
                <w:sz w:val="20"/>
              </w:rPr>
              <w:t>75,504,739</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305" w:right="0"/>
              <w:jc w:val="left"/>
              <w:rPr>
                <w:rFonts w:ascii="Arial" w:hAnsi="Arial" w:cs="Arial" w:eastAsia="Arial" w:hint="default"/>
                <w:sz w:val="20"/>
                <w:szCs w:val="20"/>
              </w:rPr>
            </w:pPr>
            <w:r>
              <w:rPr>
                <w:rFonts w:ascii="Arial"/>
                <w:sz w:val="20"/>
              </w:rPr>
              <w:t>18,383,841</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198"/>
              <w:jc w:val="right"/>
              <w:rPr>
                <w:rFonts w:ascii="Arial" w:hAnsi="Arial" w:cs="Arial" w:eastAsia="Arial" w:hint="default"/>
                <w:sz w:val="20"/>
                <w:szCs w:val="20"/>
              </w:rPr>
            </w:pPr>
            <w:r>
              <w:rPr>
                <w:rFonts w:ascii="Arial"/>
                <w:w w:val="95"/>
                <w:sz w:val="20"/>
              </w:rPr>
              <w:t>24.35%</w:t>
            </w:r>
            <w:r>
              <w:rPr>
                <w:rFonts w:ascii="Arial"/>
                <w:sz w:val="20"/>
              </w:rPr>
            </w:r>
          </w:p>
        </w:tc>
      </w:tr>
      <w:tr>
        <w:trPr>
          <w:trHeight w:val="31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06" w:type="dxa"/>
            <w:tcBorders>
              <w:top w:val="nil" w:sz="6" w:space="0" w:color="auto"/>
              <w:left w:val="nil" w:sz="6" w:space="0" w:color="auto"/>
              <w:bottom w:val="nil" w:sz="6" w:space="0" w:color="auto"/>
              <w:right w:val="nil" w:sz="6" w:space="0" w:color="auto"/>
            </w:tcBorders>
          </w:tcPr>
          <w:p>
            <w:pPr>
              <w:pStyle w:val="TableParagraph"/>
              <w:spacing w:line="259"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28</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8"/>
              <w:jc w:val="right"/>
              <w:rPr>
                <w:rFonts w:ascii="Arial" w:hAnsi="Arial" w:cs="Arial" w:eastAsia="Arial" w:hint="default"/>
                <w:sz w:val="20"/>
                <w:szCs w:val="20"/>
              </w:rPr>
            </w:pPr>
            <w:r>
              <w:rPr>
                <w:rFonts w:ascii="Arial"/>
                <w:w w:val="95"/>
                <w:sz w:val="20"/>
              </w:rPr>
              <w:t>76,104,656</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8"/>
              <w:jc w:val="right"/>
              <w:rPr>
                <w:rFonts w:ascii="Arial" w:hAnsi="Arial" w:cs="Arial" w:eastAsia="Arial" w:hint="default"/>
                <w:sz w:val="20"/>
                <w:szCs w:val="20"/>
              </w:rPr>
            </w:pPr>
            <w:r>
              <w:rPr>
                <w:rFonts w:ascii="Arial"/>
                <w:w w:val="95"/>
                <w:sz w:val="20"/>
              </w:rPr>
              <w:t>62,040,712</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5" w:right="0"/>
              <w:jc w:val="left"/>
              <w:rPr>
                <w:rFonts w:ascii="Arial" w:hAnsi="Arial" w:cs="Arial" w:eastAsia="Arial" w:hint="default"/>
                <w:sz w:val="20"/>
                <w:szCs w:val="20"/>
              </w:rPr>
            </w:pPr>
            <w:r>
              <w:rPr>
                <w:rFonts w:ascii="Arial"/>
                <w:sz w:val="20"/>
              </w:rPr>
              <w:t>14,063,944</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20"/>
                <w:szCs w:val="20"/>
              </w:rPr>
            </w:pPr>
            <w:r>
              <w:rPr>
                <w:rFonts w:ascii="Arial"/>
                <w:w w:val="95"/>
                <w:sz w:val="20"/>
              </w:rPr>
              <w:t>22.67%</w:t>
            </w:r>
            <w:r>
              <w:rPr>
                <w:rFonts w:ascii="Arial"/>
                <w:sz w:val="20"/>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306" w:type="dxa"/>
            <w:tcBorders>
              <w:top w:val="nil" w:sz="6" w:space="0" w:color="auto"/>
              <w:left w:val="nil" w:sz="6" w:space="0" w:color="auto"/>
              <w:bottom w:val="nil" w:sz="6" w:space="0" w:color="auto"/>
              <w:right w:val="nil" w:sz="6" w:space="0" w:color="auto"/>
            </w:tcBorders>
          </w:tcPr>
          <w:p>
            <w:pPr>
              <w:pStyle w:val="TableParagraph"/>
              <w:spacing w:line="26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29</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78"/>
              <w:jc w:val="right"/>
              <w:rPr>
                <w:rFonts w:ascii="Arial" w:hAnsi="Arial" w:cs="Arial" w:eastAsia="Arial" w:hint="default"/>
                <w:sz w:val="20"/>
                <w:szCs w:val="20"/>
              </w:rPr>
            </w:pPr>
            <w:r>
              <w:rPr>
                <w:rFonts w:ascii="Arial"/>
                <w:spacing w:val="-1"/>
                <w:sz w:val="20"/>
              </w:rPr>
              <w:t>369,751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8"/>
              <w:jc w:val="right"/>
              <w:rPr>
                <w:rFonts w:ascii="Arial" w:hAnsi="Arial" w:cs="Arial" w:eastAsia="Arial" w:hint="default"/>
                <w:sz w:val="20"/>
                <w:szCs w:val="20"/>
              </w:rPr>
            </w:pPr>
            <w:r>
              <w:rPr>
                <w:rFonts w:ascii="Arial"/>
                <w:spacing w:val="-1"/>
                <w:sz w:val="20"/>
              </w:rPr>
              <w:t>268,129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84" w:right="0"/>
              <w:jc w:val="left"/>
              <w:rPr>
                <w:rFonts w:ascii="Arial" w:hAnsi="Arial" w:cs="Arial" w:eastAsia="Arial" w:hint="default"/>
                <w:sz w:val="20"/>
                <w:szCs w:val="20"/>
              </w:rPr>
            </w:pPr>
            <w:r>
              <w:rPr>
                <w:rFonts w:ascii="Arial"/>
                <w:sz w:val="20"/>
              </w:rPr>
              <w:t>101,622</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20"/>
                <w:szCs w:val="20"/>
              </w:rPr>
            </w:pPr>
            <w:r>
              <w:rPr>
                <w:rFonts w:ascii="Arial"/>
                <w:spacing w:val="-1"/>
                <w:sz w:val="20"/>
              </w:rPr>
              <w:t>37.90%</w:t>
            </w:r>
            <w:r>
              <w:rPr>
                <w:rFonts w:ascii="Arial"/>
                <w:sz w:val="20"/>
              </w:rPr>
            </w:r>
          </w:p>
        </w:tc>
      </w:tr>
      <w:tr>
        <w:trPr>
          <w:trHeight w:val="314"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306" w:type="dxa"/>
            <w:tcBorders>
              <w:top w:val="nil" w:sz="6" w:space="0" w:color="auto"/>
              <w:left w:val="nil" w:sz="6" w:space="0" w:color="auto"/>
              <w:bottom w:val="nil" w:sz="6" w:space="0" w:color="auto"/>
              <w:right w:val="nil" w:sz="6" w:space="0" w:color="auto"/>
            </w:tcBorders>
          </w:tcPr>
          <w:p>
            <w:pPr>
              <w:pStyle w:val="TableParagraph"/>
              <w:spacing w:line="26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30</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78"/>
              <w:jc w:val="right"/>
              <w:rPr>
                <w:rFonts w:ascii="Arial" w:hAnsi="Arial" w:cs="Arial" w:eastAsia="Arial" w:hint="default"/>
                <w:sz w:val="20"/>
                <w:szCs w:val="20"/>
              </w:rPr>
            </w:pPr>
            <w:r>
              <w:rPr>
                <w:rFonts w:ascii="Arial"/>
                <w:w w:val="95"/>
                <w:sz w:val="20"/>
              </w:rPr>
              <w:t>9,367,346</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7"/>
              <w:jc w:val="right"/>
              <w:rPr>
                <w:rFonts w:ascii="Arial" w:hAnsi="Arial" w:cs="Arial" w:eastAsia="Arial" w:hint="default"/>
                <w:sz w:val="20"/>
                <w:szCs w:val="20"/>
              </w:rPr>
            </w:pPr>
            <w:r>
              <w:rPr>
                <w:rFonts w:ascii="Arial"/>
                <w:w w:val="95"/>
                <w:sz w:val="20"/>
              </w:rPr>
              <w:t>6,809,109</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16" w:right="0"/>
              <w:jc w:val="left"/>
              <w:rPr>
                <w:rFonts w:ascii="Arial" w:hAnsi="Arial" w:cs="Arial" w:eastAsia="Arial" w:hint="default"/>
                <w:sz w:val="20"/>
                <w:szCs w:val="20"/>
              </w:rPr>
            </w:pPr>
            <w:r>
              <w:rPr>
                <w:rFonts w:ascii="Arial"/>
                <w:sz w:val="20"/>
              </w:rPr>
              <w:t>2,558,237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20"/>
                <w:szCs w:val="20"/>
              </w:rPr>
            </w:pPr>
            <w:r>
              <w:rPr>
                <w:rFonts w:ascii="Arial"/>
                <w:w w:val="95"/>
                <w:sz w:val="20"/>
              </w:rPr>
              <w:t>37.57%</w:t>
            </w:r>
            <w:r>
              <w:rPr>
                <w:rFonts w:ascii="Arial"/>
                <w:sz w:val="20"/>
              </w:rPr>
            </w:r>
          </w:p>
        </w:tc>
      </w:tr>
      <w:tr>
        <w:trPr>
          <w:trHeight w:val="316"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6" w:lineRule="exact"/>
              <w:ind w:left="13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306" w:type="dxa"/>
            <w:tcBorders>
              <w:top w:val="nil" w:sz="6" w:space="0" w:color="auto"/>
              <w:left w:val="nil" w:sz="6" w:space="0" w:color="auto"/>
              <w:bottom w:val="nil" w:sz="6" w:space="0" w:color="auto"/>
              <w:right w:val="nil" w:sz="6" w:space="0" w:color="auto"/>
            </w:tcBorders>
          </w:tcPr>
          <w:p>
            <w:pPr>
              <w:pStyle w:val="TableParagraph"/>
              <w:spacing w:line="260"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31</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78"/>
              <w:jc w:val="right"/>
              <w:rPr>
                <w:rFonts w:ascii="Arial" w:hAnsi="Arial" w:cs="Arial" w:eastAsia="Arial" w:hint="default"/>
                <w:sz w:val="20"/>
                <w:szCs w:val="20"/>
              </w:rPr>
            </w:pPr>
            <w:r>
              <w:rPr>
                <w:rFonts w:ascii="Arial"/>
                <w:w w:val="95"/>
                <w:sz w:val="20"/>
              </w:rPr>
              <w:t>2,088,637</w:t>
            </w:r>
            <w:r>
              <w:rPr>
                <w:rFonts w:ascii="Arial"/>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7"/>
              <w:jc w:val="right"/>
              <w:rPr>
                <w:rFonts w:ascii="Arial" w:hAnsi="Arial" w:cs="Arial" w:eastAsia="Arial" w:hint="default"/>
                <w:sz w:val="20"/>
                <w:szCs w:val="20"/>
              </w:rPr>
            </w:pPr>
            <w:r>
              <w:rPr>
                <w:rFonts w:ascii="Arial"/>
                <w:spacing w:val="-2"/>
                <w:w w:val="95"/>
                <w:sz w:val="20"/>
              </w:rPr>
              <w:t>1,250,311</w:t>
            </w:r>
            <w:r>
              <w:rPr>
                <w:rFonts w:ascii="Arial"/>
                <w:spacing w:val="-2"/>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4" w:right="0"/>
              <w:jc w:val="left"/>
              <w:rPr>
                <w:rFonts w:ascii="Arial" w:hAnsi="Arial" w:cs="Arial" w:eastAsia="Arial" w:hint="default"/>
                <w:sz w:val="20"/>
                <w:szCs w:val="20"/>
              </w:rPr>
            </w:pPr>
            <w:r>
              <w:rPr>
                <w:rFonts w:ascii="Arial"/>
                <w:sz w:val="20"/>
              </w:rPr>
              <w:t>838,326</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right"/>
              <w:rPr>
                <w:rFonts w:ascii="Arial" w:hAnsi="Arial" w:cs="Arial" w:eastAsia="Arial" w:hint="default"/>
                <w:sz w:val="20"/>
                <w:szCs w:val="20"/>
              </w:rPr>
            </w:pPr>
            <w:r>
              <w:rPr>
                <w:rFonts w:ascii="Arial"/>
                <w:w w:val="95"/>
                <w:sz w:val="20"/>
              </w:rPr>
              <w:t>67.05%</w:t>
            </w:r>
            <w:r>
              <w:rPr>
                <w:rFonts w:ascii="Arial"/>
                <w:sz w:val="20"/>
              </w:rPr>
            </w:r>
          </w:p>
        </w:tc>
      </w:tr>
      <w:tr>
        <w:trPr>
          <w:trHeight w:val="269" w:hRule="exact"/>
        </w:trPr>
        <w:tc>
          <w:tcPr>
            <w:tcW w:w="772"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5" w:lineRule="exact"/>
              <w:ind w:left="136"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306" w:type="dxa"/>
            <w:tcBorders>
              <w:top w:val="nil" w:sz="6" w:space="0" w:color="auto"/>
              <w:left w:val="nil" w:sz="6" w:space="0" w:color="auto"/>
              <w:bottom w:val="nil" w:sz="6" w:space="0" w:color="auto"/>
              <w:right w:val="nil" w:sz="6" w:space="0" w:color="auto"/>
            </w:tcBorders>
          </w:tcPr>
          <w:p>
            <w:pPr>
              <w:pStyle w:val="TableParagraph"/>
              <w:spacing w:line="259" w:lineRule="exact"/>
              <w:ind w:left="219" w:right="0"/>
              <w:jc w:val="left"/>
              <w:rPr>
                <w:rFonts w:ascii="Arial" w:hAnsi="Arial" w:cs="Arial" w:eastAsia="Arial" w:hint="default"/>
                <w:sz w:val="20"/>
                <w:szCs w:val="20"/>
              </w:rPr>
            </w:pPr>
            <w:r>
              <w:rPr>
                <w:rFonts w:ascii="宋体" w:hAnsi="宋体" w:cs="宋体" w:eastAsia="宋体" w:hint="default"/>
                <w:sz w:val="20"/>
                <w:szCs w:val="20"/>
              </w:rPr>
              <w:t>注释</w:t>
            </w:r>
            <w:r>
              <w:rPr>
                <w:rFonts w:ascii="宋体" w:hAnsi="宋体" w:cs="宋体" w:eastAsia="宋体" w:hint="default"/>
                <w:spacing w:val="-54"/>
                <w:sz w:val="20"/>
                <w:szCs w:val="20"/>
              </w:rPr>
              <w:t> </w:t>
            </w:r>
            <w:r>
              <w:rPr>
                <w:rFonts w:ascii="Arial" w:hAnsi="Arial" w:cs="Arial" w:eastAsia="Arial" w:hint="default"/>
                <w:sz w:val="20"/>
                <w:szCs w:val="20"/>
              </w:rPr>
              <w:t>32</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77"/>
              <w:jc w:val="right"/>
              <w:rPr>
                <w:rFonts w:ascii="Arial" w:hAnsi="Arial" w:cs="Arial" w:eastAsia="Arial" w:hint="default"/>
                <w:sz w:val="20"/>
                <w:szCs w:val="20"/>
              </w:rPr>
            </w:pPr>
            <w:r>
              <w:rPr>
                <w:rFonts w:ascii="Arial"/>
                <w:spacing w:val="-3"/>
                <w:sz w:val="20"/>
              </w:rPr>
              <w:t>117,555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7"/>
              <w:jc w:val="right"/>
              <w:rPr>
                <w:rFonts w:ascii="Arial" w:hAnsi="Arial" w:cs="Arial" w:eastAsia="Arial" w:hint="default"/>
                <w:sz w:val="20"/>
                <w:szCs w:val="20"/>
              </w:rPr>
            </w:pPr>
            <w:r>
              <w:rPr>
                <w:rFonts w:ascii="Arial"/>
                <w:w w:val="95"/>
                <w:sz w:val="20"/>
              </w:rPr>
              <w:t>72,465</w:t>
            </w:r>
            <w:r>
              <w:rPr>
                <w:rFonts w:ascii="Arial"/>
                <w:sz w:val="20"/>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95" w:right="0"/>
              <w:jc w:val="left"/>
              <w:rPr>
                <w:rFonts w:ascii="Arial" w:hAnsi="Arial" w:cs="Arial" w:eastAsia="Arial" w:hint="default"/>
                <w:sz w:val="20"/>
                <w:szCs w:val="20"/>
              </w:rPr>
            </w:pPr>
            <w:r>
              <w:rPr>
                <w:rFonts w:ascii="Arial"/>
                <w:sz w:val="20"/>
              </w:rPr>
              <w:t>45,090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8"/>
              <w:jc w:val="right"/>
              <w:rPr>
                <w:rFonts w:ascii="Arial" w:hAnsi="Arial" w:cs="Arial" w:eastAsia="Arial" w:hint="default"/>
                <w:sz w:val="20"/>
                <w:szCs w:val="20"/>
              </w:rPr>
            </w:pPr>
            <w:r>
              <w:rPr>
                <w:rFonts w:ascii="Arial"/>
                <w:w w:val="95"/>
                <w:sz w:val="20"/>
              </w:rPr>
              <w:t>62.22%</w:t>
            </w:r>
            <w:r>
              <w:rPr>
                <w:rFonts w:ascii="Arial"/>
                <w:sz w:val="20"/>
              </w:rPr>
            </w:r>
          </w:p>
        </w:tc>
      </w:tr>
    </w:tbl>
    <w:p>
      <w:pPr>
        <w:spacing w:after="0" w:line="240" w:lineRule="auto"/>
        <w:jc w:val="right"/>
        <w:rPr>
          <w:rFonts w:ascii="Arial" w:hAnsi="Arial" w:cs="Arial" w:eastAsia="Arial" w:hint="default"/>
          <w:sz w:val="20"/>
          <w:szCs w:val="20"/>
        </w:rPr>
        <w:sectPr>
          <w:pgSz w:w="11910" w:h="16850"/>
          <w:pgMar w:header="1474" w:footer="956" w:top="2960" w:bottom="1140" w:left="820" w:right="0"/>
        </w:sectPr>
      </w:pPr>
    </w:p>
    <w:p>
      <w:pPr>
        <w:spacing w:line="240" w:lineRule="auto" w:before="7"/>
        <w:rPr>
          <w:rFonts w:ascii="Times New Roman" w:hAnsi="Times New Roman" w:cs="Times New Roman" w:eastAsia="Times New Roman"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755"/>
        <w:gridCol w:w="5167"/>
      </w:tblGrid>
      <w:tr>
        <w:trPr>
          <w:trHeight w:val="533"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07"/>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0"/>
              <w:jc w:val="left"/>
              <w:rPr>
                <w:rFonts w:ascii="Arial" w:hAnsi="Arial" w:cs="Arial" w:eastAsia="Arial" w:hint="default"/>
                <w:sz w:val="24"/>
                <w:szCs w:val="24"/>
              </w:rPr>
            </w:pPr>
            <w:r>
              <w:rPr>
                <w:rFonts w:ascii="宋体" w:hAnsi="宋体" w:cs="宋体" w:eastAsia="宋体" w:hint="default"/>
                <w:b/>
                <w:bCs/>
                <w:sz w:val="24"/>
                <w:szCs w:val="24"/>
              </w:rPr>
              <w:t>主要会计报表项目的异常情况及原因的说明</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6"/>
        <w:rPr>
          <w:rFonts w:ascii="Times New Roman" w:hAnsi="Times New Roman" w:cs="Times New Roman" w:eastAsia="Times New Roman" w:hint="default"/>
          <w:sz w:val="20"/>
          <w:szCs w:val="20"/>
        </w:rPr>
      </w:pPr>
    </w:p>
    <w:p>
      <w:pPr>
        <w:pStyle w:val="BodyText"/>
        <w:spacing w:line="312" w:lineRule="exact" w:before="56"/>
        <w:ind w:left="908" w:right="1572"/>
        <w:jc w:val="both"/>
      </w:pPr>
      <w:r>
        <w:rPr/>
        <w:pict>
          <v:group style="position:absolute;margin-left:84.984001pt;margin-top:-38.479992pt;width:439.9pt;height:.1pt;mso-position-horizontal-relative:page;mso-position-vertical-relative:paragraph;z-index:-1358032" coordorigin="1700,-770" coordsize="8798,2">
            <v:shape style="position:absolute;left:1700;top:-770;width:8798;height:2" coordorigin="1700,-770" coordsize="8798,0" path="m1700,-770l10497,-770e" filled="false" stroked="true" strokeweight=".72pt" strokecolor="#000000">
              <v:path arrowok="t"/>
            </v:shape>
            <w10:wrap type="none"/>
          </v:group>
        </w:pict>
      </w:r>
      <w:r>
        <w:rPr/>
        <w:t>注释 </w:t>
      </w:r>
      <w:r>
        <w:rPr>
          <w:rFonts w:ascii="Arial" w:hAnsi="Arial" w:cs="Arial" w:eastAsia="Arial" w:hint="default"/>
        </w:rPr>
        <w:t>1</w:t>
      </w:r>
      <w:r>
        <w:rPr/>
        <w:t>： 应收票据年末数比年初数增加</w:t>
      </w:r>
      <w:r>
        <w:rPr>
          <w:spacing w:val="-42"/>
        </w:rPr>
        <w:t> </w:t>
      </w:r>
      <w:r>
        <w:rPr>
          <w:rFonts w:ascii="Arial" w:hAnsi="Arial" w:cs="Arial" w:eastAsia="Arial" w:hint="default"/>
        </w:rPr>
        <w:t>190.02%</w:t>
      </w:r>
      <w:r>
        <w:rPr/>
        <w:t>，主要原因为：报告期末，公司 收到客户的银行承兑汇票尚未到结算期且未背书转让的金额有所增加。</w:t>
      </w:r>
    </w:p>
    <w:p>
      <w:pPr>
        <w:spacing w:line="240" w:lineRule="auto" w:before="2"/>
        <w:rPr>
          <w:rFonts w:ascii="宋体" w:hAnsi="宋体" w:cs="宋体" w:eastAsia="宋体" w:hint="default"/>
          <w:sz w:val="19"/>
          <w:szCs w:val="19"/>
        </w:rPr>
      </w:pPr>
    </w:p>
    <w:p>
      <w:pPr>
        <w:pStyle w:val="BodyText"/>
        <w:spacing w:line="235" w:lineRule="auto" w:before="0"/>
        <w:ind w:left="908" w:right="1568"/>
        <w:jc w:val="both"/>
      </w:pPr>
      <w:r>
        <w:rPr/>
        <w:t>注释</w:t>
      </w:r>
      <w:r>
        <w:rPr>
          <w:spacing w:val="-67"/>
        </w:rPr>
        <w:t> </w:t>
      </w:r>
      <w:r>
        <w:rPr>
          <w:rFonts w:ascii="Arial" w:hAnsi="Arial" w:cs="Arial" w:eastAsia="Arial" w:hint="default"/>
        </w:rPr>
        <w:t>2</w:t>
      </w:r>
      <w:r>
        <w:rPr/>
        <w:t>：</w:t>
      </w:r>
      <w:r>
        <w:rPr>
          <w:spacing w:val="-15"/>
        </w:rPr>
        <w:t> </w:t>
      </w:r>
      <w:r>
        <w:rPr/>
        <w:t>应收账款年末数比年初数增加</w:t>
      </w:r>
      <w:r>
        <w:rPr>
          <w:spacing w:val="-66"/>
        </w:rPr>
        <w:t> </w:t>
      </w:r>
      <w:r>
        <w:rPr>
          <w:rFonts w:ascii="Arial" w:hAnsi="Arial" w:cs="Arial" w:eastAsia="Arial" w:hint="default"/>
        </w:rPr>
        <w:t>66.74%</w:t>
      </w:r>
      <w:r>
        <w:rPr/>
        <w:t>，主要原因为：报告期内，公司持 </w:t>
      </w:r>
      <w:r>
        <w:rPr>
          <w:spacing w:val="-1"/>
        </w:rPr>
        <w:t>续推进国家家电下乡、以旧换新政策的实施，在销售收入增长的同时，带来了本期</w:t>
      </w:r>
      <w:r>
        <w:rPr/>
        <w:t> </w:t>
      </w:r>
      <w:r>
        <w:rPr>
          <w:spacing w:val="-1"/>
        </w:rPr>
        <w:t>应收财政补贴款的增加；另外，随着公司工程、团购业务量的增长，相应的应收客</w:t>
      </w:r>
      <w:r>
        <w:rPr/>
        <w:t> 户款项也有所增加。</w:t>
      </w:r>
    </w:p>
    <w:p>
      <w:pPr>
        <w:spacing w:line="240" w:lineRule="auto" w:before="4"/>
        <w:rPr>
          <w:rFonts w:ascii="宋体" w:hAnsi="宋体" w:cs="宋体" w:eastAsia="宋体" w:hint="default"/>
          <w:sz w:val="23"/>
          <w:szCs w:val="23"/>
        </w:rPr>
      </w:pPr>
    </w:p>
    <w:p>
      <w:pPr>
        <w:pStyle w:val="BodyText"/>
        <w:spacing w:line="312" w:lineRule="exact" w:before="0"/>
        <w:ind w:left="908" w:right="1568"/>
        <w:jc w:val="both"/>
      </w:pPr>
      <w:r>
        <w:rPr/>
        <w:t>注释 </w:t>
      </w:r>
      <w:r>
        <w:rPr>
          <w:rFonts w:ascii="Arial" w:hAnsi="Arial" w:cs="Arial" w:eastAsia="Arial" w:hint="default"/>
        </w:rPr>
        <w:t>3</w:t>
      </w:r>
      <w:r>
        <w:rPr/>
        <w:t>：预付账款年末数比年初数增加</w:t>
      </w:r>
      <w:r>
        <w:rPr>
          <w:spacing w:val="-26"/>
        </w:rPr>
        <w:t> </w:t>
      </w:r>
      <w:r>
        <w:rPr>
          <w:rFonts w:ascii="Arial" w:hAnsi="Arial" w:cs="Arial" w:eastAsia="Arial" w:hint="default"/>
        </w:rPr>
        <w:t>32.90%</w:t>
      </w:r>
      <w:r>
        <w:rPr/>
        <w:t>，主要原因为：报告期内，公司加 </w:t>
      </w:r>
      <w:r>
        <w:rPr>
          <w:spacing w:val="-2"/>
        </w:rPr>
        <w:t>大了对物流基地、自建店的投入，预付的土地款较上年末有所增加；另外，随着公</w:t>
      </w:r>
      <w:r>
        <w:rPr>
          <w:spacing w:val="-88"/>
        </w:rPr>
        <w:t> </w:t>
      </w:r>
      <w:r>
        <w:rPr>
          <w:spacing w:val="-88"/>
        </w:rPr>
      </w:r>
      <w:r>
        <w:rPr>
          <w:spacing w:val="-1"/>
        </w:rPr>
        <w:t>司连锁规模的扩大，公司应对元旦、春节销售旺季的备货量有所加大，预付供应商</w:t>
      </w:r>
      <w:r>
        <w:rPr/>
        <w:t> 的货款也有所增加。</w:t>
      </w:r>
    </w:p>
    <w:p>
      <w:pPr>
        <w:spacing w:line="240" w:lineRule="auto" w:before="1"/>
        <w:rPr>
          <w:rFonts w:ascii="宋体" w:hAnsi="宋体" w:cs="宋体" w:eastAsia="宋体" w:hint="default"/>
          <w:sz w:val="21"/>
          <w:szCs w:val="21"/>
        </w:rPr>
      </w:pPr>
    </w:p>
    <w:p>
      <w:pPr>
        <w:pStyle w:val="BodyText"/>
        <w:spacing w:line="312" w:lineRule="exact" w:before="0"/>
        <w:ind w:left="908" w:right="1572"/>
        <w:jc w:val="both"/>
      </w:pPr>
      <w:r>
        <w:rPr/>
        <w:t>注释 </w:t>
      </w:r>
      <w:r>
        <w:rPr>
          <w:rFonts w:ascii="Arial" w:hAnsi="Arial" w:cs="Arial" w:eastAsia="Arial" w:hint="default"/>
        </w:rPr>
        <w:t>4</w:t>
      </w:r>
      <w:r>
        <w:rPr/>
        <w:t>： 应收利息年末数比年初数增加</w:t>
      </w:r>
      <w:r>
        <w:rPr>
          <w:spacing w:val="-42"/>
        </w:rPr>
        <w:t> </w:t>
      </w:r>
      <w:r>
        <w:rPr>
          <w:rFonts w:ascii="Arial" w:hAnsi="Arial" w:cs="Arial" w:eastAsia="Arial" w:hint="default"/>
        </w:rPr>
        <w:t>138.40%</w:t>
      </w:r>
      <w:r>
        <w:rPr/>
        <w:t>，主要原因为：报告期末，按协 </w:t>
      </w:r>
      <w:r>
        <w:rPr>
          <w:spacing w:val="-1"/>
        </w:rPr>
        <w:t>定利率计算的承兑保证金余额有所增加；同时，随着报告期内银行加息，存款利率</w:t>
      </w:r>
      <w:r>
        <w:rPr/>
        <w:t> 上调，带来应收利息有所增加。</w:t>
      </w:r>
    </w:p>
    <w:p>
      <w:pPr>
        <w:spacing w:line="240" w:lineRule="auto" w:before="1"/>
        <w:rPr>
          <w:rFonts w:ascii="宋体" w:hAnsi="宋体" w:cs="宋体" w:eastAsia="宋体" w:hint="default"/>
          <w:sz w:val="21"/>
          <w:szCs w:val="21"/>
        </w:rPr>
      </w:pPr>
    </w:p>
    <w:p>
      <w:pPr>
        <w:pStyle w:val="BodyText"/>
        <w:spacing w:line="312" w:lineRule="exact" w:before="0"/>
        <w:ind w:left="908" w:right="1568"/>
        <w:jc w:val="both"/>
      </w:pPr>
      <w:r>
        <w:rPr/>
        <w:t>注释 </w:t>
      </w:r>
      <w:r>
        <w:rPr>
          <w:rFonts w:ascii="Arial" w:hAnsi="Arial" w:cs="Arial" w:eastAsia="Arial" w:hint="default"/>
        </w:rPr>
        <w:t>5</w:t>
      </w:r>
      <w:r>
        <w:rPr/>
        <w:t>：其他应收款年末数比年初数减少</w:t>
      </w:r>
      <w:r>
        <w:rPr>
          <w:spacing w:val="-29"/>
        </w:rPr>
        <w:t> </w:t>
      </w:r>
      <w:r>
        <w:rPr>
          <w:rFonts w:ascii="Arial" w:hAnsi="Arial" w:cs="Arial" w:eastAsia="Arial" w:hint="default"/>
        </w:rPr>
        <w:t>60.81%</w:t>
      </w:r>
      <w:r>
        <w:rPr/>
        <w:t>，主要原因为：报告期内，公司 向中国农业银行购买的保本保收益理财产品人民币</w:t>
      </w:r>
      <w:r>
        <w:rPr>
          <w:spacing w:val="-59"/>
        </w:rPr>
        <w:t> </w:t>
      </w:r>
      <w:r>
        <w:rPr>
          <w:rFonts w:ascii="Arial" w:hAnsi="Arial" w:cs="Arial" w:eastAsia="Arial" w:hint="default"/>
        </w:rPr>
        <w:t>7</w:t>
      </w:r>
      <w:r>
        <w:rPr>
          <w:rFonts w:ascii="Arial" w:hAnsi="Arial" w:cs="Arial" w:eastAsia="Arial" w:hint="default"/>
          <w:spacing w:val="-5"/>
        </w:rPr>
        <w:t> </w:t>
      </w:r>
      <w:r>
        <w:rPr>
          <w:spacing w:val="-4"/>
        </w:rPr>
        <w:t>亿元已到期收回，带来其他应</w:t>
      </w:r>
      <w:r>
        <w:rPr/>
        <w:t> </w:t>
      </w:r>
      <w:r>
        <w:rPr>
          <w:spacing w:val="-2"/>
        </w:rPr>
        <w:t>收款的减少；但是，随着公司连锁规模的不断扩大，相应支付的各项保证金、押金</w:t>
      </w:r>
      <w:r>
        <w:rPr>
          <w:spacing w:val="-86"/>
        </w:rPr>
        <w:t> </w:t>
      </w:r>
      <w:r>
        <w:rPr>
          <w:spacing w:val="-86"/>
        </w:rPr>
      </w:r>
      <w:r>
        <w:rPr/>
        <w:t>有一定程度的增加。</w:t>
      </w:r>
    </w:p>
    <w:p>
      <w:pPr>
        <w:spacing w:line="240" w:lineRule="auto" w:before="1"/>
        <w:rPr>
          <w:rFonts w:ascii="宋体" w:hAnsi="宋体" w:cs="宋体" w:eastAsia="宋体" w:hint="default"/>
          <w:sz w:val="21"/>
          <w:szCs w:val="21"/>
        </w:rPr>
      </w:pPr>
    </w:p>
    <w:p>
      <w:pPr>
        <w:pStyle w:val="BodyText"/>
        <w:spacing w:line="312" w:lineRule="exact" w:before="0"/>
        <w:ind w:left="908" w:right="1570"/>
        <w:jc w:val="both"/>
      </w:pPr>
      <w:r>
        <w:rPr/>
        <w:t>注释 </w:t>
      </w:r>
      <w:r>
        <w:rPr>
          <w:rFonts w:ascii="Arial" w:hAnsi="Arial" w:cs="Arial" w:eastAsia="Arial" w:hint="default"/>
        </w:rPr>
        <w:t>6</w:t>
      </w:r>
      <w:r>
        <w:rPr/>
        <w:t>：存货年末数比年初数增加</w:t>
      </w:r>
      <w:r>
        <w:rPr>
          <w:spacing w:val="-27"/>
        </w:rPr>
        <w:t> </w:t>
      </w:r>
      <w:r>
        <w:rPr>
          <w:rFonts w:ascii="Arial" w:hAnsi="Arial" w:cs="Arial" w:eastAsia="Arial" w:hint="default"/>
        </w:rPr>
        <w:t>41.72%</w:t>
      </w:r>
      <w:r>
        <w:rPr/>
        <w:t>，主要原因为：公司为了应对元旦、春 </w:t>
      </w:r>
      <w:r>
        <w:rPr>
          <w:spacing w:val="-1"/>
        </w:rPr>
        <w:t>节销售旺季，以及苏宁易购的投入运营，加大了存货的储备，带来存货年末数有所</w:t>
      </w:r>
      <w:r>
        <w:rPr/>
        <w:t> 增加。</w:t>
      </w:r>
    </w:p>
    <w:p>
      <w:pPr>
        <w:spacing w:line="240" w:lineRule="auto" w:before="2"/>
        <w:rPr>
          <w:rFonts w:ascii="宋体" w:hAnsi="宋体" w:cs="宋体" w:eastAsia="宋体" w:hint="default"/>
          <w:sz w:val="21"/>
          <w:szCs w:val="21"/>
        </w:rPr>
      </w:pPr>
    </w:p>
    <w:p>
      <w:pPr>
        <w:pStyle w:val="BodyText"/>
        <w:spacing w:line="312" w:lineRule="exact" w:before="0"/>
        <w:ind w:left="908" w:right="1568"/>
        <w:jc w:val="both"/>
      </w:pPr>
      <w:r>
        <w:rPr/>
        <w:t>注释 </w:t>
      </w:r>
      <w:r>
        <w:rPr>
          <w:rFonts w:ascii="Arial" w:hAnsi="Arial" w:cs="Arial" w:eastAsia="Arial" w:hint="default"/>
        </w:rPr>
        <w:t>7</w:t>
      </w:r>
      <w:r>
        <w:rPr/>
        <w:t>：其他流动资产年末数比年初数增加</w:t>
      </w:r>
      <w:r>
        <w:rPr>
          <w:spacing w:val="-26"/>
        </w:rPr>
        <w:t> </w:t>
      </w:r>
      <w:r>
        <w:rPr>
          <w:rFonts w:ascii="Arial" w:hAnsi="Arial" w:cs="Arial" w:eastAsia="Arial" w:hint="default"/>
        </w:rPr>
        <w:t>64.94%</w:t>
      </w:r>
      <w:r>
        <w:rPr/>
        <w:t>，主要原因为：报告期内，日 本</w:t>
      </w:r>
      <w:r>
        <w:rPr>
          <w:spacing w:val="-53"/>
        </w:rPr>
        <w:t> </w:t>
      </w:r>
      <w:r>
        <w:rPr>
          <w:rFonts w:ascii="Arial" w:hAnsi="Arial" w:cs="Arial" w:eastAsia="Arial" w:hint="default"/>
        </w:rPr>
        <w:t>LAOX </w:t>
      </w:r>
      <w:r>
        <w:rPr>
          <w:spacing w:val="-3"/>
        </w:rPr>
        <w:t>株式会社纳入公司合并范围，同时随着公司连锁规模不断扩大，新开门店</w:t>
      </w:r>
      <w:r>
        <w:rPr/>
        <w:t> 数量较多，带来房租预付款有所增加。</w:t>
      </w:r>
    </w:p>
    <w:p>
      <w:pPr>
        <w:spacing w:line="240" w:lineRule="auto" w:before="1"/>
        <w:rPr>
          <w:rFonts w:ascii="宋体" w:hAnsi="宋体" w:cs="宋体" w:eastAsia="宋体" w:hint="default"/>
          <w:sz w:val="21"/>
          <w:szCs w:val="21"/>
        </w:rPr>
      </w:pPr>
    </w:p>
    <w:p>
      <w:pPr>
        <w:pStyle w:val="BodyText"/>
        <w:spacing w:line="312" w:lineRule="exact" w:before="0"/>
        <w:ind w:left="908" w:right="1568"/>
        <w:jc w:val="both"/>
      </w:pPr>
      <w:r>
        <w:rPr/>
        <w:t>注释</w:t>
      </w:r>
      <w:r>
        <w:rPr>
          <w:spacing w:val="-80"/>
        </w:rPr>
        <w:t> </w:t>
      </w:r>
      <w:r>
        <w:rPr>
          <w:rFonts w:ascii="Arial" w:hAnsi="Arial" w:cs="Arial" w:eastAsia="Arial" w:hint="default"/>
        </w:rPr>
        <w:t>8</w:t>
      </w:r>
      <w:r>
        <w:rPr/>
        <w:t>：长期应收款年末数比年初数增加</w:t>
      </w:r>
      <w:r>
        <w:rPr>
          <w:spacing w:val="-79"/>
        </w:rPr>
        <w:t> </w:t>
      </w:r>
      <w:r>
        <w:rPr>
          <w:rFonts w:ascii="Arial" w:hAnsi="Arial" w:cs="Arial" w:eastAsia="Arial" w:hint="default"/>
        </w:rPr>
        <w:t>264.43%</w:t>
      </w:r>
      <w:r>
        <w:rPr/>
        <w:t>，主要原因为：报告期内，日本 </w:t>
      </w:r>
      <w:r>
        <w:rPr>
          <w:rFonts w:ascii="Arial" w:hAnsi="Arial" w:cs="Arial" w:eastAsia="Arial" w:hint="default"/>
        </w:rPr>
        <w:t>LAOX</w:t>
      </w:r>
      <w:r>
        <w:rPr>
          <w:rFonts w:ascii="Arial" w:hAnsi="Arial" w:cs="Arial" w:eastAsia="Arial" w:hint="default"/>
          <w:spacing w:val="-22"/>
        </w:rPr>
        <w:t> </w:t>
      </w:r>
      <w:r>
        <w:rPr/>
        <w:t>株式会社纳入公司合并范围，与国内相比，日本公司取得房屋租赁时需缴纳 </w:t>
      </w:r>
      <w:r>
        <w:rPr>
          <w:spacing w:val="-1"/>
        </w:rPr>
        <w:t>的房租押金比例较高，带来长期应收款的增加；此外随着公司新开门店数量的不断</w:t>
      </w:r>
      <w:r>
        <w:rPr>
          <w:spacing w:val="-118"/>
        </w:rPr>
        <w:t> </w:t>
      </w:r>
      <w:r>
        <w:rPr>
          <w:spacing w:val="-118"/>
        </w:rPr>
      </w:r>
      <w:r>
        <w:rPr/>
        <w:t>增加，支付房东门店房租保证金的增加，也带来长期应收款有所增加。</w:t>
      </w:r>
    </w:p>
    <w:p>
      <w:pPr>
        <w:spacing w:line="240" w:lineRule="auto" w:before="0"/>
        <w:rPr>
          <w:rFonts w:ascii="宋体" w:hAnsi="宋体" w:cs="宋体" w:eastAsia="宋体" w:hint="default"/>
          <w:sz w:val="20"/>
          <w:szCs w:val="20"/>
        </w:rPr>
      </w:pPr>
    </w:p>
    <w:p>
      <w:pPr>
        <w:pStyle w:val="BodyText"/>
        <w:spacing w:line="225" w:lineRule="auto" w:before="0"/>
        <w:ind w:left="908" w:right="1568"/>
        <w:jc w:val="both"/>
      </w:pPr>
      <w:r>
        <w:rPr/>
        <w:t>注释 </w:t>
      </w:r>
      <w:r>
        <w:rPr>
          <w:rFonts w:ascii="Arial" w:hAnsi="Arial" w:cs="Arial" w:eastAsia="Arial" w:hint="default"/>
        </w:rPr>
        <w:t>9</w:t>
      </w:r>
      <w:r>
        <w:rPr/>
        <w:t>：长期股权投资年末数比年初数减少</w:t>
      </w:r>
      <w:r>
        <w:rPr>
          <w:spacing w:val="-26"/>
        </w:rPr>
        <w:t> </w:t>
      </w:r>
      <w:r>
        <w:rPr>
          <w:rFonts w:ascii="Arial" w:hAnsi="Arial" w:cs="Arial" w:eastAsia="Arial" w:hint="default"/>
        </w:rPr>
        <w:t>30.03%</w:t>
      </w:r>
      <w:r>
        <w:rPr/>
        <w:t>，主要原因为：报告期内，日 本</w:t>
      </w:r>
      <w:r>
        <w:rPr>
          <w:spacing w:val="-61"/>
        </w:rPr>
        <w:t> </w:t>
      </w:r>
      <w:r>
        <w:rPr>
          <w:rFonts w:ascii="Arial" w:hAnsi="Arial" w:cs="Arial" w:eastAsia="Arial" w:hint="default"/>
          <w:w w:val="99"/>
        </w:rPr>
        <w:t>LAOX</w:t>
      </w:r>
      <w:r>
        <w:rPr>
          <w:rFonts w:ascii="Arial" w:hAnsi="Arial" w:cs="Arial" w:eastAsia="Arial" w:hint="default"/>
          <w:spacing w:val="-8"/>
          <w:w w:val="99"/>
        </w:rPr>
        <w:t> </w:t>
      </w:r>
      <w:r>
        <w:rPr>
          <w:spacing w:val="-5"/>
        </w:rPr>
        <w:t>株式会社纳入公司合并范围内，原按权益法核算的对</w:t>
      </w:r>
      <w:r>
        <w:rPr>
          <w:spacing w:val="-60"/>
        </w:rPr>
        <w:t> </w:t>
      </w:r>
      <w:r>
        <w:rPr>
          <w:rFonts w:ascii="Arial" w:hAnsi="Arial" w:cs="Arial" w:eastAsia="Arial" w:hint="default"/>
          <w:w w:val="99"/>
        </w:rPr>
        <w:t>LAOX</w:t>
      </w:r>
      <w:r>
        <w:rPr>
          <w:rFonts w:ascii="Arial" w:hAnsi="Arial" w:cs="Arial" w:eastAsia="Arial" w:hint="default"/>
          <w:spacing w:val="-7"/>
          <w:w w:val="99"/>
        </w:rPr>
        <w:t> </w:t>
      </w:r>
      <w:r>
        <w:rPr/>
        <w:t>的长期股权投 资纳入合并范围内进行抵消，带来长期股权投资的减少。</w:t>
      </w:r>
    </w:p>
    <w:p>
      <w:pPr>
        <w:spacing w:after="0" w:line="225" w:lineRule="auto"/>
        <w:jc w:val="both"/>
        <w:sectPr>
          <w:pgSz w:w="11910" w:h="16850"/>
          <w:pgMar w:header="1474" w:footer="956" w:top="2960" w:bottom="1140" w:left="820" w:right="0"/>
        </w:sectPr>
      </w:pPr>
    </w:p>
    <w:p>
      <w:pPr>
        <w:spacing w:line="240" w:lineRule="auto" w:before="1"/>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55"/>
        <w:gridCol w:w="5167"/>
      </w:tblGrid>
      <w:tr>
        <w:trPr>
          <w:trHeight w:val="415"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left"/>
              <w:rPr>
                <w:rFonts w:ascii="Arial" w:hAnsi="Arial" w:cs="Arial" w:eastAsia="Arial" w:hint="default"/>
                <w:sz w:val="24"/>
                <w:szCs w:val="24"/>
              </w:rPr>
            </w:pPr>
            <w:r>
              <w:rPr>
                <w:rFonts w:ascii="宋体" w:hAnsi="宋体" w:cs="宋体" w:eastAsia="宋体" w:hint="default"/>
                <w:b/>
                <w:bCs/>
                <w:sz w:val="24"/>
                <w:szCs w:val="24"/>
              </w:rPr>
              <w:t>主要会计报表项目的异常情况及原因的说明</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pStyle w:val="BodyText"/>
        <w:spacing w:line="312" w:lineRule="exact" w:before="17"/>
        <w:ind w:left="888" w:right="1572"/>
        <w:jc w:val="both"/>
      </w:pPr>
      <w:r>
        <w:rPr/>
        <w:pict>
          <v:group style="position:absolute;margin-left:84.984001pt;margin-top:-20.75pt;width:439.9pt;height:.1pt;mso-position-horizontal-relative:page;mso-position-vertical-relative:paragraph;z-index:-1358008" coordorigin="1700,-415" coordsize="8798,2">
            <v:shape style="position:absolute;left:1700;top:-415;width:8798;height:2" coordorigin="1700,-415" coordsize="8798,0" path="m1700,-415l10497,-415e" filled="false" stroked="true" strokeweight=".72pt" strokecolor="#000000">
              <v:path arrowok="t"/>
            </v:shape>
            <w10:wrap type="none"/>
          </v:group>
        </w:pict>
      </w:r>
      <w:r>
        <w:rPr/>
        <w:t>注释</w:t>
      </w:r>
      <w:r>
        <w:rPr>
          <w:spacing w:val="-81"/>
        </w:rPr>
        <w:t> </w:t>
      </w:r>
      <w:r>
        <w:rPr>
          <w:rFonts w:ascii="Arial" w:hAnsi="Arial" w:cs="Arial" w:eastAsia="Arial" w:hint="default"/>
        </w:rPr>
        <w:t>10</w:t>
      </w:r>
      <w:r>
        <w:rPr/>
        <w:t>：投资性房地产年末数比年初数增加</w:t>
      </w:r>
      <w:r>
        <w:rPr>
          <w:spacing w:val="-80"/>
        </w:rPr>
        <w:t> </w:t>
      </w:r>
      <w:r>
        <w:rPr>
          <w:rFonts w:ascii="Arial" w:hAnsi="Arial" w:cs="Arial" w:eastAsia="Arial" w:hint="default"/>
        </w:rPr>
        <w:t>76.79%</w:t>
      </w:r>
      <w:r>
        <w:rPr/>
        <w:t>，主要原因为：报告期内，公 司新增自有物业租用于转租，带来投资性房地产的增加。</w:t>
      </w:r>
    </w:p>
    <w:p>
      <w:pPr>
        <w:spacing w:line="240" w:lineRule="auto" w:before="8"/>
        <w:rPr>
          <w:rFonts w:ascii="宋体" w:hAnsi="宋体" w:cs="宋体" w:eastAsia="宋体" w:hint="default"/>
          <w:sz w:val="16"/>
          <w:szCs w:val="16"/>
        </w:rPr>
      </w:pPr>
    </w:p>
    <w:p>
      <w:pPr>
        <w:pStyle w:val="BodyText"/>
        <w:spacing w:line="232" w:lineRule="auto" w:before="0"/>
        <w:ind w:left="888" w:right="1331"/>
        <w:jc w:val="left"/>
      </w:pPr>
      <w:r>
        <w:rPr/>
        <w:t>注释</w:t>
      </w:r>
      <w:r>
        <w:rPr>
          <w:spacing w:val="-71"/>
        </w:rPr>
        <w:t> </w:t>
      </w:r>
      <w:r>
        <w:rPr>
          <w:rFonts w:ascii="Arial" w:hAnsi="Arial" w:cs="Arial" w:eastAsia="Arial" w:hint="default"/>
        </w:rPr>
        <w:t>11</w:t>
      </w:r>
      <w:r>
        <w:rPr/>
        <w:t>：固定资产年末数比年初数增加</w:t>
      </w:r>
      <w:r>
        <w:rPr>
          <w:spacing w:val="-70"/>
        </w:rPr>
        <w:t> </w:t>
      </w:r>
      <w:r>
        <w:rPr>
          <w:rFonts w:ascii="Arial" w:hAnsi="Arial" w:cs="Arial" w:eastAsia="Arial" w:hint="default"/>
        </w:rPr>
        <w:t>87.71%</w:t>
      </w:r>
      <w:r>
        <w:rPr/>
        <w:t>，主要原因为：报告期内，公司徐 </w:t>
      </w:r>
      <w:r>
        <w:rPr>
          <w:spacing w:val="-5"/>
        </w:rPr>
        <w:t>庄总部、无锡、成都、合肥、天津物流基地建设完工并投入使用，以及新增购置店，</w:t>
      </w:r>
      <w:r>
        <w:rPr>
          <w:spacing w:val="-95"/>
        </w:rPr>
        <w:t> </w:t>
      </w:r>
      <w:r>
        <w:rPr>
          <w:spacing w:val="-95"/>
        </w:rPr>
      </w:r>
      <w:r>
        <w:rPr/>
        <w:t>带来固定资产有所增加。</w:t>
      </w:r>
    </w:p>
    <w:p>
      <w:pPr>
        <w:spacing w:line="240" w:lineRule="auto" w:before="5"/>
        <w:rPr>
          <w:rFonts w:ascii="宋体" w:hAnsi="宋体" w:cs="宋体" w:eastAsia="宋体" w:hint="default"/>
          <w:sz w:val="23"/>
          <w:szCs w:val="23"/>
        </w:rPr>
      </w:pPr>
    </w:p>
    <w:p>
      <w:pPr>
        <w:pStyle w:val="BodyText"/>
        <w:spacing w:line="312" w:lineRule="exact" w:before="0"/>
        <w:ind w:left="888" w:right="1568"/>
        <w:jc w:val="both"/>
      </w:pPr>
      <w:r>
        <w:rPr/>
        <w:t>注释</w:t>
      </w:r>
      <w:r>
        <w:rPr>
          <w:spacing w:val="-79"/>
        </w:rPr>
        <w:t> </w:t>
      </w:r>
      <w:r>
        <w:rPr>
          <w:rFonts w:ascii="Arial" w:hAnsi="Arial" w:cs="Arial" w:eastAsia="Arial" w:hint="default"/>
        </w:rPr>
        <w:t>12</w:t>
      </w:r>
      <w:r>
        <w:rPr/>
        <w:t>：在建工程年末数比年初数减少</w:t>
      </w:r>
      <w:r>
        <w:rPr>
          <w:spacing w:val="-79"/>
        </w:rPr>
        <w:t> </w:t>
      </w:r>
      <w:r>
        <w:rPr>
          <w:rFonts w:ascii="Arial" w:hAnsi="Arial" w:cs="Arial" w:eastAsia="Arial" w:hint="default"/>
        </w:rPr>
        <w:t>39.30%</w:t>
      </w:r>
      <w:r>
        <w:rPr/>
        <w:t>，主要原因为：报告期内，公司徐 </w:t>
      </w:r>
      <w:r>
        <w:rPr>
          <w:spacing w:val="-2"/>
        </w:rPr>
        <w:t>庄总部、无锡、成都、合肥、天津物流基地建设完工并投入使用，带来在建工程有</w:t>
      </w:r>
      <w:r>
        <w:rPr>
          <w:spacing w:val="-88"/>
        </w:rPr>
        <w:t> </w:t>
      </w:r>
      <w:r>
        <w:rPr>
          <w:spacing w:val="-88"/>
        </w:rPr>
      </w:r>
      <w:r>
        <w:rPr/>
        <w:t>所减少。</w:t>
      </w:r>
    </w:p>
    <w:p>
      <w:pPr>
        <w:spacing w:line="240" w:lineRule="auto" w:before="1"/>
        <w:rPr>
          <w:rFonts w:ascii="宋体" w:hAnsi="宋体" w:cs="宋体" w:eastAsia="宋体" w:hint="default"/>
          <w:sz w:val="21"/>
          <w:szCs w:val="21"/>
        </w:rPr>
      </w:pPr>
    </w:p>
    <w:p>
      <w:pPr>
        <w:pStyle w:val="BodyText"/>
        <w:spacing w:line="312" w:lineRule="exact" w:before="0"/>
        <w:ind w:left="888" w:right="1494"/>
        <w:jc w:val="both"/>
      </w:pPr>
      <w:r>
        <w:rPr/>
        <w:t>注释 </w:t>
      </w:r>
      <w:r>
        <w:rPr>
          <w:rFonts w:ascii="Arial" w:hAnsi="Arial" w:cs="Arial" w:eastAsia="Arial" w:hint="default"/>
        </w:rPr>
        <w:t>13</w:t>
      </w:r>
      <w:r>
        <w:rPr/>
        <w:t>：无形资产年末数比年初数增加</w:t>
      </w:r>
      <w:r>
        <w:rPr>
          <w:spacing w:val="-54"/>
        </w:rPr>
        <w:t> </w:t>
      </w:r>
      <w:r>
        <w:rPr>
          <w:rFonts w:ascii="Arial" w:hAnsi="Arial" w:cs="Arial" w:eastAsia="Arial" w:hint="default"/>
        </w:rPr>
        <w:t>233.62%</w:t>
      </w:r>
      <w:r>
        <w:rPr/>
        <w:t>，主要原因为：报告期内，公司 加大对物流基地建设以及自建店的投入，新购置了部分地区物流基地的土地使用权 以及在核心商圈自建店土地使用权；另外，公司将</w:t>
      </w:r>
      <w:r>
        <w:rPr>
          <w:spacing w:val="-60"/>
        </w:rPr>
        <w:t> </w:t>
      </w:r>
      <w:r>
        <w:rPr>
          <w:rFonts w:ascii="Arial" w:hAnsi="Arial" w:cs="Arial" w:eastAsia="Arial" w:hint="default"/>
        </w:rPr>
        <w:t>LAOX</w:t>
      </w:r>
      <w:r>
        <w:rPr>
          <w:rFonts w:ascii="Arial" w:hAnsi="Arial" w:cs="Arial" w:eastAsia="Arial" w:hint="default"/>
          <w:spacing w:val="-8"/>
        </w:rPr>
        <w:t> </w:t>
      </w:r>
      <w:r>
        <w:rPr/>
        <w:t>株式会社纳入合并范围， 带来商标使用权有所增加，上述原因导致期末无形资产有所增加。</w:t>
      </w:r>
    </w:p>
    <w:p>
      <w:pPr>
        <w:spacing w:line="240" w:lineRule="auto" w:before="2"/>
        <w:rPr>
          <w:rFonts w:ascii="宋体" w:hAnsi="宋体" w:cs="宋体" w:eastAsia="宋体" w:hint="default"/>
          <w:sz w:val="21"/>
          <w:szCs w:val="21"/>
        </w:rPr>
      </w:pPr>
    </w:p>
    <w:p>
      <w:pPr>
        <w:pStyle w:val="BodyText"/>
        <w:spacing w:line="312" w:lineRule="exact" w:before="0"/>
        <w:ind w:left="888" w:right="1568"/>
        <w:jc w:val="both"/>
      </w:pPr>
      <w:r>
        <w:rPr/>
        <w:t>注释 </w:t>
      </w:r>
      <w:r>
        <w:rPr>
          <w:rFonts w:ascii="Arial" w:hAnsi="Arial" w:cs="Arial" w:eastAsia="Arial" w:hint="default"/>
        </w:rPr>
        <w:t>14</w:t>
      </w:r>
      <w:r>
        <w:rPr/>
        <w:t>：开发支出年末数比年初数增加</w:t>
      </w:r>
      <w:r>
        <w:rPr>
          <w:spacing w:val="-55"/>
        </w:rPr>
        <w:t> </w:t>
      </w:r>
      <w:r>
        <w:rPr>
          <w:rFonts w:ascii="Arial" w:hAnsi="Arial" w:cs="Arial" w:eastAsia="Arial" w:hint="default"/>
        </w:rPr>
        <w:t>324.40%</w:t>
      </w:r>
      <w:r>
        <w:rPr/>
        <w:t>，主要原因为：报告期内，公司 进一步加大对软件的开发投入，带来开发支出较上年相比有所增加。</w:t>
      </w:r>
    </w:p>
    <w:p>
      <w:pPr>
        <w:spacing w:line="240" w:lineRule="auto" w:before="1"/>
        <w:rPr>
          <w:rFonts w:ascii="宋体" w:hAnsi="宋体" w:cs="宋体" w:eastAsia="宋体" w:hint="default"/>
          <w:sz w:val="21"/>
          <w:szCs w:val="21"/>
        </w:rPr>
      </w:pPr>
    </w:p>
    <w:p>
      <w:pPr>
        <w:pStyle w:val="BodyText"/>
        <w:spacing w:line="312" w:lineRule="exact" w:before="0"/>
        <w:ind w:left="888" w:right="1567"/>
        <w:jc w:val="both"/>
      </w:pPr>
      <w:r>
        <w:rPr/>
        <w:t>注释 </w:t>
      </w:r>
      <w:r>
        <w:rPr>
          <w:rFonts w:ascii="Arial" w:hAnsi="Arial" w:cs="Arial" w:eastAsia="Arial" w:hint="default"/>
        </w:rPr>
        <w:t>15</w:t>
      </w:r>
      <w:r>
        <w:rPr/>
        <w:t>：商誉年末数比年初数增加</w:t>
      </w:r>
      <w:r>
        <w:rPr>
          <w:spacing w:val="-82"/>
        </w:rPr>
        <w:t> </w:t>
      </w:r>
      <w:r>
        <w:rPr>
          <w:rFonts w:ascii="Arial" w:hAnsi="Arial" w:cs="Arial" w:eastAsia="Arial" w:hint="default"/>
        </w:rPr>
        <w:t>36689.45%</w:t>
      </w:r>
      <w:r>
        <w:rPr/>
        <w:t>，主要原因为：报告期内，公司将 日本 </w:t>
      </w:r>
      <w:r>
        <w:rPr>
          <w:rFonts w:ascii="Arial" w:hAnsi="Arial" w:cs="Arial" w:eastAsia="Arial" w:hint="default"/>
        </w:rPr>
        <w:t>LAOX </w:t>
      </w:r>
      <w:r>
        <w:rPr/>
        <w:t>株式会社纳入合并范围，分步合并的成本与在购买日公司享有</w:t>
      </w:r>
      <w:r>
        <w:rPr>
          <w:spacing w:val="-12"/>
        </w:rPr>
        <w:t> </w:t>
      </w:r>
      <w:r>
        <w:rPr>
          <w:rFonts w:ascii="Arial" w:hAnsi="Arial" w:cs="Arial" w:eastAsia="Arial" w:hint="default"/>
        </w:rPr>
        <w:t>LAOX</w:t>
      </w:r>
      <w:r>
        <w:rPr>
          <w:rFonts w:ascii="Arial" w:hAnsi="Arial" w:cs="Arial" w:eastAsia="Arial" w:hint="default"/>
          <w:w w:val="100"/>
        </w:rPr>
        <w:t> </w:t>
      </w:r>
      <w:r>
        <w:rPr/>
        <w:t>株式会社可辨认净资产公允价值份额之间的差额确认为商誉 </w:t>
      </w:r>
      <w:r>
        <w:rPr>
          <w:rFonts w:ascii="Arial" w:hAnsi="Arial" w:cs="Arial" w:eastAsia="Arial" w:hint="default"/>
        </w:rPr>
        <w:t>2.26</w:t>
      </w:r>
      <w:r>
        <w:rPr>
          <w:rFonts w:ascii="Arial" w:hAnsi="Arial" w:cs="Arial" w:eastAsia="Arial" w:hint="default"/>
          <w:spacing w:val="27"/>
        </w:rPr>
        <w:t> </w:t>
      </w:r>
      <w:r>
        <w:rPr/>
        <w:t>亿，带来商誉较 上年末有所增加。</w:t>
      </w:r>
    </w:p>
    <w:p>
      <w:pPr>
        <w:spacing w:line="240" w:lineRule="auto" w:before="1"/>
        <w:rPr>
          <w:rFonts w:ascii="宋体" w:hAnsi="宋体" w:cs="宋体" w:eastAsia="宋体" w:hint="default"/>
          <w:sz w:val="21"/>
          <w:szCs w:val="21"/>
        </w:rPr>
      </w:pPr>
    </w:p>
    <w:p>
      <w:pPr>
        <w:pStyle w:val="BodyText"/>
        <w:spacing w:line="312" w:lineRule="exact" w:before="0"/>
        <w:ind w:left="888" w:right="1572"/>
        <w:jc w:val="both"/>
      </w:pPr>
      <w:r>
        <w:rPr/>
        <w:t>注释</w:t>
      </w:r>
      <w:r>
        <w:rPr>
          <w:spacing w:val="-81"/>
        </w:rPr>
        <w:t> </w:t>
      </w:r>
      <w:r>
        <w:rPr>
          <w:rFonts w:ascii="Arial" w:hAnsi="Arial" w:cs="Arial" w:eastAsia="Arial" w:hint="default"/>
        </w:rPr>
        <w:t>16</w:t>
      </w:r>
      <w:r>
        <w:rPr/>
        <w:t>：长期待摊费用年末数比年初数增加</w:t>
      </w:r>
      <w:r>
        <w:rPr>
          <w:spacing w:val="-79"/>
        </w:rPr>
        <w:t> </w:t>
      </w:r>
      <w:r>
        <w:rPr>
          <w:rFonts w:ascii="Arial" w:hAnsi="Arial" w:cs="Arial" w:eastAsia="Arial" w:hint="default"/>
        </w:rPr>
        <w:t>58.95%</w:t>
      </w:r>
      <w:r>
        <w:rPr/>
        <w:t>，主要原因为：公司递延的延 保费用增加以及连锁规模的扩大带来店面装修费用的增加。</w:t>
      </w:r>
    </w:p>
    <w:p>
      <w:pPr>
        <w:spacing w:line="240" w:lineRule="auto" w:before="2"/>
        <w:rPr>
          <w:rFonts w:ascii="宋体" w:hAnsi="宋体" w:cs="宋体" w:eastAsia="宋体" w:hint="default"/>
          <w:sz w:val="21"/>
          <w:szCs w:val="21"/>
        </w:rPr>
      </w:pPr>
    </w:p>
    <w:p>
      <w:pPr>
        <w:pStyle w:val="BodyText"/>
        <w:spacing w:line="312" w:lineRule="exact" w:before="0"/>
        <w:ind w:left="888" w:right="1568"/>
        <w:jc w:val="both"/>
      </w:pPr>
      <w:r>
        <w:rPr/>
        <w:t>注释 </w:t>
      </w:r>
      <w:r>
        <w:rPr>
          <w:rFonts w:ascii="Arial" w:hAnsi="Arial" w:cs="Arial" w:eastAsia="Arial" w:hint="default"/>
        </w:rPr>
        <w:t>17</w:t>
      </w:r>
      <w:r>
        <w:rPr/>
        <w:t>：递延所得税资产年末数比年初数增加</w:t>
      </w:r>
      <w:r>
        <w:rPr>
          <w:spacing w:val="-89"/>
        </w:rPr>
        <w:t> </w:t>
      </w:r>
      <w:r>
        <w:rPr>
          <w:rFonts w:ascii="Arial" w:hAnsi="Arial" w:cs="Arial" w:eastAsia="Arial" w:hint="default"/>
          <w:spacing w:val="-4"/>
        </w:rPr>
        <w:t>80.77%</w:t>
      </w:r>
      <w:r>
        <w:rPr>
          <w:spacing w:val="-4"/>
        </w:rPr>
        <w:t>，主要原因为：公司连锁规</w:t>
      </w:r>
      <w:r>
        <w:rPr/>
        <w:t> 模扩大，已提未付的广告费增加，带来递延的所得税资产有所增加。</w:t>
      </w:r>
    </w:p>
    <w:p>
      <w:pPr>
        <w:spacing w:line="240" w:lineRule="auto" w:before="1"/>
        <w:rPr>
          <w:rFonts w:ascii="宋体" w:hAnsi="宋体" w:cs="宋体" w:eastAsia="宋体" w:hint="default"/>
          <w:sz w:val="21"/>
          <w:szCs w:val="21"/>
        </w:rPr>
      </w:pPr>
    </w:p>
    <w:p>
      <w:pPr>
        <w:pStyle w:val="BodyText"/>
        <w:spacing w:line="312" w:lineRule="exact" w:before="0"/>
        <w:ind w:left="888" w:right="1568"/>
        <w:jc w:val="both"/>
      </w:pPr>
      <w:r>
        <w:rPr/>
        <w:t>注释 </w:t>
      </w:r>
      <w:r>
        <w:rPr>
          <w:rFonts w:ascii="Arial" w:hAnsi="Arial" w:cs="Arial" w:eastAsia="Arial" w:hint="default"/>
        </w:rPr>
        <w:t>18</w:t>
      </w:r>
      <w:r>
        <w:rPr/>
        <w:t>：短期借款年末数比年初数增加</w:t>
      </w:r>
      <w:r>
        <w:rPr>
          <w:spacing w:val="-55"/>
        </w:rPr>
        <w:t> </w:t>
      </w:r>
      <w:r>
        <w:rPr>
          <w:rFonts w:ascii="Arial" w:hAnsi="Arial" w:cs="Arial" w:eastAsia="Arial" w:hint="default"/>
        </w:rPr>
        <w:t>424.15%</w:t>
      </w:r>
      <w:r>
        <w:rPr/>
        <w:t>，主要原因为：由于公司运营需 要，适当增加了银行的短期融资，补充了流动资金。</w:t>
      </w:r>
    </w:p>
    <w:p>
      <w:pPr>
        <w:spacing w:line="240" w:lineRule="auto" w:before="1"/>
        <w:rPr>
          <w:rFonts w:ascii="宋体" w:hAnsi="宋体" w:cs="宋体" w:eastAsia="宋体" w:hint="default"/>
          <w:sz w:val="21"/>
          <w:szCs w:val="21"/>
        </w:rPr>
      </w:pPr>
    </w:p>
    <w:p>
      <w:pPr>
        <w:pStyle w:val="BodyText"/>
        <w:spacing w:line="312" w:lineRule="exact" w:before="0"/>
        <w:ind w:left="888" w:right="1568"/>
        <w:jc w:val="both"/>
      </w:pPr>
      <w:r>
        <w:rPr/>
        <w:t>注释</w:t>
      </w:r>
      <w:r>
        <w:rPr>
          <w:spacing w:val="-79"/>
        </w:rPr>
        <w:t> </w:t>
      </w:r>
      <w:r>
        <w:rPr>
          <w:rFonts w:ascii="Arial" w:hAnsi="Arial" w:cs="Arial" w:eastAsia="Arial" w:hint="default"/>
        </w:rPr>
        <w:t>19</w:t>
      </w:r>
      <w:r>
        <w:rPr/>
        <w:t>：应付票据年末数比年初数增加</w:t>
      </w:r>
      <w:r>
        <w:rPr>
          <w:spacing w:val="-79"/>
        </w:rPr>
        <w:t> </w:t>
      </w:r>
      <w:r>
        <w:rPr>
          <w:rFonts w:ascii="Arial" w:hAnsi="Arial" w:cs="Arial" w:eastAsia="Arial" w:hint="default"/>
        </w:rPr>
        <w:t>44.41%</w:t>
      </w:r>
      <w:r>
        <w:rPr/>
        <w:t>，主要原因为：报告期内，公司较 多采用银行承兑汇票的方式支付供应商货款，带来期末应付票据余额有所增加。</w:t>
      </w:r>
    </w:p>
    <w:p>
      <w:pPr>
        <w:spacing w:line="240" w:lineRule="auto" w:before="5"/>
        <w:rPr>
          <w:rFonts w:ascii="宋体" w:hAnsi="宋体" w:cs="宋体" w:eastAsia="宋体" w:hint="default"/>
          <w:sz w:val="19"/>
          <w:szCs w:val="19"/>
        </w:rPr>
      </w:pPr>
    </w:p>
    <w:p>
      <w:pPr>
        <w:pStyle w:val="BodyText"/>
        <w:spacing w:line="232" w:lineRule="auto" w:before="0"/>
        <w:ind w:left="888" w:right="1570"/>
        <w:jc w:val="both"/>
      </w:pPr>
      <w:r>
        <w:rPr/>
        <w:t>注释</w:t>
      </w:r>
      <w:r>
        <w:rPr>
          <w:spacing w:val="-80"/>
        </w:rPr>
        <w:t> </w:t>
      </w:r>
      <w:r>
        <w:rPr>
          <w:rFonts w:ascii="Arial" w:hAnsi="Arial" w:cs="Arial" w:eastAsia="Arial" w:hint="default"/>
        </w:rPr>
        <w:t>20</w:t>
      </w:r>
      <w:r>
        <w:rPr/>
        <w:t>：应付职工薪酬年末数比年初数增加</w:t>
      </w:r>
      <w:r>
        <w:rPr>
          <w:spacing w:val="-79"/>
        </w:rPr>
        <w:t> </w:t>
      </w:r>
      <w:r>
        <w:rPr>
          <w:rFonts w:ascii="Arial" w:hAnsi="Arial" w:cs="Arial" w:eastAsia="Arial" w:hint="default"/>
        </w:rPr>
        <w:t>35.90%</w:t>
      </w:r>
      <w:r>
        <w:rPr/>
        <w:t>，主要原因为：报告期内，公 </w:t>
      </w:r>
      <w:r>
        <w:rPr>
          <w:spacing w:val="-2"/>
        </w:rPr>
        <w:t>司在职员工人数的增加以及公司不断提高员工薪资待遇，带来期末应付职工薪酬余</w:t>
      </w:r>
      <w:r>
        <w:rPr>
          <w:spacing w:val="-85"/>
        </w:rPr>
        <w:t> </w:t>
      </w:r>
      <w:r>
        <w:rPr>
          <w:spacing w:val="-85"/>
        </w:rPr>
      </w:r>
      <w:r>
        <w:rPr/>
        <w:t>额有所增加。</w:t>
      </w:r>
    </w:p>
    <w:p>
      <w:pPr>
        <w:spacing w:after="0" w:line="232" w:lineRule="auto"/>
        <w:jc w:val="both"/>
        <w:sectPr>
          <w:pgSz w:w="11910" w:h="16850"/>
          <w:pgMar w:header="1474" w:footer="956" w:top="2960" w:bottom="1140" w:left="840" w:right="0"/>
        </w:sectPr>
      </w:pPr>
    </w:p>
    <w:p>
      <w:pPr>
        <w:spacing w:line="240" w:lineRule="auto" w:before="1"/>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755"/>
        <w:gridCol w:w="5167"/>
      </w:tblGrid>
      <w:tr>
        <w:trPr>
          <w:trHeight w:val="564"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left"/>
              <w:rPr>
                <w:rFonts w:ascii="Arial" w:hAnsi="Arial" w:cs="Arial" w:eastAsia="Arial" w:hint="default"/>
                <w:sz w:val="24"/>
                <w:szCs w:val="24"/>
              </w:rPr>
            </w:pPr>
            <w:r>
              <w:rPr>
                <w:rFonts w:ascii="宋体" w:hAnsi="宋体" w:cs="宋体" w:eastAsia="宋体" w:hint="default"/>
                <w:b/>
                <w:bCs/>
                <w:sz w:val="24"/>
                <w:szCs w:val="24"/>
              </w:rPr>
              <w:t>主要会计报表项目的异常情况及原因的说明</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
        <w:rPr>
          <w:rFonts w:ascii="宋体" w:hAnsi="宋体" w:cs="宋体" w:eastAsia="宋体" w:hint="default"/>
          <w:sz w:val="18"/>
          <w:szCs w:val="18"/>
        </w:rPr>
      </w:pPr>
    </w:p>
    <w:p>
      <w:pPr>
        <w:pStyle w:val="BodyText"/>
        <w:spacing w:line="235" w:lineRule="auto" w:before="31"/>
        <w:ind w:left="888" w:right="1331"/>
        <w:jc w:val="left"/>
      </w:pPr>
      <w:r>
        <w:rPr/>
        <w:pict>
          <v:group style="position:absolute;margin-left:84.984001pt;margin-top:-40.034679pt;width:439.9pt;height:.1pt;mso-position-horizontal-relative:page;mso-position-vertical-relative:paragraph;z-index:-1357984" coordorigin="1700,-801" coordsize="8798,2">
            <v:shape style="position:absolute;left:1700;top:-801;width:8798;height:2" coordorigin="1700,-801" coordsize="8798,0" path="m1700,-801l10497,-801e" filled="false" stroked="true" strokeweight=".72pt" strokecolor="#000000">
              <v:path arrowok="t"/>
            </v:shape>
            <w10:wrap type="none"/>
          </v:group>
        </w:pict>
      </w:r>
      <w:r>
        <w:rPr/>
        <w:t>注释</w:t>
      </w:r>
      <w:r>
        <w:rPr>
          <w:spacing w:val="-71"/>
        </w:rPr>
        <w:t> </w:t>
      </w:r>
      <w:r>
        <w:rPr>
          <w:rFonts w:ascii="Arial" w:hAnsi="Arial" w:cs="Arial" w:eastAsia="Arial" w:hint="default"/>
        </w:rPr>
        <w:t>21</w:t>
      </w:r>
      <w:r>
        <w:rPr/>
        <w:t>：应交税费年末数比年初数增加</w:t>
      </w:r>
      <w:r>
        <w:rPr>
          <w:spacing w:val="-70"/>
        </w:rPr>
        <w:t> </w:t>
      </w:r>
      <w:r>
        <w:rPr>
          <w:rFonts w:ascii="Arial" w:hAnsi="Arial" w:cs="Arial" w:eastAsia="Arial" w:hint="default"/>
        </w:rPr>
        <w:t>50.41%</w:t>
      </w:r>
      <w:r>
        <w:rPr/>
        <w:t>，主要原因为：报告期内，公司利 </w:t>
      </w:r>
      <w:r>
        <w:rPr>
          <w:spacing w:val="-5"/>
        </w:rPr>
        <w:t>润的增加带来了应交税金的增加。另外，报告期内，公司为加强对子公司的控股权，</w:t>
      </w:r>
      <w:r>
        <w:rPr>
          <w:spacing w:val="-90"/>
        </w:rPr>
        <w:t> </w:t>
      </w:r>
      <w:r>
        <w:rPr>
          <w:spacing w:val="-90"/>
        </w:rPr>
      </w:r>
      <w:r>
        <w:rPr/>
        <w:t>收购了部分公司少数股东权益，应代扣代缴的个人所得税有所增加也带来了应交税</w:t>
      </w:r>
      <w:r>
        <w:rPr/>
        <w:t> 费年末数有所增加。</w:t>
      </w:r>
    </w:p>
    <w:p>
      <w:pPr>
        <w:spacing w:line="240" w:lineRule="auto" w:before="4"/>
        <w:rPr>
          <w:rFonts w:ascii="宋体" w:hAnsi="宋体" w:cs="宋体" w:eastAsia="宋体" w:hint="default"/>
          <w:sz w:val="23"/>
          <w:szCs w:val="23"/>
        </w:rPr>
      </w:pPr>
    </w:p>
    <w:p>
      <w:pPr>
        <w:pStyle w:val="BodyText"/>
        <w:spacing w:line="312" w:lineRule="exact" w:before="0"/>
        <w:ind w:left="888" w:right="1568"/>
        <w:jc w:val="both"/>
      </w:pPr>
      <w:r>
        <w:rPr/>
        <w:t>注释 </w:t>
      </w:r>
      <w:r>
        <w:rPr>
          <w:rFonts w:ascii="Arial" w:hAnsi="Arial" w:cs="Arial" w:eastAsia="Arial" w:hint="default"/>
        </w:rPr>
        <w:t>22</w:t>
      </w:r>
      <w:r>
        <w:rPr/>
        <w:t>：其他应付款年末数比年初数增长</w:t>
      </w:r>
      <w:r>
        <w:rPr>
          <w:spacing w:val="-80"/>
        </w:rPr>
        <w:t> </w:t>
      </w:r>
      <w:r>
        <w:rPr>
          <w:rFonts w:ascii="Arial" w:hAnsi="Arial" w:cs="Arial" w:eastAsia="Arial" w:hint="default"/>
          <w:spacing w:val="-4"/>
        </w:rPr>
        <w:t>78.29%</w:t>
      </w:r>
      <w:r>
        <w:rPr>
          <w:spacing w:val="-4"/>
        </w:rPr>
        <w:t>，主要原因为：报告期内，公司</w:t>
      </w:r>
      <w:r>
        <w:rPr/>
        <w:t> </w:t>
      </w:r>
      <w:r>
        <w:rPr>
          <w:spacing w:val="-1"/>
        </w:rPr>
        <w:t>新建了较多的物流基地项目，年末应支付的工程款项大量增加，带来其他应付款的</w:t>
      </w:r>
      <w:r>
        <w:rPr>
          <w:spacing w:val="-118"/>
        </w:rPr>
        <w:t> </w:t>
      </w:r>
      <w:r>
        <w:rPr>
          <w:spacing w:val="-118"/>
        </w:rPr>
      </w:r>
      <w:r>
        <w:rPr/>
        <w:t>增加；另外，随着公司规模的扩大，收取的各项保证金及押金也有所增加。</w:t>
      </w:r>
    </w:p>
    <w:p>
      <w:pPr>
        <w:spacing w:line="240" w:lineRule="auto" w:before="1"/>
        <w:rPr>
          <w:rFonts w:ascii="宋体" w:hAnsi="宋体" w:cs="宋体" w:eastAsia="宋体" w:hint="default"/>
          <w:sz w:val="21"/>
          <w:szCs w:val="21"/>
        </w:rPr>
      </w:pPr>
    </w:p>
    <w:p>
      <w:pPr>
        <w:pStyle w:val="BodyText"/>
        <w:spacing w:line="312" w:lineRule="exact" w:before="0"/>
        <w:ind w:left="888" w:right="1436"/>
        <w:jc w:val="both"/>
      </w:pPr>
      <w:r>
        <w:rPr/>
        <w:t>注释 </w:t>
      </w:r>
      <w:r>
        <w:rPr>
          <w:rFonts w:ascii="Arial" w:hAnsi="Arial" w:cs="Arial" w:eastAsia="Arial" w:hint="default"/>
        </w:rPr>
        <w:t>23</w:t>
      </w:r>
      <w:r>
        <w:rPr/>
        <w:t>：其他流动负债年末数比年初数增长</w:t>
      </w:r>
      <w:r>
        <w:rPr>
          <w:spacing w:val="-28"/>
        </w:rPr>
        <w:t> </w:t>
      </w:r>
      <w:r>
        <w:rPr>
          <w:rFonts w:ascii="Arial" w:hAnsi="Arial" w:cs="Arial" w:eastAsia="Arial" w:hint="default"/>
        </w:rPr>
        <w:t>71.14%</w:t>
      </w:r>
      <w:r>
        <w:rPr/>
        <w:t>，主要原因为：报告期内，公 司新开店面数量的增加，带来预提的房租及水电费相应有所增加。</w:t>
      </w:r>
    </w:p>
    <w:p>
      <w:pPr>
        <w:spacing w:line="240" w:lineRule="auto" w:before="1"/>
        <w:rPr>
          <w:rFonts w:ascii="宋体" w:hAnsi="宋体" w:cs="宋体" w:eastAsia="宋体" w:hint="default"/>
          <w:sz w:val="21"/>
          <w:szCs w:val="21"/>
        </w:rPr>
      </w:pPr>
    </w:p>
    <w:p>
      <w:pPr>
        <w:pStyle w:val="BodyText"/>
        <w:spacing w:line="312" w:lineRule="exact" w:before="0"/>
        <w:ind w:left="888" w:right="1436"/>
        <w:jc w:val="both"/>
      </w:pPr>
      <w:r>
        <w:rPr/>
        <w:t>注释</w:t>
      </w:r>
      <w:r>
        <w:rPr>
          <w:spacing w:val="-52"/>
        </w:rPr>
        <w:t> </w:t>
      </w:r>
      <w:r>
        <w:rPr>
          <w:rFonts w:ascii="Arial" w:hAnsi="Arial" w:cs="Arial" w:eastAsia="Arial" w:hint="default"/>
        </w:rPr>
        <w:t>24</w:t>
      </w:r>
      <w:r>
        <w:rPr/>
        <w:t>：预计负债期末数增加，主要原因为：受日本地震影响，当地商业租金出现 波动，鉴于租赁协议的不可撤销性，使得 </w:t>
      </w:r>
      <w:r>
        <w:rPr>
          <w:rFonts w:ascii="Arial" w:hAnsi="Arial" w:cs="Arial" w:eastAsia="Arial" w:hint="default"/>
        </w:rPr>
        <w:t>LAOX</w:t>
      </w:r>
      <w:r>
        <w:rPr>
          <w:rFonts w:ascii="Arial" w:hAnsi="Arial" w:cs="Arial" w:eastAsia="Arial" w:hint="default"/>
          <w:spacing w:val="-10"/>
        </w:rPr>
        <w:t> </w:t>
      </w:r>
      <w:r>
        <w:rPr/>
        <w:t>租赁协议约定价格较市场租金高， 即承担了一个不利的亏损合同而确认的预计负债。</w:t>
      </w:r>
    </w:p>
    <w:p>
      <w:pPr>
        <w:spacing w:line="240" w:lineRule="auto" w:before="2"/>
        <w:rPr>
          <w:rFonts w:ascii="宋体" w:hAnsi="宋体" w:cs="宋体" w:eastAsia="宋体" w:hint="default"/>
          <w:sz w:val="21"/>
          <w:szCs w:val="21"/>
        </w:rPr>
      </w:pPr>
    </w:p>
    <w:p>
      <w:pPr>
        <w:pStyle w:val="BodyText"/>
        <w:spacing w:line="312" w:lineRule="exact" w:before="0"/>
        <w:ind w:left="888" w:right="1331"/>
        <w:jc w:val="left"/>
      </w:pPr>
      <w:r>
        <w:rPr/>
        <w:t>注释 </w:t>
      </w:r>
      <w:r>
        <w:rPr>
          <w:rFonts w:ascii="Arial" w:hAnsi="Arial" w:cs="Arial" w:eastAsia="Arial" w:hint="default"/>
        </w:rPr>
        <w:t>25</w:t>
      </w:r>
      <w:r>
        <w:rPr/>
        <w:t>：递延所得税负债年末数比年初数增加</w:t>
      </w:r>
      <w:r>
        <w:rPr>
          <w:spacing w:val="-67"/>
        </w:rPr>
        <w:t> </w:t>
      </w:r>
      <w:r>
        <w:rPr>
          <w:rFonts w:ascii="Arial" w:hAnsi="Arial" w:cs="Arial" w:eastAsia="Arial" w:hint="default"/>
        </w:rPr>
        <w:t>432.75%</w:t>
      </w:r>
      <w:r>
        <w:rPr/>
        <w:t>，主要原因为：报告期内， 公司对 </w:t>
      </w:r>
      <w:r>
        <w:rPr>
          <w:rFonts w:ascii="Arial" w:hAnsi="Arial" w:cs="Arial" w:eastAsia="Arial" w:hint="default"/>
        </w:rPr>
        <w:t>LAOX</w:t>
      </w:r>
      <w:r>
        <w:rPr>
          <w:rFonts w:ascii="Arial" w:hAnsi="Arial" w:cs="Arial" w:eastAsia="Arial" w:hint="default"/>
          <w:spacing w:val="-11"/>
        </w:rPr>
        <w:t> </w:t>
      </w:r>
      <w:r>
        <w:rPr/>
        <w:t>株式会社追加投资，并通过分步交易产生的非同一控制下企业合并取 得对其的实质控制权。购买日 </w:t>
      </w:r>
      <w:r>
        <w:rPr>
          <w:rFonts w:ascii="Arial" w:hAnsi="Arial" w:cs="Arial" w:eastAsia="Arial" w:hint="default"/>
        </w:rPr>
        <w:t>LAOX</w:t>
      </w:r>
      <w:r>
        <w:rPr>
          <w:rFonts w:ascii="Arial" w:hAnsi="Arial" w:cs="Arial" w:eastAsia="Arial" w:hint="default"/>
          <w:spacing w:val="-10"/>
        </w:rPr>
        <w:t> </w:t>
      </w:r>
      <w:r>
        <w:rPr/>
        <w:t>株式会社账面资产评估增值部分确认的递延所 得税负债带来年末余额较年初有所增加。</w:t>
      </w:r>
    </w:p>
    <w:p>
      <w:pPr>
        <w:spacing w:line="240" w:lineRule="auto" w:before="1"/>
        <w:rPr>
          <w:rFonts w:ascii="宋体" w:hAnsi="宋体" w:cs="宋体" w:eastAsia="宋体" w:hint="default"/>
          <w:sz w:val="21"/>
          <w:szCs w:val="21"/>
        </w:rPr>
      </w:pPr>
    </w:p>
    <w:p>
      <w:pPr>
        <w:pStyle w:val="BodyText"/>
        <w:spacing w:line="312" w:lineRule="exact" w:before="0"/>
        <w:ind w:left="888" w:right="1436"/>
        <w:jc w:val="both"/>
      </w:pPr>
      <w:r>
        <w:rPr/>
        <w:t>注释 </w:t>
      </w:r>
      <w:r>
        <w:rPr>
          <w:rFonts w:ascii="Arial" w:hAnsi="Arial" w:cs="Arial" w:eastAsia="Arial" w:hint="default"/>
        </w:rPr>
        <w:t>26</w:t>
      </w:r>
      <w:r>
        <w:rPr/>
        <w:t>：其他非流动负债年末数比年初数增加</w:t>
      </w:r>
      <w:r>
        <w:rPr>
          <w:spacing w:val="-30"/>
        </w:rPr>
        <w:t> </w:t>
      </w:r>
      <w:r>
        <w:rPr>
          <w:rFonts w:ascii="Arial" w:hAnsi="Arial" w:cs="Arial" w:eastAsia="Arial" w:hint="default"/>
        </w:rPr>
        <w:t>68.94%</w:t>
      </w:r>
      <w:r>
        <w:rPr/>
        <w:t>，主要原因为：报告期内， </w:t>
      </w:r>
      <w:r>
        <w:rPr>
          <w:spacing w:val="2"/>
        </w:rPr>
        <w:t>公司大力推广延保销售业务，以及报告期内公司收到与政府给予物流基地建设的确</w:t>
      </w:r>
      <w:r>
        <w:rPr>
          <w:spacing w:val="-109"/>
        </w:rPr>
        <w:t> </w:t>
      </w:r>
      <w:r>
        <w:rPr>
          <w:spacing w:val="-109"/>
        </w:rPr>
      </w:r>
      <w:r>
        <w:rPr/>
        <w:t>认为递延收益的补贴，由此带来年末其他非流动负债较年初有所增加。</w:t>
      </w:r>
    </w:p>
    <w:p>
      <w:pPr>
        <w:spacing w:line="240" w:lineRule="auto" w:before="1"/>
        <w:rPr>
          <w:rFonts w:ascii="宋体" w:hAnsi="宋体" w:cs="宋体" w:eastAsia="宋体" w:hint="default"/>
          <w:sz w:val="21"/>
          <w:szCs w:val="21"/>
        </w:rPr>
      </w:pPr>
    </w:p>
    <w:p>
      <w:pPr>
        <w:pStyle w:val="BodyText"/>
        <w:spacing w:line="312" w:lineRule="exact" w:before="0"/>
        <w:ind w:left="888" w:right="1315"/>
        <w:jc w:val="left"/>
      </w:pPr>
      <w:r>
        <w:rPr/>
        <w:t>注释</w:t>
      </w:r>
      <w:r>
        <w:rPr>
          <w:spacing w:val="-63"/>
        </w:rPr>
        <w:t> </w:t>
      </w:r>
      <w:r>
        <w:rPr>
          <w:rFonts w:ascii="Arial" w:hAnsi="Arial" w:cs="Arial" w:eastAsia="Arial" w:hint="default"/>
        </w:rPr>
        <w:t>27</w:t>
      </w:r>
      <w:r>
        <w:rPr/>
        <w:t>：外币报表折算差额年末数比年初增加</w:t>
      </w:r>
      <w:r>
        <w:rPr>
          <w:spacing w:val="-62"/>
        </w:rPr>
        <w:t> </w:t>
      </w:r>
      <w:r>
        <w:rPr>
          <w:rFonts w:ascii="Arial" w:hAnsi="Arial" w:cs="Arial" w:eastAsia="Arial" w:hint="default"/>
        </w:rPr>
        <w:t>101.26%</w:t>
      </w:r>
      <w:r>
        <w:rPr/>
        <w:t>，主要原因为：报告期内， </w:t>
      </w:r>
      <w:r>
        <w:rPr>
          <w:spacing w:val="-1"/>
        </w:rPr>
        <w:t>公司将香港、日本地区公司进行报表合并时，汇率变动带来外币报表折算差额增加。</w:t>
      </w:r>
    </w:p>
    <w:p>
      <w:pPr>
        <w:spacing w:line="240" w:lineRule="auto" w:before="1"/>
        <w:rPr>
          <w:rFonts w:ascii="宋体" w:hAnsi="宋体" w:cs="宋体" w:eastAsia="宋体" w:hint="default"/>
          <w:sz w:val="21"/>
          <w:szCs w:val="21"/>
        </w:rPr>
      </w:pPr>
    </w:p>
    <w:p>
      <w:pPr>
        <w:pStyle w:val="BodyText"/>
        <w:spacing w:line="312" w:lineRule="exact" w:before="0"/>
        <w:ind w:left="888" w:right="1433"/>
        <w:jc w:val="both"/>
      </w:pPr>
      <w:r>
        <w:rPr/>
        <w:t>注释</w:t>
      </w:r>
      <w:r>
        <w:rPr>
          <w:spacing w:val="-62"/>
        </w:rPr>
        <w:t> </w:t>
      </w:r>
      <w:r>
        <w:rPr>
          <w:rFonts w:ascii="Arial" w:hAnsi="Arial" w:cs="Arial" w:eastAsia="Arial" w:hint="default"/>
        </w:rPr>
        <w:t>28</w:t>
      </w:r>
      <w:r>
        <w:rPr/>
        <w:t>：营业收入与营业成本本年分别比上年同期上升</w:t>
      </w:r>
      <w:r>
        <w:rPr>
          <w:spacing w:val="-61"/>
        </w:rPr>
        <w:t> </w:t>
      </w:r>
      <w:r>
        <w:rPr>
          <w:rFonts w:ascii="Arial" w:hAnsi="Arial" w:cs="Arial" w:eastAsia="Arial" w:hint="default"/>
        </w:rPr>
        <w:t>24.35%</w:t>
      </w:r>
      <w:r>
        <w:rPr/>
        <w:t>、</w:t>
      </w:r>
      <w:r>
        <w:rPr>
          <w:rFonts w:ascii="Arial" w:hAnsi="Arial" w:cs="Arial" w:eastAsia="Arial" w:hint="default"/>
        </w:rPr>
        <w:t>22.67%</w:t>
      </w:r>
      <w:r>
        <w:rPr/>
        <w:t>，主要原 </w:t>
      </w:r>
      <w:r>
        <w:rPr>
          <w:spacing w:val="2"/>
        </w:rPr>
        <w:t>因为：报告期内，公司把握市场变化趋势，加快二三级市场连锁网络布局，营销转</w:t>
      </w:r>
      <w:r>
        <w:rPr>
          <w:spacing w:val="-109"/>
        </w:rPr>
        <w:t> </w:t>
      </w:r>
      <w:r>
        <w:rPr>
          <w:spacing w:val="-109"/>
        </w:rPr>
      </w:r>
      <w:r>
        <w:rPr>
          <w:spacing w:val="2"/>
        </w:rPr>
        <w:t>型变革取得阶段性成果，线上业务迅速成长；另外，公司与供应商合作持续深化，</w:t>
      </w:r>
      <w:r>
        <w:rPr>
          <w:spacing w:val="-109"/>
        </w:rPr>
        <w:t> </w:t>
      </w:r>
      <w:r>
        <w:rPr>
          <w:spacing w:val="-109"/>
        </w:rPr>
      </w:r>
      <w:r>
        <w:rPr>
          <w:spacing w:val="2"/>
        </w:rPr>
        <w:t>并不断创新合作模式，通过自有品牌、品牌授权、独家代理、定制包销、产品买断</w:t>
      </w:r>
      <w:r>
        <w:rPr>
          <w:spacing w:val="-109"/>
        </w:rPr>
        <w:t> </w:t>
      </w:r>
      <w:r>
        <w:rPr>
          <w:spacing w:val="-109"/>
        </w:rPr>
      </w:r>
      <w:r>
        <w:rPr>
          <w:spacing w:val="2"/>
        </w:rPr>
        <w:t>等方式进一步提升自营能力，自主产品销售规模较快提升，上述原因带来了营业收</w:t>
      </w:r>
      <w:r>
        <w:rPr>
          <w:spacing w:val="-109"/>
        </w:rPr>
        <w:t> </w:t>
      </w:r>
      <w:r>
        <w:rPr>
          <w:spacing w:val="-109"/>
        </w:rPr>
      </w:r>
      <w:r>
        <w:rPr/>
        <w:t>入、营业成本分别比上年同期有所增长。</w:t>
      </w:r>
    </w:p>
    <w:p>
      <w:pPr>
        <w:spacing w:line="240" w:lineRule="auto" w:before="1"/>
        <w:rPr>
          <w:rFonts w:ascii="宋体" w:hAnsi="宋体" w:cs="宋体" w:eastAsia="宋体" w:hint="default"/>
          <w:sz w:val="21"/>
          <w:szCs w:val="21"/>
        </w:rPr>
      </w:pPr>
    </w:p>
    <w:p>
      <w:pPr>
        <w:pStyle w:val="BodyText"/>
        <w:spacing w:line="312" w:lineRule="exact" w:before="0"/>
        <w:ind w:left="888" w:right="1436"/>
        <w:jc w:val="both"/>
      </w:pPr>
      <w:r>
        <w:rPr/>
        <w:t>注释 </w:t>
      </w:r>
      <w:r>
        <w:rPr>
          <w:rFonts w:ascii="Arial" w:hAnsi="Arial" w:cs="Arial" w:eastAsia="Arial" w:hint="default"/>
        </w:rPr>
        <w:t>29</w:t>
      </w:r>
      <w:r>
        <w:rPr/>
        <w:t>：营业税金及附加本年比上年度增长</w:t>
      </w:r>
      <w:r>
        <w:rPr>
          <w:spacing w:val="-29"/>
        </w:rPr>
        <w:t> </w:t>
      </w:r>
      <w:r>
        <w:rPr>
          <w:rFonts w:ascii="Arial" w:hAnsi="Arial" w:cs="Arial" w:eastAsia="Arial" w:hint="default"/>
        </w:rPr>
        <w:t>37.90%</w:t>
      </w:r>
      <w:r>
        <w:rPr/>
        <w:t>，主要原因为：报告期内，公 司缴纳的城建税以及地方附加税的比例有所增加，带来营业税金及附加的增长。</w:t>
      </w:r>
    </w:p>
    <w:p>
      <w:pPr>
        <w:spacing w:after="0" w:line="312" w:lineRule="exact"/>
        <w:jc w:val="both"/>
        <w:sectPr>
          <w:pgSz w:w="11910" w:h="16850"/>
          <w:pgMar w:header="1474" w:footer="956" w:top="2960" w:bottom="1140" w:left="840" w:right="0"/>
        </w:sectPr>
      </w:pPr>
    </w:p>
    <w:p>
      <w:pPr>
        <w:spacing w:line="240" w:lineRule="auto" w:before="6"/>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55"/>
        <w:gridCol w:w="8802"/>
      </w:tblGrid>
      <w:tr>
        <w:trPr>
          <w:trHeight w:val="259"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4"/>
                <w:szCs w:val="24"/>
              </w:rPr>
            </w:pPr>
            <w:r>
              <w:rPr>
                <w:rFonts w:ascii="宋体" w:hAnsi="宋体" w:cs="宋体" w:eastAsia="宋体" w:hint="default"/>
                <w:b/>
                <w:bCs/>
                <w:w w:val="99"/>
                <w:sz w:val="24"/>
                <w:szCs w:val="24"/>
              </w:rPr>
              <w:t>三</w:t>
            </w:r>
            <w:r>
              <w:rPr>
                <w:rFonts w:ascii="宋体" w:hAnsi="宋体" w:cs="宋体" w:eastAsia="宋体" w:hint="default"/>
                <w:sz w:val="24"/>
                <w:szCs w:val="24"/>
              </w:rPr>
            </w:r>
          </w:p>
        </w:tc>
        <w:tc>
          <w:tcPr>
            <w:tcW w:w="8802" w:type="dxa"/>
            <w:tcBorders>
              <w:top w:val="single" w:sz="6" w:space="0" w:color="000000"/>
              <w:left w:val="nil" w:sz="6" w:space="0" w:color="auto"/>
              <w:bottom w:val="nil" w:sz="6" w:space="0" w:color="auto"/>
              <w:right w:val="nil" w:sz="6" w:space="0" w:color="auto"/>
            </w:tcBorders>
          </w:tcPr>
          <w:p>
            <w:pPr>
              <w:pStyle w:val="TableParagraph"/>
              <w:spacing w:line="257" w:lineRule="exact"/>
              <w:ind w:right="0"/>
              <w:jc w:val="left"/>
              <w:rPr>
                <w:rFonts w:ascii="Arial" w:hAnsi="Arial" w:cs="Arial" w:eastAsia="Arial" w:hint="default"/>
                <w:sz w:val="24"/>
                <w:szCs w:val="24"/>
              </w:rPr>
            </w:pPr>
            <w:r>
              <w:rPr>
                <w:rFonts w:ascii="宋体" w:hAnsi="宋体" w:cs="宋体" w:eastAsia="宋体" w:hint="default"/>
                <w:b/>
                <w:bCs/>
                <w:sz w:val="24"/>
                <w:szCs w:val="24"/>
              </w:rPr>
              <w:t>主要会计报表项目的异常情况及原因的说明</w:t>
            </w:r>
            <w:r>
              <w:rPr>
                <w:rFonts w:ascii="Arial" w:hAnsi="Arial" w:cs="Arial" w:eastAsia="Arial" w:hint="default"/>
                <w:b/>
                <w:bCs/>
                <w:sz w:val="24"/>
                <w:szCs w:val="24"/>
              </w:rPr>
              <w:t>(</w:t>
            </w:r>
            <w:r>
              <w:rPr>
                <w:rFonts w:ascii="宋体" w:hAnsi="宋体" w:cs="宋体" w:eastAsia="宋体" w:hint="default"/>
                <w:b/>
                <w:bCs/>
                <w:sz w:val="24"/>
                <w:szCs w:val="24"/>
              </w:rPr>
              <w:t>续</w:t>
            </w:r>
            <w:r>
              <w:rPr>
                <w:rFonts w:ascii="Arial" w:hAnsi="Arial" w:cs="Arial" w:eastAsia="Arial" w:hint="default"/>
                <w:b/>
                <w:bCs/>
                <w:sz w:val="24"/>
                <w:szCs w:val="24"/>
              </w:rPr>
              <w:t>)</w:t>
            </w:r>
            <w:r>
              <w:rPr>
                <w:rFonts w:ascii="Arial" w:hAnsi="Arial" w:cs="Arial" w:eastAsia="Arial" w:hint="default"/>
                <w:sz w:val="24"/>
                <w:szCs w:val="24"/>
              </w:rPr>
            </w:r>
          </w:p>
        </w:tc>
      </w:tr>
    </w:tbl>
    <w:p>
      <w:pPr>
        <w:spacing w:line="240" w:lineRule="auto" w:before="1"/>
        <w:rPr>
          <w:rFonts w:ascii="宋体" w:hAnsi="宋体" w:cs="宋体" w:eastAsia="宋体" w:hint="default"/>
          <w:sz w:val="18"/>
          <w:szCs w:val="18"/>
        </w:rPr>
      </w:pPr>
    </w:p>
    <w:p>
      <w:pPr>
        <w:pStyle w:val="BodyText"/>
        <w:spacing w:line="312" w:lineRule="exact" w:before="56"/>
        <w:ind w:left="888" w:right="1436"/>
        <w:jc w:val="both"/>
      </w:pPr>
      <w:r>
        <w:rPr/>
        <w:t>注释 </w:t>
      </w:r>
      <w:r>
        <w:rPr>
          <w:rFonts w:ascii="Arial" w:hAnsi="Arial" w:cs="Arial" w:eastAsia="Arial" w:hint="default"/>
        </w:rPr>
        <w:t>30</w:t>
      </w:r>
      <w:r>
        <w:rPr/>
        <w:t>：销售费用本期比上年同期增长</w:t>
      </w:r>
      <w:r>
        <w:rPr>
          <w:spacing w:val="-29"/>
        </w:rPr>
        <w:t> </w:t>
      </w:r>
      <w:r>
        <w:rPr>
          <w:rFonts w:ascii="Arial" w:hAnsi="Arial" w:cs="Arial" w:eastAsia="Arial" w:hint="default"/>
        </w:rPr>
        <w:t>37.57%</w:t>
      </w:r>
      <w:r>
        <w:rPr/>
        <w:t>，主要原因为：报告期内，公司新 开店面数量有所增加，连锁规模进一步扩大。</w:t>
      </w:r>
    </w:p>
    <w:p>
      <w:pPr>
        <w:spacing w:line="240" w:lineRule="auto" w:before="5"/>
        <w:rPr>
          <w:rFonts w:ascii="宋体" w:hAnsi="宋体" w:cs="宋体" w:eastAsia="宋体" w:hint="default"/>
          <w:sz w:val="19"/>
          <w:szCs w:val="19"/>
        </w:rPr>
      </w:pPr>
    </w:p>
    <w:p>
      <w:pPr>
        <w:pStyle w:val="BodyText"/>
        <w:spacing w:line="232" w:lineRule="auto" w:before="0"/>
        <w:ind w:left="888" w:right="1436"/>
        <w:jc w:val="both"/>
      </w:pPr>
      <w:r>
        <w:rPr/>
        <w:t>注释 </w:t>
      </w:r>
      <w:r>
        <w:rPr>
          <w:rFonts w:ascii="Arial" w:hAnsi="Arial" w:cs="Arial" w:eastAsia="Arial" w:hint="default"/>
        </w:rPr>
        <w:t>31</w:t>
      </w:r>
      <w:r>
        <w:rPr/>
        <w:t>：管理费用本期比上年同期增长</w:t>
      </w:r>
      <w:r>
        <w:rPr>
          <w:spacing w:val="-29"/>
        </w:rPr>
        <w:t> </w:t>
      </w:r>
      <w:r>
        <w:rPr>
          <w:rFonts w:ascii="Arial" w:hAnsi="Arial" w:cs="Arial" w:eastAsia="Arial" w:hint="default"/>
        </w:rPr>
        <w:t>67.05%</w:t>
      </w:r>
      <w:r>
        <w:rPr/>
        <w:t>，主要原因为：报告期内，公司新 </w:t>
      </w:r>
      <w:r>
        <w:rPr>
          <w:spacing w:val="2"/>
        </w:rPr>
        <w:t>开店面的增加，经营规模和经营场所进一步扩大，南京徐庄总部的投入使用，相关</w:t>
      </w:r>
      <w:r>
        <w:rPr>
          <w:spacing w:val="-109"/>
        </w:rPr>
        <w:t> </w:t>
      </w:r>
      <w:r>
        <w:rPr>
          <w:spacing w:val="-109"/>
        </w:rPr>
      </w:r>
      <w:r>
        <w:rPr/>
        <w:t>的管理人员费用及办公费用等支出相应增加。</w:t>
      </w:r>
    </w:p>
    <w:p>
      <w:pPr>
        <w:spacing w:line="240" w:lineRule="auto" w:before="5"/>
        <w:rPr>
          <w:rFonts w:ascii="宋体" w:hAnsi="宋体" w:cs="宋体" w:eastAsia="宋体" w:hint="default"/>
          <w:sz w:val="23"/>
          <w:szCs w:val="23"/>
        </w:rPr>
      </w:pPr>
    </w:p>
    <w:p>
      <w:pPr>
        <w:pStyle w:val="BodyText"/>
        <w:spacing w:line="312" w:lineRule="exact" w:before="0"/>
        <w:ind w:left="888" w:right="1434"/>
        <w:jc w:val="both"/>
      </w:pPr>
      <w:r>
        <w:rPr/>
        <w:t>注释 </w:t>
      </w:r>
      <w:r>
        <w:rPr>
          <w:rFonts w:ascii="Arial" w:hAnsi="Arial" w:cs="Arial" w:eastAsia="Arial" w:hint="default"/>
        </w:rPr>
        <w:t>32</w:t>
      </w:r>
      <w:r>
        <w:rPr/>
        <w:t>：营业外收入本期比上年同期增长</w:t>
      </w:r>
      <w:r>
        <w:rPr>
          <w:spacing w:val="-27"/>
        </w:rPr>
        <w:t> </w:t>
      </w:r>
      <w:r>
        <w:rPr>
          <w:rFonts w:ascii="Arial" w:hAnsi="Arial" w:cs="Arial" w:eastAsia="Arial" w:hint="default"/>
        </w:rPr>
        <w:t>62.22%</w:t>
      </w:r>
      <w:r>
        <w:rPr/>
        <w:t>，主要原因为：本报告期内，收 到的各地政府给予的企业扶持资金有所增加。</w:t>
      </w:r>
    </w:p>
    <w:p>
      <w:pPr>
        <w:spacing w:after="0" w:line="312" w:lineRule="exact"/>
        <w:jc w:val="both"/>
        <w:sectPr>
          <w:pgSz w:w="11910" w:h="16850"/>
          <w:pgMar w:header="1474" w:footer="956" w:top="2960" w:bottom="1140" w:left="840" w:right="0"/>
        </w:sectPr>
      </w:pPr>
    </w:p>
    <w:p>
      <w:pPr>
        <w:spacing w:before="33"/>
        <w:ind w:left="5622" w:right="737"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34.75pt;height:.75pt;mso-position-horizontal-relative:char;mso-position-vertical-relative:line" coordorigin="0,0" coordsize="8695,15">
            <v:group style="position:absolute;left:7;top:7;width:8680;height:2" coordorigin="7,7" coordsize="8680,2">
              <v:shape style="position:absolute;left:7;top:7;width:8680;height:2" coordorigin="7,7" coordsize="8680,0" path="m7,7l868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tabs>
          <w:tab w:pos="4614" w:val="left" w:leader="none"/>
        </w:tabs>
        <w:spacing w:line="240" w:lineRule="auto" w:before="0"/>
        <w:ind w:left="3013" w:right="737"/>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6"/>
          <w:szCs w:val="36"/>
        </w:rPr>
      </w:pPr>
    </w:p>
    <w:p>
      <w:pPr>
        <w:pStyle w:val="BodyText"/>
        <w:spacing w:line="240" w:lineRule="auto" w:before="0"/>
        <w:ind w:left="624" w:right="737"/>
        <w:jc w:val="left"/>
      </w:pPr>
      <w:r>
        <w:rPr/>
        <w:t>公司在办公地点备置有完整、齐备的下列文件：</w:t>
      </w:r>
    </w:p>
    <w:p>
      <w:pPr>
        <w:pStyle w:val="BodyText"/>
        <w:spacing w:line="338" w:lineRule="auto" w:before="154"/>
        <w:ind w:left="144" w:right="737" w:firstLine="479"/>
        <w:jc w:val="left"/>
      </w:pPr>
      <w:r>
        <w:rPr>
          <w:rFonts w:ascii="Times New Roman" w:hAnsi="Times New Roman" w:cs="Times New Roman" w:eastAsia="Times New Roman" w:hint="default"/>
          <w:spacing w:val="2"/>
        </w:rPr>
        <w:t>1</w:t>
      </w:r>
      <w:r>
        <w:rPr>
          <w:spacing w:val="2"/>
        </w:rPr>
        <w:t>、载有公司负责人、主管会计工作负责人、会计机构负责人签名并盖章的会</w:t>
      </w:r>
      <w:r>
        <w:rPr/>
        <w:t> 计报表。</w:t>
      </w:r>
    </w:p>
    <w:p>
      <w:pPr>
        <w:pStyle w:val="BodyText"/>
        <w:spacing w:line="338" w:lineRule="auto" w:before="56"/>
        <w:ind w:left="144" w:right="737" w:firstLine="479"/>
        <w:jc w:val="left"/>
      </w:pPr>
      <w:r>
        <w:rPr>
          <w:rFonts w:ascii="Times New Roman" w:hAnsi="Times New Roman" w:cs="Times New Roman" w:eastAsia="Times New Roman" w:hint="default"/>
          <w:spacing w:val="2"/>
        </w:rPr>
        <w:t>2</w:t>
      </w:r>
      <w:r>
        <w:rPr>
          <w:spacing w:val="2"/>
        </w:rPr>
        <w:t>、载有普华永道中天会计师事务所有限公司盖章、注册会计师签名并盖章的</w:t>
      </w:r>
      <w:r>
        <w:rPr/>
        <w:t> 审计报告原件。</w:t>
      </w:r>
    </w:p>
    <w:p>
      <w:pPr>
        <w:pStyle w:val="BodyText"/>
        <w:spacing w:line="338" w:lineRule="auto" w:before="55"/>
        <w:ind w:left="144" w:right="1639" w:firstLine="479"/>
        <w:jc w:val="left"/>
      </w:pPr>
      <w:r>
        <w:rPr>
          <w:rFonts w:ascii="Times New Roman" w:hAnsi="Times New Roman" w:cs="Times New Roman" w:eastAsia="Times New Roman" w:hint="default"/>
          <w:spacing w:val="-23"/>
        </w:rPr>
        <w:t>3</w:t>
      </w:r>
      <w:r>
        <w:rPr>
          <w:spacing w:val="-23"/>
        </w:rPr>
        <w:t>、报告期内在《证券时报》、《中国证券报》、《上海证券报》、《证券日报》、巨</w:t>
      </w:r>
      <w:r>
        <w:rPr/>
        <w:t> 潮资讯网上公开披露过的所有公司文件的正本及公告的原稿。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BodyText"/>
        <w:spacing w:line="357" w:lineRule="auto" w:before="0"/>
        <w:ind w:left="5475" w:right="2151"/>
        <w:jc w:val="center"/>
      </w:pPr>
      <w:r>
        <w:rPr/>
        <w:t>苏宁电器股份有限公司 董事长： 张近东</w:t>
      </w:r>
    </w:p>
    <w:p>
      <w:pPr>
        <w:pStyle w:val="BodyText"/>
        <w:spacing w:line="240" w:lineRule="auto" w:before="36"/>
        <w:ind w:left="5526" w:right="2151"/>
        <w:jc w:val="center"/>
      </w:pP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一二年三月二十九日</w:t>
      </w:r>
    </w:p>
    <w:sectPr>
      <w:headerReference w:type="default" r:id="rId103"/>
      <w:footerReference w:type="default" r:id="rId104"/>
      <w:pgSz w:w="11910" w:h="16840"/>
      <w:pgMar w:header="0" w:footer="956" w:top="720" w:bottom="1140" w:left="15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黑体">
    <w:altName w:val="黑体"/>
    <w:charset w:val="86"/>
    <w:family w:val="modern"/>
    <w:pitch w:val="fixed"/>
  </w:font>
  <w:font w:name="Wingdings">
    <w:altName w:val="Wingdings"/>
    <w:charset w:val="2"/>
    <w:family w:val="auto"/>
    <w:pitch w:val="variable"/>
  </w:font>
  <w:font w:name="Georgia">
    <w:altName w:val="Georgia"/>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744" type="#_x0000_t75" stroked="false">
          <v:imagedata r:id="rId1" o:title=""/>
        </v:shape>
      </w:pict>
    </w:r>
    <w:r>
      <w:rPr/>
      <w:pict>
        <v:shape style="position:absolute;margin-left:291.209991pt;margin-top:795.397949pt;width:13.15pt;height:11pt;mso-position-horizontal-relative:page;mso-position-vertical-relative:page;z-index:-1360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312" type="#_x0000_t75" stroked="false">
          <v:imagedata r:id="rId1" o:title=""/>
        </v:shape>
      </w:pict>
    </w:r>
    <w:r>
      <w:rPr/>
      <w:pict>
        <v:shape style="position:absolute;margin-left:291.209991pt;margin-top:795.397949pt;width:13.15pt;height:11pt;mso-position-horizontal-relative:page;mso-position-vertical-relative:page;z-index:-1360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264" type="#_x0000_t75" stroked="false">
          <v:imagedata r:id="rId1" o:title=""/>
        </v:shape>
      </w:pict>
    </w:r>
    <w:r>
      <w:rPr/>
      <w:pict>
        <v:shape style="position:absolute;margin-left:71.024002pt;margin-top:774.807495pt;width:453.55pt;height:31.6pt;mso-position-horizontal-relative:page;mso-position-vertical-relative:page;z-index:-1360240" type="#_x0000_t202" filled="false" stroked="false">
          <v:textbox inset="0,0,0,0">
            <w:txbxContent>
              <w:p>
                <w:pPr>
                  <w:pStyle w:val="BodyText"/>
                  <w:spacing w:line="260" w:lineRule="exact" w:before="0"/>
                  <w:ind w:left="0" w:right="0"/>
                  <w:jc w:val="center"/>
                </w:pPr>
                <w:r>
                  <w:rPr/>
                  <w:t>公司首家乐购仕品牌店面</w:t>
                </w:r>
                <w:r>
                  <w:rPr>
                    <w:rFonts w:ascii="宋体" w:hAnsi="宋体" w:cs="宋体" w:eastAsia="宋体" w:hint="default"/>
                  </w:rPr>
                  <w:t>-</w:t>
                </w:r>
                <w:r>
                  <w:rPr/>
                  <w:t>南京乐购仕生活广场于</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11"/>
                  </w:rPr>
                  <w:t>日盛大开业，同时北</w:t>
                </w:r>
              </w:p>
              <w:p>
                <w:pPr>
                  <w:spacing w:before="148"/>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216" type="#_x0000_t75" stroked="false">
          <v:imagedata r:id="rId1" o:title=""/>
        </v:shape>
      </w:pict>
    </w:r>
    <w:r>
      <w:rPr/>
      <w:pict>
        <v:shape style="position:absolute;margin-left:71.024002pt;margin-top:774.807495pt;width:159pt;height:14.7pt;mso-position-horizontal-relative:page;mso-position-vertical-relative:page;z-index:-1360192" type="#_x0000_t202" filled="false" stroked="false">
          <v:textbox inset="0,0,0,0">
            <w:txbxContent>
              <w:p>
                <w:pPr>
                  <w:pStyle w:val="BodyText"/>
                  <w:spacing w:line="278" w:lineRule="exact" w:before="0"/>
                  <w:ind w:left="20" w:right="0"/>
                  <w:jc w:val="left"/>
                </w:pPr>
                <w:r>
                  <w:rPr/>
                  <w:t>善，多媒体应用率达到</w:t>
                </w:r>
                <w:r>
                  <w:rPr>
                    <w:spacing w:val="-61"/>
                  </w:rPr>
                  <w:t> </w:t>
                </w:r>
                <w:r>
                  <w:rPr>
                    <w:rFonts w:ascii="Times New Roman" w:hAnsi="Times New Roman" w:cs="Times New Roman" w:eastAsia="Times New Roman" w:hint="default"/>
                  </w:rPr>
                  <w:t>50%</w:t>
                </w:r>
                <w:r>
                  <w:rPr/>
                  <w:t>。</w:t>
                </w:r>
              </w:p>
            </w:txbxContent>
          </v:textbox>
          <w10:wrap type="none"/>
        </v:shape>
      </w:pict>
    </w:r>
    <w:r>
      <w:rPr/>
      <w:pict>
        <v:shape style="position:absolute;margin-left:291.209991pt;margin-top:795.397949pt;width:13.15pt;height:11pt;mso-position-horizontal-relative:page;mso-position-vertical-relative:page;z-index:-136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144" type="#_x0000_t75" stroked="false">
          <v:imagedata r:id="rId1" o:title=""/>
        </v:shape>
      </w:pict>
    </w:r>
    <w:r>
      <w:rPr/>
      <w:pict>
        <v:shape style="position:absolute;margin-left:71.024002pt;margin-top:774.807495pt;width:453.5pt;height:31.6pt;mso-position-horizontal-relative:page;mso-position-vertical-relative:page;z-index:-1360120" type="#_x0000_t202" filled="false" stroked="false">
          <v:textbox inset="0,0,0,0">
            <w:txbxContent>
              <w:p>
                <w:pPr>
                  <w:pStyle w:val="BodyText"/>
                  <w:spacing w:line="278" w:lineRule="exact" w:before="0"/>
                  <w:ind w:left="0" w:right="0"/>
                  <w:jc w:val="center"/>
                  <w:rPr>
                    <w:rFonts w:ascii="Times New Roman" w:hAnsi="Times New Roman" w:cs="Times New Roman" w:eastAsia="Times New Roman" w:hint="default"/>
                  </w:rPr>
                </w:pPr>
                <w:r>
                  <w:rPr/>
                  <w:t>子商务有限公</w:t>
                </w:r>
                <w:r>
                  <w:rPr>
                    <w:spacing w:val="-17"/>
                  </w:rPr>
                  <w:t>司</w:t>
                </w:r>
                <w:r>
                  <w:rPr/>
                  <w:t>（以下简</w:t>
                </w:r>
                <w:r>
                  <w:rPr>
                    <w:spacing w:val="-17"/>
                  </w:rPr>
                  <w:t>称</w:t>
                </w:r>
                <w:r>
                  <w:rPr/>
                  <w:t>“苏宁易购</w:t>
                </w:r>
                <w:r>
                  <w:rPr>
                    <w:spacing w:val="-120"/>
                  </w:rPr>
                  <w:t>”</w:t>
                </w:r>
                <w:r>
                  <w:rPr>
                    <w:spacing w:val="-17"/>
                  </w:rPr>
                  <w:t>）</w:t>
                </w:r>
                <w:r>
                  <w:rPr>
                    <w:spacing w:val="-3"/>
                  </w:rPr>
                  <w:t>作</w:t>
                </w:r>
                <w:r>
                  <w:rPr/>
                  <w:t>为</w:t>
                </w:r>
                <w:r>
                  <w:rPr>
                    <w:spacing w:val="-60"/>
                  </w:rPr>
                  <w:t> </w:t>
                </w:r>
                <w:r>
                  <w:rPr>
                    <w:rFonts w:ascii="Times New Roman" w:hAnsi="Times New Roman" w:cs="Times New Roman" w:eastAsia="Times New Roman" w:hint="default"/>
                    <w:spacing w:val="-2"/>
                  </w:rPr>
                  <w:t>B</w:t>
                </w:r>
                <w:r>
                  <w:rPr>
                    <w:rFonts w:ascii="Times New Roman" w:hAnsi="Times New Roman" w:cs="Times New Roman" w:eastAsia="Times New Roman" w:hint="default"/>
                  </w:rPr>
                  <w:t>2C </w:t>
                </w:r>
                <w:r>
                  <w:rPr/>
                  <w:t>业务总部</w:t>
                </w:r>
                <w:r>
                  <w:rPr>
                    <w:spacing w:val="-17"/>
                  </w:rPr>
                  <w:t>，</w:t>
                </w:r>
                <w:r>
                  <w:rPr/>
                  <w:t>在全国范围内搭建</w:t>
                </w:r>
                <w:r>
                  <w:rPr>
                    <w:spacing w:val="-60"/>
                  </w:rPr>
                  <w:t> </w:t>
                </w:r>
                <w:r>
                  <w:rPr>
                    <w:rFonts w:ascii="Times New Roman" w:hAnsi="Times New Roman" w:cs="Times New Roman" w:eastAsia="Times New Roman" w:hint="default"/>
                    <w:spacing w:val="-2"/>
                  </w:rPr>
                  <w:t>B</w:t>
                </w:r>
                <w:r>
                  <w:rPr>
                    <w:rFonts w:ascii="Times New Roman" w:hAnsi="Times New Roman" w:cs="Times New Roman" w:eastAsia="Times New Roman" w:hint="default"/>
                  </w:rPr>
                  <w:t>2C</w:t>
                </w:r>
              </w:p>
              <w:p>
                <w:pPr>
                  <w:spacing w:before="130"/>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096" type="#_x0000_t75" stroked="false">
          <v:imagedata r:id="rId1" o:title=""/>
        </v:shape>
      </w:pict>
    </w:r>
    <w:r>
      <w:rPr/>
      <w:pict>
        <v:shape style="position:absolute;margin-left:291.209991pt;margin-top:795.397949pt;width:13.15pt;height:11pt;mso-position-horizontal-relative:page;mso-position-vertical-relative:page;z-index:-1360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5.397949pt;width:13.15pt;height:11pt;mso-position-horizontal-relative:page;mso-position-vertical-relative:page;z-index:-1360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024" type="#_x0000_t75" stroked="false">
          <v:imagedata r:id="rId1" o:title=""/>
        </v:shape>
      </w:pict>
    </w:r>
    <w:r>
      <w:rPr/>
      <w:pict>
        <v:shape style="position:absolute;margin-left:291.209991pt;margin-top:795.397949pt;width:13.15pt;height:11pt;mso-position-horizontal-relative:page;mso-position-vertical-relative:page;z-index:-1360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976" type="#_x0000_t75" stroked="false">
          <v:imagedata r:id="rId1" o:title=""/>
        </v:shape>
      </w:pict>
    </w:r>
    <w:r>
      <w:rPr/>
      <w:pict>
        <v:shape style="position:absolute;margin-left:95.024002pt;margin-top:774.807495pt;width:429.45pt;height:31.6pt;mso-position-horizontal-relative:page;mso-position-vertical-relative:page;z-index:-1359952" type="#_x0000_t202" filled="false" stroked="false">
          <v:textbox inset="0,0,0,0">
            <w:txbxContent>
              <w:p>
                <w:pPr>
                  <w:pStyle w:val="BodyText"/>
                  <w:spacing w:line="260" w:lineRule="exact" w:before="0"/>
                  <w:ind w:left="20" w:right="0"/>
                  <w:jc w:val="left"/>
                </w:pPr>
                <w:r>
                  <w:rPr>
                    <w:spacing w:val="-3"/>
                  </w:rPr>
                  <w:t>在企业的发展历程中，不断寻找新的业务增长点和更优化的商业盈利模式是保持长</w:t>
                </w:r>
              </w:p>
              <w:p>
                <w:pPr>
                  <w:spacing w:before="148"/>
                  <w:ind w:left="0" w:right="476"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928" type="#_x0000_t75" stroked="false">
          <v:imagedata r:id="rId1" o:title=""/>
        </v:shape>
      </w:pict>
    </w:r>
    <w:r>
      <w:rPr/>
      <w:pict>
        <v:shape style="position:absolute;margin-left:71.024002pt;margin-top:774.807495pt;width:453.35pt;height:31.6pt;mso-position-horizontal-relative:page;mso-position-vertical-relative:page;z-index:-1359904" type="#_x0000_t202" filled="false" stroked="false">
          <v:textbox inset="0,0,0,0">
            <w:txbxContent>
              <w:p>
                <w:pPr>
                  <w:pStyle w:val="BodyText"/>
                  <w:spacing w:line="260" w:lineRule="exact" w:before="0"/>
                  <w:ind w:left="0" w:right="0"/>
                  <w:jc w:val="center"/>
                </w:pPr>
                <w:r>
                  <w:rPr>
                    <w:spacing w:val="-3"/>
                  </w:rPr>
                  <w:t>供更多的内容、增值服务、解决方案、技术服务、物流服务等全面的服务内容。借助于</w:t>
                </w:r>
              </w:p>
              <w:p>
                <w:pPr>
                  <w:spacing w:before="148"/>
                  <w:ind w:left="3"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880" type="#_x0000_t75" stroked="false">
          <v:imagedata r:id="rId1" o:title=""/>
        </v:shape>
      </w:pict>
    </w:r>
    <w:r>
      <w:rPr/>
      <w:pict>
        <v:shape style="position:absolute;margin-left:71.024002pt;margin-top:774.807495pt;width:453.35pt;height:31.6pt;mso-position-horizontal-relative:page;mso-position-vertical-relative:page;z-index:-1359856" type="#_x0000_t202" filled="false" stroked="false">
          <v:textbox inset="0,0,0,0">
            <w:txbxContent>
              <w:p>
                <w:pPr>
                  <w:pStyle w:val="BodyText"/>
                  <w:spacing w:line="260" w:lineRule="exact" w:before="0"/>
                  <w:ind w:left="0" w:right="0"/>
                  <w:jc w:val="center"/>
                </w:pPr>
                <w:r>
                  <w:rPr>
                    <w:spacing w:val="-3"/>
                  </w:rPr>
                  <w:t>速度的同时，公司将更加注重对店面的开设成本、经济效益的考核分析，着重单店经营</w:t>
                </w:r>
              </w:p>
              <w:p>
                <w:pPr>
                  <w:spacing w:before="148"/>
                  <w:ind w:left="3"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696" type="#_x0000_t75" stroked="false">
          <v:imagedata r:id="rId1" o:title=""/>
        </v:shape>
      </w:pict>
    </w:r>
    <w:r>
      <w:rPr/>
      <w:pict>
        <v:shape style="position:absolute;margin-left:292.209991pt;margin-top:795.397949pt;width:11.15pt;height:11pt;mso-position-horizontal-relative:page;mso-position-vertical-relative:page;z-index:-1360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832" type="#_x0000_t75" stroked="false">
          <v:imagedata r:id="rId1" o:title=""/>
        </v:shape>
      </w:pict>
    </w:r>
    <w:r>
      <w:rPr/>
      <w:pict>
        <v:shape style="position:absolute;margin-left:291.209991pt;margin-top:795.397949pt;width:13.15pt;height:11pt;mso-position-horizontal-relative:page;mso-position-vertical-relative:page;z-index:-135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784" type="#_x0000_t75" stroked="false">
          <v:imagedata r:id="rId1" o:title=""/>
        </v:shape>
      </w:pict>
    </w:r>
    <w:r>
      <w:rPr/>
      <w:pict>
        <v:shape style="position:absolute;margin-left:291.209991pt;margin-top:795.397949pt;width:13.15pt;height:11pt;mso-position-horizontal-relative:page;mso-position-vertical-relative:page;z-index:-1359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736" type="#_x0000_t75" stroked="false">
          <v:imagedata r:id="rId1" o:title=""/>
        </v:shape>
      </w:pict>
    </w:r>
    <w:r>
      <w:rPr/>
      <w:pict>
        <v:shape style="position:absolute;margin-left:291.209991pt;margin-top:795.397949pt;width:13.15pt;height:11pt;mso-position-horizontal-relative:page;mso-position-vertical-relative:page;z-index:-1359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688" type="#_x0000_t75" stroked="false">
          <v:imagedata r:id="rId1" o:title=""/>
        </v:shape>
      </w:pict>
    </w:r>
    <w:r>
      <w:rPr/>
      <w:pict>
        <v:shape style="position:absolute;margin-left:292.209991pt;margin-top:795.397949pt;width:11.15pt;height:11pt;mso-position-horizontal-relative:page;mso-position-vertical-relative:page;z-index:-1359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66</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5.397949pt;width:13.15pt;height:11pt;mso-position-horizontal-relative:page;mso-position-vertical-relative:page;z-index:-1359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616" type="#_x0000_t75" stroked="false">
          <v:imagedata r:id="rId1" o:title=""/>
        </v:shape>
      </w:pict>
    </w:r>
    <w:r>
      <w:rPr/>
      <w:pict>
        <v:shape style="position:absolute;margin-left:291.209991pt;margin-top:795.397949pt;width:13.15pt;height:11pt;mso-position-horizontal-relative:page;mso-position-vertical-relative:page;z-index:-1359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568" type="#_x0000_t75" stroked="false">
          <v:imagedata r:id="rId1" o:title=""/>
        </v:shape>
      </w:pict>
    </w:r>
    <w:r>
      <w:rPr/>
      <w:pict>
        <v:shape style="position:absolute;margin-left:95.024002pt;margin-top:774.807495pt;width:429.35pt;height:31.6pt;mso-position-horizontal-relative:page;mso-position-vertical-relative:page;z-index:-1359544" type="#_x0000_t202" filled="false" stroked="false">
          <v:textbox inset="0,0,0,0">
            <w:txbxContent>
              <w:p>
                <w:pPr>
                  <w:pStyle w:val="BodyText"/>
                  <w:spacing w:line="260" w:lineRule="exact" w:before="0"/>
                  <w:ind w:left="20" w:right="0"/>
                  <w:jc w:val="left"/>
                </w:pPr>
                <w:r>
                  <w:rPr>
                    <w:spacing w:val="-3"/>
                  </w:rPr>
                  <w:t>报告期内，公司在董事会的领导下，各位董事、监事、高级管理人员密切配合，带</w:t>
                </w:r>
              </w:p>
              <w:p>
                <w:pPr>
                  <w:spacing w:before="148"/>
                  <w:ind w:left="0" w:right="474"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520" type="#_x0000_t75" stroked="false">
          <v:imagedata r:id="rId1" o:title=""/>
        </v:shape>
      </w:pict>
    </w:r>
    <w:r>
      <w:rPr/>
      <w:pict>
        <v:shape style="position:absolute;margin-left:291.209991pt;margin-top:795.397949pt;width:13.15pt;height:11pt;mso-position-horizontal-relative:page;mso-position-vertical-relative:page;z-index:-1359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472" type="#_x0000_t75" stroked="false">
          <v:imagedata r:id="rId1" o:title=""/>
        </v:shape>
      </w:pict>
    </w:r>
    <w:r>
      <w:rPr/>
      <w:pict>
        <v:shape style="position:absolute;margin-left:291.209991pt;margin-top:795.397949pt;width:13.15pt;height:11pt;mso-position-horizontal-relative:page;mso-position-vertical-relative:page;z-index:-1359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376" type="#_x0000_t75" stroked="false">
          <v:imagedata r:id="rId1" o:title=""/>
        </v:shape>
      </w:pict>
    </w:r>
    <w:r>
      <w:rPr/>
      <w:pict>
        <v:shape style="position:absolute;margin-left:292.209991pt;margin-top:795.397949pt;width:11.15pt;height:11pt;mso-position-horizontal-relative:page;mso-position-vertical-relative:page;z-index:-13593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648" type="#_x0000_t75" stroked="false">
          <v:imagedata r:id="rId1" o:title=""/>
        </v:shape>
      </w:pict>
    </w:r>
    <w:r>
      <w:rPr/>
      <w:pict>
        <v:shape style="position:absolute;margin-left:291.209991pt;margin-top:795.397949pt;width:13.15pt;height:11pt;mso-position-horizontal-relative:page;mso-position-vertical-relative:page;z-index:-1360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280" type="#_x0000_t75" stroked="false">
          <v:imagedata r:id="rId1" o:title=""/>
        </v:shape>
      </w:pict>
    </w:r>
    <w:r>
      <w:rPr/>
      <w:pict>
        <v:shape style="position:absolute;margin-left:95.024002pt;margin-top:774.44751pt;width:429.35pt;height:31.95pt;mso-position-horizontal-relative:page;mso-position-vertical-relative:page;z-index:-1359256" type="#_x0000_t202" filled="false" stroked="false">
          <v:textbox inset="0,0,0,0">
            <w:txbxContent>
              <w:p>
                <w:pPr>
                  <w:pStyle w:val="BodyText"/>
                  <w:spacing w:line="278" w:lineRule="exact" w:before="0"/>
                  <w:ind w:left="20" w:right="0"/>
                  <w:jc w:val="left"/>
                </w:pPr>
                <w:r>
                  <w:rPr>
                    <w:spacing w:val="-3"/>
                  </w:rPr>
                  <w:t>根据《企业会计准则第</w:t>
                </w:r>
                <w:r>
                  <w:rPr>
                    <w:spacing w:val="-73"/>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金融工具确认和计量》中关于公允价值确定的相关规</w:t>
                </w:r>
              </w:p>
              <w:p>
                <w:pPr>
                  <w:spacing w:before="137"/>
                  <w:ind w:left="0" w:right="475" w:firstLine="0"/>
                  <w:jc w:val="center"/>
                  <w:rPr>
                    <w:rFonts w:ascii="Times New Roman" w:hAnsi="Times New Roman" w:cs="Times New Roman" w:eastAsia="Times New Roman" w:hint="default"/>
                    <w:sz w:val="18"/>
                    <w:szCs w:val="18"/>
                  </w:rPr>
                </w:pPr>
                <w:r>
                  <w:rPr>
                    <w:rFonts w:ascii="Times New Roman"/>
                    <w:sz w:val="18"/>
                  </w:rPr>
                  <w:t>82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232" type="#_x0000_t75" stroked="false">
          <v:imagedata r:id="rId1" o:title=""/>
        </v:shape>
      </w:pict>
    </w:r>
    <w:r>
      <w:rPr/>
      <w:pict>
        <v:shape style="position:absolute;margin-left:71.024002pt;margin-top:763.407471pt;width:453.8pt;height:14.7pt;mso-position-horizontal-relative:page;mso-position-vertical-relative:page;z-index:-1359208" type="#_x0000_t202" filled="false" stroked="false">
          <v:textbox inset="0,0,0,0">
            <w:txbxContent>
              <w:p>
                <w:pPr>
                  <w:pStyle w:val="BodyText"/>
                  <w:spacing w:line="278" w:lineRule="exact" w:before="0"/>
                  <w:ind w:left="20" w:right="0"/>
                  <w:jc w:val="left"/>
                </w:pPr>
                <w:r>
                  <w:rPr/>
                  <w:t>股股份，发行价格为</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13"/>
                  </w:rPr>
                  <w:t> </w:t>
                </w:r>
                <w:r>
                  <w:rPr/>
                  <w:t>日元</w:t>
                </w:r>
                <w:r>
                  <w:rPr>
                    <w:rFonts w:ascii="Times New Roman" w:hAnsi="Times New Roman" w:cs="Times New Roman" w:eastAsia="Times New Roman" w:hint="default"/>
                  </w:rPr>
                  <w:t>/</w:t>
                </w:r>
                <w:r>
                  <w:rPr/>
                  <w:t>股，募集资金总额</w:t>
                </w:r>
                <w:r>
                  <w:rPr>
                    <w:spacing w:val="-47"/>
                  </w:rPr>
                  <w:t> </w:t>
                </w:r>
                <w:r>
                  <w:rPr>
                    <w:rFonts w:ascii="Times New Roman" w:hAnsi="Times New Roman" w:cs="Times New Roman" w:eastAsia="Times New Roman" w:hint="default"/>
                  </w:rPr>
                  <w:t>9,000,005,000</w:t>
                </w:r>
                <w:r>
                  <w:rPr>
                    <w:rFonts w:ascii="Times New Roman" w:hAnsi="Times New Roman" w:cs="Times New Roman" w:eastAsia="Times New Roman" w:hint="default"/>
                    <w:spacing w:val="13"/>
                  </w:rPr>
                  <w:t> </w:t>
                </w:r>
                <w:r>
                  <w:rPr/>
                  <w:t>日元（约</w:t>
                </w:r>
                <w:r>
                  <w:rPr>
                    <w:spacing w:val="-46"/>
                  </w:rPr>
                  <w:t> </w:t>
                </w:r>
                <w:r>
                  <w:rPr>
                    <w:rFonts w:ascii="Times New Roman" w:hAnsi="Times New Roman" w:cs="Times New Roman" w:eastAsia="Times New Roman" w:hint="default"/>
                  </w:rPr>
                  <w:t>7.21</w:t>
                </w:r>
                <w:r>
                  <w:rPr>
                    <w:rFonts w:ascii="Times New Roman" w:hAnsi="Times New Roman" w:cs="Times New Roman" w:eastAsia="Times New Roman" w:hint="default"/>
                    <w:spacing w:val="13"/>
                  </w:rPr>
                  <w:t> </w:t>
                </w:r>
                <w:r>
                  <w:rPr/>
                  <w:t>亿元人民</w:t>
                </w:r>
              </w:p>
            </w:txbxContent>
          </v:textbox>
          <w10:wrap type="none"/>
        </v:shape>
      </w:pict>
    </w:r>
    <w:r>
      <w:rPr/>
      <w:pict>
        <v:shape style="position:absolute;margin-left:292.209991pt;margin-top:795.397949pt;width:11.15pt;height:11pt;mso-position-horizontal-relative:page;mso-position-vertical-relative:page;z-index:-1359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83</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160" type="#_x0000_t75" stroked="false">
          <v:imagedata r:id="rId1" o:title=""/>
        </v:shape>
      </w:pict>
    </w:r>
    <w:r>
      <w:rPr/>
      <w:pict>
        <v:shape style="position:absolute;margin-left:291.209991pt;margin-top:795.397949pt;width:13.15pt;height:11pt;mso-position-horizontal-relative:page;mso-position-vertical-relative:page;z-index:-1359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112" type="#_x0000_t75" stroked="false">
          <v:imagedata r:id="rId1" o:title=""/>
        </v:shape>
      </w:pict>
    </w:r>
    <w:r>
      <w:rPr/>
      <w:pict>
        <v:shape style="position:absolute;margin-left:291.209991pt;margin-top:795.397949pt;width:13.15pt;height:11pt;mso-position-horizontal-relative:page;mso-position-vertical-relative:page;z-index:-1359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064" type="#_x0000_t75" stroked="false">
          <v:imagedata r:id="rId1" o:title=""/>
        </v:shape>
      </w:pict>
    </w:r>
    <w:r>
      <w:rPr/>
      <w:pict>
        <v:shape style="position:absolute;margin-left:292.209991pt;margin-top:795.397949pt;width:11.15pt;height:11pt;mso-position-horizontal-relative:page;mso-position-vertical-relative:page;z-index:-1359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9016" type="#_x0000_t75" stroked="false">
          <v:imagedata r:id="rId1" o:title=""/>
        </v:shape>
      </w:pict>
    </w:r>
    <w:r>
      <w:rPr/>
      <w:pict>
        <v:shape style="position:absolute;margin-left:291.209991pt;margin-top:795.397949pt;width:13.15pt;height:11pt;mso-position-horizontal-relative:page;mso-position-vertical-relative:page;z-index:-1358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5.397949pt;width:13.15pt;height:11pt;mso-position-horizontal-relative:page;mso-position-vertical-relative:page;z-index:-1358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8920" type="#_x0000_t75" stroked="false">
          <v:imagedata r:id="rId1" o:title=""/>
        </v:shape>
      </w:pict>
    </w:r>
    <w:r>
      <w:rPr/>
      <w:pict>
        <v:shape style="position:absolute;margin-left:298.429993pt;margin-top:795.397949pt;width:13.15pt;height:11pt;mso-position-horizontal-relative:page;mso-position-vertical-relative:page;z-index:-1358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8800" type="#_x0000_t75" stroked="false">
          <v:imagedata r:id="rId1" o:title=""/>
        </v:shape>
      </w:pict>
    </w:r>
    <w:r>
      <w:rPr/>
      <w:pict>
        <v:shape style="position:absolute;margin-left:297.149994pt;margin-top:795.397949pt;width:15.7pt;height:11pt;mso-position-horizontal-relative:page;mso-position-vertical-relative:page;z-index:-1358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8752" type="#_x0000_t75" stroked="false">
          <v:imagedata r:id="rId1" o:title=""/>
        </v:shape>
      </w:pict>
    </w:r>
    <w:r>
      <w:rPr/>
      <w:pict>
        <v:shape style="position:absolute;margin-left:296.130005pt;margin-top:795.397949pt;width:17.7pt;height:11pt;mso-position-horizontal-relative:page;mso-position-vertical-relative:page;z-index:-1358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600" type="#_x0000_t75" stroked="false">
          <v:imagedata r:id="rId1" o:title=""/>
        </v:shape>
      </w:pict>
    </w:r>
    <w:r>
      <w:rPr/>
      <w:pict>
        <v:shape style="position:absolute;margin-left:291.209991pt;margin-top:795.397949pt;width:13.15pt;height:11pt;mso-position-horizontal-relative:page;mso-position-vertical-relative:page;z-index:-1360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8392" type="#_x0000_t75" stroked="false">
          <v:imagedata r:id="rId1" o:title=""/>
        </v:shape>
      </w:pict>
    </w:r>
    <w:r>
      <w:rPr/>
      <w:pict>
        <v:shape style="position:absolute;margin-left:414.130005pt;margin-top:537.203186pt;width:28.2pt;height:11pt;mso-position-horizontal-relative:page;mso-position-vertical-relative:page;z-index:-135836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135</w:t>
                </w:r>
                <w:r>
                  <w:rPr/>
                  <w:fldChar w:fldCharType="end"/>
                </w:r>
                <w:r>
                  <w:rPr>
                    <w:rFonts w:ascii="Arial"/>
                    <w:sz w:val="18"/>
                  </w:rPr>
                  <w:t> -</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8296" type="#_x0000_t75" stroked="false">
          <v:imagedata r:id="rId1" o:title=""/>
        </v:shape>
      </w:pict>
    </w:r>
    <w:r>
      <w:rPr/>
      <w:pict>
        <v:shape style="position:absolute;margin-left:290.890015pt;margin-top:783.827148pt;width:28.2pt;height:11pt;mso-position-horizontal-relative:page;mso-position-vertical-relative:page;z-index:-135827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141</w:t>
                </w:r>
                <w:r>
                  <w:rPr/>
                  <w:fldChar w:fldCharType="end"/>
                </w:r>
                <w:r>
                  <w:rPr>
                    <w:rFonts w:ascii="Arial"/>
                    <w:sz w:val="18"/>
                  </w:rPr>
                  <w:t> -</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8200" type="#_x0000_t75" stroked="false">
          <v:imagedata r:id="rId1" o:title=""/>
        </v:shape>
      </w:pict>
    </w:r>
    <w:r>
      <w:rPr/>
      <w:pict>
        <v:shape style="position:absolute;margin-left:414.130005pt;margin-top:537.203186pt;width:28.2pt;height:11pt;mso-position-horizontal-relative:page;mso-position-vertical-relative:page;z-index:-135817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158</w:t>
                </w:r>
                <w:r>
                  <w:rPr/>
                  <w:fldChar w:fldCharType="end"/>
                </w:r>
                <w:r>
                  <w:rPr>
                    <w:rFonts w:ascii="Arial"/>
                    <w:sz w:val="18"/>
                  </w:rPr>
                  <w:t> -</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8104" type="#_x0000_t75" stroked="false">
          <v:imagedata r:id="rId1" o:title=""/>
        </v:shape>
      </w:pict>
    </w:r>
    <w:r>
      <w:rPr/>
      <w:pict>
        <v:shape style="position:absolute;margin-left:290.890015pt;margin-top:783.827148pt;width:28.2pt;height:11pt;mso-position-horizontal-relative:page;mso-position-vertical-relative:page;z-index:-135808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162</w:t>
                </w:r>
                <w:r>
                  <w:rPr/>
                  <w:fldChar w:fldCharType="end"/>
                </w:r>
                <w:r>
                  <w:rPr>
                    <w:rFonts w:ascii="Arial"/>
                    <w:sz w:val="18"/>
                  </w:rPr>
                  <w:t> -</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8008" type="#_x0000_t75" stroked="false">
          <v:imagedata r:id="rId1" o:title=""/>
        </v:shape>
      </w:pict>
    </w:r>
    <w:r>
      <w:rPr/>
      <w:pict>
        <v:shape style="position:absolute;margin-left:414.130005pt;margin-top:537.203186pt;width:28.2pt;height:11pt;mso-position-horizontal-relative:page;mso-position-vertical-relative:page;z-index:-135798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164</w:t>
                </w:r>
                <w:r>
                  <w:rPr/>
                  <w:fldChar w:fldCharType="end"/>
                </w:r>
                <w:r>
                  <w:rPr>
                    <w:rFonts w:ascii="Arial"/>
                    <w:sz w:val="18"/>
                  </w:rPr>
                  <w:t> -</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7912" type="#_x0000_t75" stroked="false">
          <v:imagedata r:id="rId1" o:title=""/>
        </v:shape>
      </w:pict>
    </w:r>
    <w:r>
      <w:rPr/>
      <w:pict>
        <v:shape style="position:absolute;margin-left:290.890015pt;margin-top:783.827148pt;width:28.2pt;height:11pt;mso-position-horizontal-relative:page;mso-position-vertical-relative:page;z-index:-135788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167</w:t>
                </w:r>
                <w:r>
                  <w:rPr/>
                  <w:fldChar w:fldCharType="end"/>
                </w:r>
                <w:r>
                  <w:rPr>
                    <w:rFonts w:ascii="Arial"/>
                    <w:sz w:val="18"/>
                  </w:rPr>
                  <w:t> -</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7816" type="#_x0000_t75" stroked="false">
          <v:imagedata r:id="rId1" o:title=""/>
        </v:shape>
      </w:pict>
    </w:r>
    <w:r>
      <w:rPr/>
      <w:pict>
        <v:shape style="position:absolute;margin-left:413.529999pt;margin-top:537.203186pt;width:28.2pt;height:11pt;mso-position-horizontal-relative:page;mso-position-vertical-relative:page;z-index:-135779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180</w:t>
                </w:r>
                <w:r>
                  <w:rPr/>
                  <w:fldChar w:fldCharType="end"/>
                </w:r>
                <w:r>
                  <w:rPr>
                    <w:rFonts w:ascii="Arial"/>
                    <w:sz w:val="18"/>
                  </w:rPr>
                  <w:t> -</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7720" type="#_x0000_t75" stroked="false">
          <v:imagedata r:id="rId1" o:title=""/>
        </v:shape>
      </w:pict>
    </w:r>
    <w:r>
      <w:rPr/>
      <w:pict>
        <v:shape style="position:absolute;margin-left:289.690002pt;margin-top:783.827148pt;width:28.2pt;height:11pt;mso-position-horizontal-relative:page;mso-position-vertical-relative:page;z-index:-135769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182</w:t>
                </w:r>
                <w:r>
                  <w:rPr/>
                  <w:fldChar w:fldCharType="end"/>
                </w:r>
                <w:r>
                  <w:rPr>
                    <w:rFonts w:ascii="Arial"/>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552" type="#_x0000_t75" stroked="false">
          <v:imagedata r:id="rId1" o:title=""/>
        </v:shape>
      </w:pict>
    </w:r>
    <w:r>
      <w:rPr/>
      <w:pict>
        <v:shape style="position:absolute;margin-left:71.024002pt;margin-top:765.44751pt;width:453.5pt;height:14.7pt;mso-position-horizontal-relative:page;mso-position-vertical-relative:page;z-index:-1360528" type="#_x0000_t202" filled="false" stroked="false">
          <v:textbox inset="0,0,0,0">
            <w:txbxContent>
              <w:p>
                <w:pPr>
                  <w:pStyle w:val="BodyText"/>
                  <w:spacing w:line="278" w:lineRule="exact" w:before="0"/>
                  <w:ind w:left="20" w:right="0"/>
                  <w:jc w:val="left"/>
                </w:pPr>
                <w:r>
                  <w:rPr/>
                  <w:t>发表了《关于公司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年年度关联交易的审核意见</w:t>
                </w:r>
                <w:r>
                  <w:rPr>
                    <w:spacing w:val="-120"/>
                  </w:rPr>
                  <w:t>》、</w:t>
                </w:r>
                <w:r>
                  <w:rPr/>
                  <w:t>《关于续聘会计师事务所的独立</w:t>
                </w:r>
              </w:p>
            </w:txbxContent>
          </v:textbox>
          <w10:wrap type="none"/>
        </v:shape>
      </w:pict>
    </w:r>
    <w:r>
      <w:rPr/>
      <w:pict>
        <v:shape style="position:absolute;margin-left:291.209991pt;margin-top:795.397949pt;width:13.15pt;height:11pt;mso-position-horizontal-relative:page;mso-position-vertical-relative:page;z-index:-1360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7624" type="#_x0000_t75" stroked="false">
          <v:imagedata r:id="rId1" o:title=""/>
        </v:shape>
      </w:pict>
    </w:r>
    <w:r>
      <w:rPr/>
      <w:pict>
        <v:shape style="position:absolute;margin-left:389.049988pt;margin-top:537.203186pt;width:28.2pt;height:11pt;mso-position-horizontal-relative:page;mso-position-vertical-relative:page;z-index:-135760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200</w:t>
                </w:r>
                <w:r>
                  <w:rPr/>
                  <w:fldChar w:fldCharType="end"/>
                </w:r>
                <w:r>
                  <w:rPr>
                    <w:rFonts w:ascii="Arial"/>
                    <w:sz w:val="18"/>
                  </w:rPr>
                  <w:t> -</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7528" type="#_x0000_t75" stroked="false">
          <v:imagedata r:id="rId1" o:title=""/>
        </v:shape>
      </w:pict>
    </w:r>
    <w:r>
      <w:rPr/>
      <w:pict>
        <v:shape style="position:absolute;margin-left:290.890015pt;margin-top:783.827148pt;width:28.2pt;height:11pt;mso-position-horizontal-relative:page;mso-position-vertical-relative:page;z-index:-135750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202</w:t>
                </w:r>
                <w:r>
                  <w:rPr/>
                  <w:fldChar w:fldCharType="end"/>
                </w:r>
                <w:r>
                  <w:rPr>
                    <w:rFonts w:ascii="Arial"/>
                    <w:sz w:val="18"/>
                  </w:rPr>
                  <w:t> -</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1357432" type="#_x0000_t75" stroked="false">
          <v:imagedata r:id="rId1" o:title=""/>
        </v:shape>
      </w:pict>
    </w:r>
    <w:r>
      <w:rPr/>
      <w:pict>
        <v:shape style="position:absolute;margin-left:399.25pt;margin-top:537.203186pt;width:28.2pt;height:11pt;mso-position-horizontal-relative:page;mso-position-vertical-relative:page;z-index:-135740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216</w:t>
                </w:r>
                <w:r>
                  <w:rPr/>
                  <w:fldChar w:fldCharType="end"/>
                </w:r>
                <w:r>
                  <w:rPr>
                    <w:rFonts w:ascii="Arial"/>
                    <w:sz w:val="18"/>
                  </w:rPr>
                  <w:t> -</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1357336" type="#_x0000_t75" stroked="false">
          <v:imagedata r:id="rId1" o:title=""/>
        </v:shape>
      </w:pict>
    </w:r>
    <w:r>
      <w:rPr/>
      <w:pict>
        <v:shape style="position:absolute;margin-left:290.890015pt;margin-top:783.827148pt;width:28.2pt;height:11pt;mso-position-horizontal-relative:page;mso-position-vertical-relative:page;z-index:-135731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 </w:t>
                </w:r>
                <w:r>
                  <w:rPr/>
                  <w:fldChar w:fldCharType="begin"/>
                </w:r>
                <w:r>
                  <w:rPr>
                    <w:rFonts w:ascii="Arial"/>
                    <w:sz w:val="18"/>
                  </w:rPr>
                  <w:instrText> PAGE </w:instrText>
                </w:r>
                <w:r>
                  <w:rPr/>
                  <w:fldChar w:fldCharType="separate"/>
                </w:r>
                <w:r>
                  <w:rPr/>
                  <w:t>221</w:t>
                </w:r>
                <w:r>
                  <w:rPr/>
                  <w:fldChar w:fldCharType="end"/>
                </w:r>
                <w:r>
                  <w:rPr>
                    <w:rFonts w:ascii="Arial"/>
                    <w:sz w:val="18"/>
                  </w:rPr>
                  <w:t> -</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57240" type="#_x0000_t75" stroked="false">
          <v:imagedata r:id="rId1" o:title=""/>
        </v:shape>
      </w:pict>
    </w:r>
    <w:r>
      <w:rPr/>
      <w:pict>
        <v:shape style="position:absolute;margin-left:289.929993pt;margin-top:786.037903pt;width:15.7pt;height:11pt;mso-position-horizontal-relative:page;mso-position-vertical-relative:page;z-index:-1357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230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480" type="#_x0000_t75" stroked="false">
          <v:imagedata r:id="rId1" o:title=""/>
        </v:shape>
      </w:pict>
    </w:r>
    <w:r>
      <w:rPr/>
      <w:pict>
        <v:shape style="position:absolute;margin-left:71.024002pt;margin-top:774.327515pt;width:453.45pt;height:32.1pt;mso-position-horizontal-relative:page;mso-position-vertical-relative:page;z-index:-1360456" type="#_x0000_t202" filled="false" stroked="false">
          <v:textbox inset="0,0,0,0">
            <w:txbxContent>
              <w:p>
                <w:pPr>
                  <w:pStyle w:val="BodyText"/>
                  <w:spacing w:line="260" w:lineRule="exact" w:before="0"/>
                  <w:ind w:left="0" w:right="0"/>
                  <w:jc w:val="center"/>
                </w:pPr>
                <w:r>
                  <w:rPr>
                    <w:spacing w:val="-3"/>
                  </w:rPr>
                  <w:t>方面的问题，同时公司的控股股东及其关联公司未以任何形式占用公司的货币资金或其</w:t>
                </w:r>
              </w:p>
              <w:p>
                <w:pPr>
                  <w:spacing w:before="158"/>
                  <w:ind w:left="1"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432" type="#_x0000_t75" stroked="false">
          <v:imagedata r:id="rId1" o:title=""/>
        </v:shape>
      </w:pict>
    </w:r>
    <w:r>
      <w:rPr/>
      <w:pict>
        <v:shape style="position:absolute;margin-left:71.024002pt;margin-top:774.807495pt;width:453.05pt;height:31.6pt;mso-position-horizontal-relative:page;mso-position-vertical-relative:page;z-index:-1360408" type="#_x0000_t202" filled="false" stroked="false">
          <v:textbox inset="0,0,0,0">
            <w:txbxContent>
              <w:p>
                <w:pPr>
                  <w:pStyle w:val="BodyText"/>
                  <w:spacing w:line="260" w:lineRule="exact" w:before="0"/>
                  <w:ind w:left="0" w:right="0"/>
                  <w:jc w:val="center"/>
                </w:pPr>
                <w:r>
                  <w:rPr>
                    <w:spacing w:val="4"/>
                  </w:rPr>
                  <w:t>《章程</w:t>
                </w:r>
                <w:r>
                  <w:rPr>
                    <w:spacing w:val="-118"/>
                  </w:rPr>
                  <w:t>》</w:t>
                </w:r>
                <w:r>
                  <w:rPr>
                    <w:spacing w:val="4"/>
                  </w:rPr>
                  <w:t>、</w:t>
                </w:r>
                <w:r>
                  <w:rPr>
                    <w:spacing w:val="2"/>
                  </w:rPr>
                  <w:t>三</w:t>
                </w:r>
                <w:r>
                  <w:rPr>
                    <w:spacing w:val="4"/>
                  </w:rPr>
                  <w:t>会议</w:t>
                </w:r>
                <w:r>
                  <w:rPr>
                    <w:spacing w:val="2"/>
                  </w:rPr>
                  <w:t>事规</w:t>
                </w:r>
                <w:r>
                  <w:rPr>
                    <w:spacing w:val="4"/>
                  </w:rPr>
                  <w:t>则、专</w:t>
                </w:r>
                <w:r>
                  <w:rPr>
                    <w:spacing w:val="2"/>
                  </w:rPr>
                  <w:t>门</w:t>
                </w:r>
                <w:r>
                  <w:rPr>
                    <w:spacing w:val="4"/>
                  </w:rPr>
                  <w:t>委</w:t>
                </w:r>
                <w:r>
                  <w:rPr>
                    <w:spacing w:val="2"/>
                  </w:rPr>
                  <w:t>员</w:t>
                </w:r>
                <w:r>
                  <w:rPr>
                    <w:spacing w:val="4"/>
                  </w:rPr>
                  <w:t>会工</w:t>
                </w:r>
                <w:r>
                  <w:rPr>
                    <w:spacing w:val="2"/>
                  </w:rPr>
                  <w:t>作细</w:t>
                </w:r>
                <w:r>
                  <w:rPr>
                    <w:spacing w:val="4"/>
                  </w:rPr>
                  <w:t>则</w:t>
                </w:r>
                <w:r>
                  <w:rPr>
                    <w:spacing w:val="-116"/>
                  </w:rPr>
                  <w:t>、</w:t>
                </w:r>
                <w:r>
                  <w:rPr>
                    <w:spacing w:val="4"/>
                  </w:rPr>
                  <w:t>《</w:t>
                </w:r>
                <w:r>
                  <w:rPr>
                    <w:spacing w:val="2"/>
                  </w:rPr>
                  <w:t>独</w:t>
                </w:r>
                <w:r>
                  <w:rPr>
                    <w:spacing w:val="4"/>
                  </w:rPr>
                  <w:t>立</w:t>
                </w:r>
                <w:r>
                  <w:rPr>
                    <w:spacing w:val="2"/>
                  </w:rPr>
                  <w:t>董</w:t>
                </w:r>
                <w:r>
                  <w:rPr>
                    <w:spacing w:val="4"/>
                  </w:rPr>
                  <w:t>事工</w:t>
                </w:r>
                <w:r>
                  <w:rPr>
                    <w:spacing w:val="2"/>
                  </w:rPr>
                  <w:t>作制</w:t>
                </w:r>
                <w:r>
                  <w:rPr>
                    <w:spacing w:val="4"/>
                  </w:rPr>
                  <w:t>度</w:t>
                </w:r>
                <w:r>
                  <w:rPr>
                    <w:spacing w:val="-116"/>
                  </w:rPr>
                  <w:t>》、</w:t>
                </w:r>
                <w:r>
                  <w:rPr>
                    <w:spacing w:val="2"/>
                  </w:rPr>
                  <w:t>《</w:t>
                </w:r>
                <w:r>
                  <w:rPr>
                    <w:spacing w:val="4"/>
                  </w:rPr>
                  <w:t>总</w:t>
                </w:r>
                <w:r>
                  <w:rPr>
                    <w:spacing w:val="2"/>
                  </w:rPr>
                  <w:t>裁</w:t>
                </w:r>
                <w:r>
                  <w:rPr>
                    <w:spacing w:val="4"/>
                  </w:rPr>
                  <w:t>工作</w:t>
                </w:r>
                <w:r>
                  <w:rPr/>
                  <w:t>细</w:t>
                </w:r>
              </w:p>
              <w:p>
                <w:pPr>
                  <w:spacing w:before="148"/>
                  <w:ind w:left="9"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00012pt;margin-top:783.949768pt;width:101.240002pt;height:57.730225pt;mso-position-horizontal-relative:page;mso-position-vertical-relative:page;z-index:-1360384" type="#_x0000_t75" stroked="false">
          <v:imagedata r:id="rId1" o:title=""/>
        </v:shape>
      </w:pict>
    </w:r>
    <w:r>
      <w:rPr/>
      <w:pict>
        <v:shape style="position:absolute;margin-left:71.024002pt;margin-top:774.807495pt;width:254pt;height:31.6pt;mso-position-horizontal-relative:page;mso-position-vertical-relative:page;z-index:-1360360" type="#_x0000_t202" filled="false" stroked="false">
          <v:textbox inset="0,0,0,0">
            <w:txbxContent>
              <w:p>
                <w:pPr>
                  <w:pStyle w:val="BodyText"/>
                  <w:spacing w:line="260" w:lineRule="exact" w:before="0"/>
                  <w:ind w:left="20" w:right="0"/>
                  <w:jc w:val="left"/>
                </w:pPr>
                <w:r>
                  <w:rPr/>
                  <w:t>流程，公司人力资源管理控制得到了贯彻落实。</w:t>
                </w:r>
              </w:p>
              <w:p>
                <w:pPr>
                  <w:spacing w:before="148"/>
                  <w:ind w:left="0" w:right="451"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95.397949pt;width:13.15pt;height:11pt;mso-position-horizontal-relative:page;mso-position-vertical-relative:page;z-index:-1360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49.079994pt;width:454.4pt;height:.1pt;mso-position-horizontal-relative:page;mso-position-vertical-relative:page;z-index:-1360792" coordorigin="1412,982" coordsize="9088,2">
          <v:shape style="position:absolute;left:1412;top:982;width:9088;height:2" coordorigin="1412,982" coordsize="9088,0" path="m1412,982l10499,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5.309998pt;margin-top:36.385616pt;width:159.25pt;height:11.5pt;mso-position-horizontal-relative:page;mso-position-vertical-relative:page;z-index:-1360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687477pt;width:122pt;height:14pt;mso-position-horizontal-relative:page;mso-position-vertical-relative:page;z-index:-1358488"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478pt;width:218.05pt;height:45.35pt;mso-position-horizontal-relative:page;mso-position-vertical-relative:page;z-index:-1358464"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240" w:lineRule="auto" w:before="0"/>
                  <w:ind w:left="20" w:right="18"/>
                  <w:jc w:val="left"/>
                  <w:rPr>
                    <w:rFonts w:ascii="黑体" w:hAnsi="黑体" w:cs="黑体" w:eastAsia="黑体" w:hint="default"/>
                  </w:rPr>
                </w:pPr>
                <w:r>
                  <w:rPr>
                    <w:rFonts w:ascii="黑体" w:hAnsi="黑体" w:cs="黑体" w:eastAsia="黑体" w:hint="default"/>
                  </w:rPr>
                  <w:t>2011</w:t>
                </w:r>
                <w:r>
                  <w:rPr>
                    <w:rFonts w:ascii="黑体" w:hAnsi="黑体" w:cs="黑体" w:eastAsia="黑体" w:hint="default"/>
                    <w:spacing w:val="-61"/>
                  </w:rPr>
                  <w:t> </w:t>
                </w:r>
                <w:r>
                  <w:rPr>
                    <w:rFonts w:ascii="黑体" w:hAnsi="黑体" w:cs="黑体" w:eastAsia="黑体" w:hint="default"/>
                  </w:rPr>
                  <w:t>年度 </w:t>
                </w:r>
                <w:r>
                  <w:rPr>
                    <w:rFonts w:ascii="黑体" w:hAnsi="黑体" w:cs="黑体" w:eastAsia="黑体" w:hint="default"/>
                  </w:rPr>
                  <w:t>(</w:t>
                </w:r>
                <w:r>
                  <w:rPr>
                    <w:rFonts w:ascii="黑体" w:hAnsi="黑体" w:cs="黑体" w:eastAsia="黑体" w:hint="default"/>
                  </w:rPr>
                  <w:t>除特别注明外，金额单位为人民币千元</w:t>
                </w:r>
                <w:r>
                  <w:rPr>
                    <w:rFonts w:ascii="黑体" w:hAnsi="黑体" w:cs="黑体" w:eastAsia="黑体" w:hint="default"/>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707504pt;width:122pt;height:14pt;mso-position-horizontal-relative:page;mso-position-vertical-relative:page;z-index:-1358440"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509pt;width:218.05pt;height:45.35pt;mso-position-horizontal-relative:page;mso-position-vertical-relative:page;z-index:-1358416"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240" w:lineRule="auto" w:before="0"/>
                  <w:ind w:left="20" w:right="18"/>
                  <w:jc w:val="left"/>
                  <w:rPr>
                    <w:rFonts w:ascii="黑体" w:hAnsi="黑体" w:cs="黑体" w:eastAsia="黑体" w:hint="default"/>
                  </w:rPr>
                </w:pPr>
                <w:r>
                  <w:rPr>
                    <w:rFonts w:ascii="黑体" w:hAnsi="黑体" w:cs="黑体" w:eastAsia="黑体" w:hint="default"/>
                  </w:rPr>
                  <w:t>2011</w:t>
                </w:r>
                <w:r>
                  <w:rPr>
                    <w:rFonts w:ascii="黑体" w:hAnsi="黑体" w:cs="黑体" w:eastAsia="黑体" w:hint="default"/>
                    <w:spacing w:val="-61"/>
                  </w:rPr>
                  <w:t> </w:t>
                </w:r>
                <w:r>
                  <w:rPr>
                    <w:rFonts w:ascii="黑体" w:hAnsi="黑体" w:cs="黑体" w:eastAsia="黑体" w:hint="default"/>
                  </w:rPr>
                  <w:t>年度 </w:t>
                </w:r>
                <w:r>
                  <w:rPr>
                    <w:rFonts w:ascii="黑体" w:hAnsi="黑体" w:cs="黑体" w:eastAsia="黑体" w:hint="default"/>
                  </w:rPr>
                  <w:t>(</w:t>
                </w:r>
                <w:r>
                  <w:rPr>
                    <w:rFonts w:ascii="黑体" w:hAnsi="黑体" w:cs="黑体" w:eastAsia="黑体" w:hint="default"/>
                  </w:rPr>
                  <w:t>除特别注明外，金额单位为人民币千元</w:t>
                </w:r>
                <w:r>
                  <w:rPr>
                    <w:rFonts w:ascii="黑体" w:hAnsi="黑体" w:cs="黑体" w:eastAsia="黑体" w:hint="default"/>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687477pt;width:122pt;height:14pt;mso-position-horizontal-relative:page;mso-position-vertical-relative:page;z-index:-1358344"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478pt;width:218.05pt;height:45.35pt;mso-position-horizontal-relative:page;mso-position-vertical-relative:page;z-index:-1358320"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240" w:lineRule="auto" w:before="0"/>
                  <w:ind w:left="20" w:right="18"/>
                  <w:jc w:val="left"/>
                  <w:rPr>
                    <w:rFonts w:ascii="黑体" w:hAnsi="黑体" w:cs="黑体" w:eastAsia="黑体" w:hint="default"/>
                  </w:rPr>
                </w:pPr>
                <w:r>
                  <w:rPr>
                    <w:rFonts w:ascii="黑体" w:hAnsi="黑体" w:cs="黑体" w:eastAsia="黑体" w:hint="default"/>
                  </w:rPr>
                  <w:t>2011</w:t>
                </w:r>
                <w:r>
                  <w:rPr>
                    <w:rFonts w:ascii="黑体" w:hAnsi="黑体" w:cs="黑体" w:eastAsia="黑体" w:hint="default"/>
                    <w:spacing w:val="-61"/>
                  </w:rPr>
                  <w:t> </w:t>
                </w:r>
                <w:r>
                  <w:rPr>
                    <w:rFonts w:ascii="黑体" w:hAnsi="黑体" w:cs="黑体" w:eastAsia="黑体" w:hint="default"/>
                  </w:rPr>
                  <w:t>年度 </w:t>
                </w:r>
                <w:r>
                  <w:rPr>
                    <w:rFonts w:ascii="黑体" w:hAnsi="黑体" w:cs="黑体" w:eastAsia="黑体" w:hint="default"/>
                  </w:rPr>
                  <w:t>(</w:t>
                </w:r>
                <w:r>
                  <w:rPr>
                    <w:rFonts w:ascii="黑体" w:hAnsi="黑体" w:cs="黑体" w:eastAsia="黑体" w:hint="default"/>
                  </w:rPr>
                  <w:t>除特别注明外，金额单位为人民币千元</w:t>
                </w:r>
                <w:r>
                  <w:rPr>
                    <w:rFonts w:ascii="黑体" w:hAnsi="黑体" w:cs="黑体" w:eastAsia="黑体" w:hint="default"/>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707504pt;width:122pt;height:14pt;mso-position-horizontal-relative:page;mso-position-vertical-relative:page;z-index:-1358248"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509pt;width:214pt;height:45.95pt;mso-position-horizontal-relative:page;mso-position-vertical-relative:page;z-index:-1358224"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687477pt;width:122pt;height:14pt;mso-position-horizontal-relative:page;mso-position-vertical-relative:page;z-index:-1358152"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478pt;width:214pt;height:45.95pt;mso-position-horizontal-relative:page;mso-position-vertical-relative:page;z-index:-1358128"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707504pt;width:122pt;height:14pt;mso-position-horizontal-relative:page;mso-position-vertical-relative:page;z-index:-1358056"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509pt;width:214pt;height:45.95pt;mso-position-horizontal-relative:page;mso-position-vertical-relative:page;z-index:-1358032"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6.687477pt;width:122pt;height:14pt;mso-position-horizontal-relative:page;mso-position-vertical-relative:page;z-index:-1357960"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887482pt;width:214pt;height:45.95pt;mso-position-horizontal-relative:page;mso-position-vertical-relative:page;z-index:-1357936"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103996pt;margin-top:36.687508pt;width:122pt;height:14pt;mso-position-horizontal-relative:page;mso-position-vertical-relative:page;z-index:-1357864"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4.103996pt;margin-top:67.907509pt;width:214pt;height:45.95pt;mso-position-horizontal-relative:page;mso-position-vertical-relative:page;z-index:-1357840"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024002pt;margin-top:36.687477pt;width:122pt;height:14pt;mso-position-horizontal-relative:page;mso-position-vertical-relative:page;z-index:-1357768"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3.024002pt;margin-top:67.887482pt;width:214pt;height:45.95pt;mso-position-horizontal-relative:page;mso-position-vertical-relative:page;z-index:-1357744"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49.079994pt;width:454.4pt;height:.1pt;mso-position-horizontal-relative:page;mso-position-vertical-relative:page;z-index:-1359424" coordorigin="1412,982" coordsize="9088,2">
          <v:shape style="position:absolute;left:1412;top:982;width:9088;height:2" coordorigin="1412,982" coordsize="9088,0" path="m1412,982l10499,982e" filled="false" stroked="true" strokeweight=".72pt" strokecolor="#000000">
            <v:path arrowok="t"/>
          </v:shape>
          <w10:wrap type="none"/>
        </v:group>
      </w:pict>
    </w:r>
    <w:r>
      <w:rPr/>
      <w:pict>
        <v:shape style="position:absolute;margin-left:364.950012pt;margin-top:36.385616pt;width:159.6pt;height:11.5pt;mso-position-horizontal-relative:page;mso-position-vertical-relative:page;z-index:-1359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2010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pt;margin-top:36.687508pt;width:122pt;height:14pt;mso-position-horizontal-relative:page;mso-position-vertical-relative:page;z-index:-1357672"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35pt;margin-top:67.907509pt;width:214pt;height:45.95pt;mso-position-horizontal-relative:page;mso-position-vertical-relative:page;z-index:-1357648"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6.687477pt;width:122pt;height:14pt;mso-position-horizontal-relative:page;mso-position-vertical-relative:page;z-index:-1357576"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887482pt;width:214pt;height:45.95pt;mso-position-horizontal-relative:page;mso-position-vertical-relative:page;z-index:-1357552"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36.687508pt;width:122pt;height:14pt;mso-position-horizontal-relative:page;mso-position-vertical-relative:page;z-index:-1357480"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55.639999pt;margin-top:67.907509pt;width:214.05pt;height:45.95pt;mso-position-horizontal-relative:page;mso-position-vertical-relative:page;z-index:-1357456"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6.687477pt;width:122pt;height:14pt;mso-position-horizontal-relative:page;mso-position-vertical-relative:page;z-index:-1357384"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887482pt;width:214pt;height:45.95pt;mso-position-horizontal-relative:page;mso-position-vertical-relative:page;z-index:-1357360"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财务报表附注</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72.687477pt;width:122pt;height:14pt;mso-position-horizontal-relative:page;mso-position-vertical-relative:page;z-index:-1357288"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103.907478pt;width:214pt;height:45.95pt;mso-position-horizontal-relative:page;mso-position-vertical-relative:page;z-index:-1357264" type="#_x0000_t202" filled="false" stroked="false">
          <v:textbox inset="0,0,0,0">
            <w:txbxContent>
              <w:p>
                <w:pPr>
                  <w:pStyle w:val="BodyText"/>
                  <w:spacing w:line="259" w:lineRule="exact" w:before="0"/>
                  <w:ind w:left="20" w:right="0"/>
                  <w:jc w:val="left"/>
                  <w:rPr>
                    <w:rFonts w:ascii="黑体" w:hAnsi="黑体" w:cs="黑体" w:eastAsia="黑体" w:hint="default"/>
                  </w:rPr>
                </w:pPr>
                <w:r>
                  <w:rPr>
                    <w:rFonts w:ascii="黑体" w:hAnsi="黑体" w:cs="黑体" w:eastAsia="黑体" w:hint="default"/>
                  </w:rPr>
                  <w:t>财务报表补充资料</w:t>
                </w:r>
              </w:p>
              <w:p>
                <w:pPr>
                  <w:pStyle w:val="BodyText"/>
                  <w:spacing w:line="322" w:lineRule="exact" w:before="0"/>
                  <w:ind w:left="20" w:right="0"/>
                  <w:jc w:val="left"/>
                  <w:rPr>
                    <w:rFonts w:ascii="黑体" w:hAnsi="黑体" w:cs="黑体" w:eastAsia="黑体" w:hint="default"/>
                  </w:rPr>
                </w:pPr>
                <w:r>
                  <w:rPr>
                    <w:rFonts w:ascii="Arial" w:hAnsi="Arial" w:cs="Arial" w:eastAsia="Arial" w:hint="default"/>
                    <w:spacing w:val="-5"/>
                  </w:rPr>
                  <w:t>2011 </w:t>
                </w:r>
                <w:r>
                  <w:rPr>
                    <w:rFonts w:ascii="黑体" w:hAnsi="黑体" w:cs="黑体" w:eastAsia="黑体" w:hint="default"/>
                  </w:rPr>
                  <w:t>年度</w:t>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49.079994pt;width:454.4pt;height:.1pt;mso-position-horizontal-relative:page;mso-position-vertical-relative:page;z-index:-1359328" coordorigin="1412,982" coordsize="9088,2">
          <v:shape style="position:absolute;left:1412;top:982;width:9088;height:2" coordorigin="1412,982" coordsize="9088,0" path="m1412,982l10499,982e" filled="false" stroked="true" strokeweight=".72pt" strokecolor="#000000">
            <v:path arrowok="t"/>
          </v:shape>
          <w10:wrap type="none"/>
        </v:group>
      </w:pict>
    </w:r>
    <w:r>
      <w:rPr/>
      <w:pict>
        <v:shape style="position:absolute;margin-left:365.309998pt;margin-top:36.385616pt;width:159.25pt;height:11.5pt;mso-position-horizontal-relative:page;mso-position-vertical-relative:page;z-index:-1359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950012pt;margin-top:36.385616pt;width:159.6pt;height:11.5pt;mso-position-horizontal-relative:page;mso-position-vertical-relative:page;z-index:-1358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84001pt;margin-top:49.079994pt;width:440pt;height:.1pt;mso-position-horizontal-relative:page;mso-position-vertical-relative:page;z-index:-1358872" coordorigin="1700,982" coordsize="8800,2">
          <v:shape style="position:absolute;left:1700;top:982;width:8800;height:2" coordorigin="1700,982" coordsize="8800,0" path="m1700,982l10499,982e" filled="false" stroked="true" strokeweight=".72pt" strokecolor="#000000">
            <v:path arrowok="t"/>
          </v:shape>
          <w10:wrap type="none"/>
        </v:group>
      </w:pict>
    </w:r>
    <w:r>
      <w:rPr/>
      <w:pict>
        <v:shape style="position:absolute;margin-left:365.309998pt;margin-top:36.385616pt;width:159.25pt;height:11.5pt;mso-position-horizontal-relative:page;mso-position-vertical-relative:page;z-index:-1358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苏宁电器股份有限公司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424004pt;margin-top:36.687492pt;width:122pt;height:14pt;mso-position-horizontal-relative:page;mso-position-vertical-relative:page;z-index:-1358824"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84001pt;margin-top:99.859993pt;width:440pt;height:.1pt;mso-position-horizontal-relative:page;mso-position-vertical-relative:page;z-index:-1358704" coordorigin="1700,1997" coordsize="8800,2">
          <v:shape style="position:absolute;left:1700;top:1997;width:8800;height:2" coordorigin="1700,1997" coordsize="8800,0" path="m1700,1997l10499,1997e" filled="false" stroked="true" strokeweight=".72pt" strokecolor="#000000">
            <v:path arrowok="t"/>
          </v:shape>
          <w10:wrap type="none"/>
        </v:group>
      </w:pict>
    </w:r>
    <w:r>
      <w:rPr/>
      <w:pict>
        <v:shape style="position:absolute;margin-left:85.424004pt;margin-top:36.687492pt;width:122pt;height:14pt;mso-position-horizontal-relative:page;mso-position-vertical-relative:page;z-index:-1358680"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907494pt;width:214pt;height:30.35pt;mso-position-horizontal-relative:page;mso-position-vertical-relative:page;z-index:-1358656"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pacing w:val="-4"/>
                    <w:sz w:val="24"/>
                    <w:szCs w:val="24"/>
                  </w:rPr>
                  <w:t>2011</w:t>
                </w:r>
                <w:r>
                  <w:rPr>
                    <w:rFonts w:ascii="Arial" w:hAnsi="Arial" w:cs="Arial" w:eastAsia="Arial" w:hint="default"/>
                    <w:b/>
                    <w:bCs/>
                    <w:spacing w:val="-14"/>
                    <w:sz w:val="24"/>
                    <w:szCs w:val="24"/>
                  </w:rPr>
                  <w:t> </w:t>
                </w:r>
                <w:r>
                  <w:rPr>
                    <w:rFonts w:ascii="宋体" w:hAnsi="宋体" w:cs="宋体" w:eastAsia="宋体" w:hint="default"/>
                    <w:b/>
                    <w:bCs/>
                    <w:sz w:val="24"/>
                    <w:szCs w:val="24"/>
                  </w:rPr>
                  <w:t>年度合并及公司现金流量表</w:t>
                </w:r>
                <w:r>
                  <w:rPr>
                    <w:rFonts w:ascii="宋体" w:hAnsi="宋体" w:cs="宋体" w:eastAsia="宋体" w:hint="default"/>
                    <w:sz w:val="24"/>
                    <w:szCs w:val="24"/>
                  </w:rPr>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84001pt;margin-top:99.859993pt;width:440pt;height:.1pt;mso-position-horizontal-relative:page;mso-position-vertical-relative:page;z-index:-1358632" coordorigin="1700,1997" coordsize="8800,2">
          <v:shape style="position:absolute;left:1700;top:1997;width:8800;height:2" coordorigin="1700,1997" coordsize="8800,0" path="m1700,1997l10499,1997e" filled="false" stroked="true" strokeweight=".72pt" strokecolor="#000000">
            <v:path arrowok="t"/>
          </v:shape>
          <w10:wrap type="none"/>
        </v:group>
      </w:pict>
    </w:r>
    <w:r>
      <w:rPr/>
      <w:pict>
        <v:shape style="position:absolute;margin-left:85.424004pt;margin-top:36.687492pt;width:122pt;height:14pt;mso-position-horizontal-relative:page;mso-position-vertical-relative:page;z-index:-1358608"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907494pt;width:214pt;height:30.35pt;mso-position-horizontal-relative:page;mso-position-vertical-relative:page;z-index:-1358584"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pacing w:val="-4"/>
                    <w:sz w:val="24"/>
                    <w:szCs w:val="24"/>
                  </w:rPr>
                  <w:t>2011</w:t>
                </w:r>
                <w:r>
                  <w:rPr>
                    <w:rFonts w:ascii="Arial" w:hAnsi="Arial" w:cs="Arial" w:eastAsia="Arial" w:hint="default"/>
                    <w:b/>
                    <w:bCs/>
                    <w:spacing w:val="-16"/>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84001pt;margin-top:99.859993pt;width:440pt;height:.1pt;mso-position-horizontal-relative:page;mso-position-vertical-relative:page;z-index:-1358560" coordorigin="1700,1997" coordsize="8800,2">
          <v:shape style="position:absolute;left:1700;top:1997;width:8800;height:2" coordorigin="1700,1997" coordsize="8800,0" path="m1700,1997l10499,1997e" filled="false" stroked="true" strokeweight=".72pt" strokecolor="#000000">
            <v:path arrowok="t"/>
          </v:shape>
          <w10:wrap type="none"/>
        </v:group>
      </w:pict>
    </w:r>
    <w:r>
      <w:rPr/>
      <w:pict>
        <v:shape style="position:absolute;margin-left:85.424004pt;margin-top:36.687492pt;width:122pt;height:14pt;mso-position-horizontal-relative:page;mso-position-vertical-relative:page;z-index:-1358536" type="#_x0000_t202" filled="false" stroked="false">
          <v:textbox inset="0,0,0,0">
            <w:txbxContent>
              <w:p>
                <w:pPr>
                  <w:pStyle w:val="BodyText"/>
                  <w:spacing w:line="260" w:lineRule="exact" w:before="0"/>
                  <w:ind w:left="20" w:right="0"/>
                  <w:jc w:val="left"/>
                  <w:rPr>
                    <w:rFonts w:ascii="黑体" w:hAnsi="黑体" w:cs="黑体" w:eastAsia="黑体" w:hint="default"/>
                  </w:rPr>
                </w:pPr>
                <w:r>
                  <w:rPr>
                    <w:rFonts w:ascii="黑体" w:hAnsi="黑体" w:cs="黑体" w:eastAsia="黑体" w:hint="default"/>
                  </w:rPr>
                  <w:t>苏宁电器股份有限公司</w:t>
                </w:r>
              </w:p>
            </w:txbxContent>
          </v:textbox>
          <w10:wrap type="none"/>
        </v:shape>
      </w:pict>
    </w:r>
    <w:r>
      <w:rPr/>
      <w:pict>
        <v:shape style="position:absolute;margin-left:85.424004pt;margin-top:67.907494pt;width:214pt;height:30.35pt;mso-position-horizontal-relative:page;mso-position-vertical-relative:page;z-index:-1358512" type="#_x0000_t202" filled="false" stroked="false">
          <v:textbox inset="0,0,0,0">
            <w:txbxContent>
              <w:p>
                <w:pPr>
                  <w:spacing w:line="269" w:lineRule="exact" w:before="0"/>
                  <w:ind w:left="20" w:right="0" w:firstLine="0"/>
                  <w:jc w:val="left"/>
                  <w:rPr>
                    <w:rFonts w:ascii="宋体" w:hAnsi="宋体" w:cs="宋体" w:eastAsia="宋体" w:hint="default"/>
                    <w:sz w:val="24"/>
                    <w:szCs w:val="24"/>
                  </w:rPr>
                </w:pPr>
                <w:r>
                  <w:rPr>
                    <w:rFonts w:ascii="Arial" w:hAnsi="Arial" w:cs="Arial" w:eastAsia="Arial" w:hint="default"/>
                    <w:b/>
                    <w:bCs/>
                    <w:spacing w:val="-4"/>
                    <w:sz w:val="24"/>
                    <w:szCs w:val="24"/>
                  </w:rPr>
                  <w:t>2011</w:t>
                </w:r>
                <w:r>
                  <w:rPr>
                    <w:rFonts w:ascii="Arial" w:hAnsi="Arial" w:cs="Arial" w:eastAsia="Arial" w:hint="default"/>
                    <w:b/>
                    <w:bCs/>
                    <w:spacing w:val="-16"/>
                    <w:sz w:val="24"/>
                    <w:szCs w:val="24"/>
                  </w:rPr>
                  <w:t> </w:t>
                </w:r>
                <w:r>
                  <w:rPr>
                    <w:rFonts w:ascii="宋体" w:hAnsi="宋体" w:cs="宋体" w:eastAsia="宋体" w:hint="default"/>
                    <w:b/>
                    <w:bCs/>
                    <w:sz w:val="24"/>
                    <w:szCs w:val="24"/>
                  </w:rPr>
                  <w:t>年度公司股东权益变动表</w:t>
                </w:r>
                <w:r>
                  <w:rPr>
                    <w:rFonts w:ascii="宋体" w:hAnsi="宋体" w:cs="宋体" w:eastAsia="宋体" w:hint="default"/>
                    <w:sz w:val="24"/>
                    <w:szCs w:val="24"/>
                  </w:rPr>
                </w:r>
              </w:p>
              <w:p>
                <w:pPr>
                  <w:pStyle w:val="BodyText"/>
                  <w:spacing w:line="323" w:lineRule="exact" w:before="0"/>
                  <w:ind w:left="20" w:right="0"/>
                  <w:jc w:val="left"/>
                  <w:rPr>
                    <w:rFonts w:ascii="Arial" w:hAnsi="Arial" w:cs="Arial" w:eastAsia="Arial" w:hint="default"/>
                  </w:rPr>
                </w:pPr>
                <w:r>
                  <w:rPr>
                    <w:rFonts w:ascii="Arial" w:hAnsi="Arial" w:cs="Arial" w:eastAsia="Arial" w:hint="default"/>
                  </w:rPr>
                  <w:t>(</w:t>
                </w:r>
                <w:r>
                  <w:rPr/>
                  <w:t>除特别注明外，金额单位为人民币千元</w:t>
                </w:r>
                <w:r>
                  <w:rPr>
                    <w:rFonts w:ascii="Arial" w:hAnsi="Arial" w:cs="Arial" w:eastAsia="Arial" w:hint="default"/>
                  </w:rPr>
                  <w:t>)</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50"/>
      <w:ind w:left="117"/>
    </w:pPr>
    <w:rPr>
      <w:rFonts w:ascii="宋体" w:hAnsi="宋体" w:eastAsia="宋体"/>
      <w:b/>
      <w:bCs/>
      <w:sz w:val="24"/>
      <w:szCs w:val="24"/>
    </w:rPr>
  </w:style>
  <w:style w:styleId="BodyText" w:type="paragraph">
    <w:name w:val="Body Text"/>
    <w:basedOn w:val="Normal"/>
    <w:uiPriority w:val="1"/>
    <w:qFormat/>
    <w:pPr>
      <w:spacing w:before="135"/>
      <w:ind w:left="140"/>
    </w:pPr>
    <w:rPr>
      <w:rFonts w:ascii="宋体" w:hAnsi="宋体" w:eastAsia="宋体"/>
      <w:sz w:val="24"/>
      <w:szCs w:val="24"/>
    </w:rPr>
  </w:style>
  <w:style w:styleId="Heading1" w:type="paragraph">
    <w:name w:val="Heading 1"/>
    <w:basedOn w:val="Normal"/>
    <w:uiPriority w:val="1"/>
    <w:qFormat/>
    <w:pPr>
      <w:spacing w:before="137"/>
      <w:outlineLvl w:val="1"/>
    </w:pPr>
    <w:rPr>
      <w:rFonts w:ascii="宋体" w:hAnsi="宋体" w:eastAsia="宋体"/>
      <w:b/>
      <w:bCs/>
      <w:sz w:val="32"/>
      <w:szCs w:val="32"/>
    </w:rPr>
  </w:style>
  <w:style w:styleId="Heading2" w:type="paragraph">
    <w:name w:val="Heading 2"/>
    <w:basedOn w:val="Normal"/>
    <w:uiPriority w:val="1"/>
    <w:qFormat/>
    <w:pPr>
      <w:spacing w:before="26"/>
      <w:ind w:left="20"/>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stock@chinadq.com" TargetMode="External"/><Relationship Id="rId9" Type="http://schemas.openxmlformats.org/officeDocument/2006/relationships/hyperlink" Target="http://www.cnsuning.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1.png"/><Relationship Id="rId22" Type="http://schemas.openxmlformats.org/officeDocument/2006/relationships/hyperlink" Target="http://www.cninfo.com/" TargetMode="Externa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footer" Target="footer28.xml"/><Relationship Id="rId54" Type="http://schemas.openxmlformats.org/officeDocument/2006/relationships/header" Target="header2.xml"/><Relationship Id="rId55" Type="http://schemas.openxmlformats.org/officeDocument/2006/relationships/footer" Target="footer29.xml"/><Relationship Id="rId56" Type="http://schemas.openxmlformats.org/officeDocument/2006/relationships/header" Target="header3.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header" Target="header4.xml"/><Relationship Id="rId65" Type="http://schemas.openxmlformats.org/officeDocument/2006/relationships/footer" Target="footer37.xml"/><Relationship Id="rId66" Type="http://schemas.openxmlformats.org/officeDocument/2006/relationships/header" Target="header5.xml"/><Relationship Id="rId67" Type="http://schemas.openxmlformats.org/officeDocument/2006/relationships/header" Target="header6.xml"/><Relationship Id="rId68" Type="http://schemas.openxmlformats.org/officeDocument/2006/relationships/footer" Target="footer38.xml"/><Relationship Id="rId69" Type="http://schemas.openxmlformats.org/officeDocument/2006/relationships/footer" Target="footer39.xml"/><Relationship Id="rId70" Type="http://schemas.openxmlformats.org/officeDocument/2006/relationships/header" Target="header7.xml"/><Relationship Id="rId71" Type="http://schemas.openxmlformats.org/officeDocument/2006/relationships/header" Target="header8.xml"/><Relationship Id="rId72" Type="http://schemas.openxmlformats.org/officeDocument/2006/relationships/header" Target="header9.xml"/><Relationship Id="rId73" Type="http://schemas.openxmlformats.org/officeDocument/2006/relationships/header" Target="header10.xml"/><Relationship Id="rId74" Type="http://schemas.openxmlformats.org/officeDocument/2006/relationships/header" Target="header11.xml"/><Relationship Id="rId75" Type="http://schemas.openxmlformats.org/officeDocument/2006/relationships/footer" Target="footer40.xml"/><Relationship Id="rId76" Type="http://schemas.openxmlformats.org/officeDocument/2006/relationships/header" Target="header12.xml"/><Relationship Id="rId77" Type="http://schemas.openxmlformats.org/officeDocument/2006/relationships/footer" Target="footer41.xml"/><Relationship Id="rId78" Type="http://schemas.openxmlformats.org/officeDocument/2006/relationships/header" Target="header13.xml"/><Relationship Id="rId79" Type="http://schemas.openxmlformats.org/officeDocument/2006/relationships/footer" Target="footer42.xml"/><Relationship Id="rId80" Type="http://schemas.openxmlformats.org/officeDocument/2006/relationships/header" Target="header14.xml"/><Relationship Id="rId81" Type="http://schemas.openxmlformats.org/officeDocument/2006/relationships/footer" Target="footer43.xml"/><Relationship Id="rId82" Type="http://schemas.openxmlformats.org/officeDocument/2006/relationships/image" Target="media/image20.png"/><Relationship Id="rId83" Type="http://schemas.openxmlformats.org/officeDocument/2006/relationships/header" Target="header15.xml"/><Relationship Id="rId84" Type="http://schemas.openxmlformats.org/officeDocument/2006/relationships/footer" Target="footer44.xml"/><Relationship Id="rId85" Type="http://schemas.openxmlformats.org/officeDocument/2006/relationships/footer" Target="footer45.xml"/><Relationship Id="rId86" Type="http://schemas.openxmlformats.org/officeDocument/2006/relationships/header" Target="header16.xml"/><Relationship Id="rId87" Type="http://schemas.openxmlformats.org/officeDocument/2006/relationships/footer" Target="footer46.xml"/><Relationship Id="rId88" Type="http://schemas.openxmlformats.org/officeDocument/2006/relationships/header" Target="header17.xml"/><Relationship Id="rId89" Type="http://schemas.openxmlformats.org/officeDocument/2006/relationships/footer" Target="footer47.xml"/><Relationship Id="rId90" Type="http://schemas.openxmlformats.org/officeDocument/2006/relationships/header" Target="header18.xml"/><Relationship Id="rId91" Type="http://schemas.openxmlformats.org/officeDocument/2006/relationships/footer" Target="footer48.xml"/><Relationship Id="rId92" Type="http://schemas.openxmlformats.org/officeDocument/2006/relationships/header" Target="header19.xml"/><Relationship Id="rId93" Type="http://schemas.openxmlformats.org/officeDocument/2006/relationships/footer" Target="footer49.xml"/><Relationship Id="rId94" Type="http://schemas.openxmlformats.org/officeDocument/2006/relationships/header" Target="header20.xml"/><Relationship Id="rId95" Type="http://schemas.openxmlformats.org/officeDocument/2006/relationships/footer" Target="footer50.xml"/><Relationship Id="rId96" Type="http://schemas.openxmlformats.org/officeDocument/2006/relationships/header" Target="header21.xml"/><Relationship Id="rId97" Type="http://schemas.openxmlformats.org/officeDocument/2006/relationships/footer" Target="footer51.xml"/><Relationship Id="rId98" Type="http://schemas.openxmlformats.org/officeDocument/2006/relationships/header" Target="header22.xml"/><Relationship Id="rId99" Type="http://schemas.openxmlformats.org/officeDocument/2006/relationships/footer" Target="footer52.xml"/><Relationship Id="rId100" Type="http://schemas.openxmlformats.org/officeDocument/2006/relationships/header" Target="header23.xml"/><Relationship Id="rId101" Type="http://schemas.openxmlformats.org/officeDocument/2006/relationships/footer" Target="footer53.xml"/><Relationship Id="rId102" Type="http://schemas.openxmlformats.org/officeDocument/2006/relationships/header" Target="header24.xml"/><Relationship Id="rId103" Type="http://schemas.openxmlformats.org/officeDocument/2006/relationships/header" Target="header25.xml"/><Relationship Id="rId104" Type="http://schemas.openxmlformats.org/officeDocument/2006/relationships/footer" Target="footer5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7.jpeg"/></Relationships>

</file>

<file path=word/_rels/footer41.xml.rels><?xml version="1.0" encoding="UTF-8" standalone="yes"?>
<Relationships xmlns="http://schemas.openxmlformats.org/package/2006/relationships"><Relationship Id="rId1" Type="http://schemas.openxmlformats.org/officeDocument/2006/relationships/image" Target="media/image18.png"/></Relationships>

</file>

<file path=word/_rels/footer42.xml.rels><?xml version="1.0" encoding="UTF-8" standalone="yes"?>
<Relationships xmlns="http://schemas.openxmlformats.org/package/2006/relationships"><Relationship Id="rId1" Type="http://schemas.openxmlformats.org/officeDocument/2006/relationships/image" Target="media/image19.jpeg"/></Relationships>

</file>

<file path=word/_rels/footer45.xml.rels><?xml version="1.0" encoding="UTF-8" standalone="yes"?>
<Relationships xmlns="http://schemas.openxmlformats.org/package/2006/relationships"><Relationship Id="rId1" Type="http://schemas.openxmlformats.org/officeDocument/2006/relationships/image" Target="media/image20.png"/></Relationships>

</file>

<file path=word/_rels/footer46.xml.rels><?xml version="1.0" encoding="UTF-8" standalone="yes"?>
<Relationships xmlns="http://schemas.openxmlformats.org/package/2006/relationships"><Relationship Id="rId1" Type="http://schemas.openxmlformats.org/officeDocument/2006/relationships/image" Target="media/image20.png"/></Relationships>

</file>

<file path=word/_rels/footer47.xml.rels><?xml version="1.0" encoding="UTF-8" standalone="yes"?>
<Relationships xmlns="http://schemas.openxmlformats.org/package/2006/relationships"><Relationship Id="rId1" Type="http://schemas.openxmlformats.org/officeDocument/2006/relationships/image" Target="media/image20.png"/></Relationships>

</file>

<file path=word/_rels/footer48.xml.rels><?xml version="1.0" encoding="UTF-8" standalone="yes"?>
<Relationships xmlns="http://schemas.openxmlformats.org/package/2006/relationships"><Relationship Id="rId1" Type="http://schemas.openxmlformats.org/officeDocument/2006/relationships/image" Target="media/image20.png"/></Relationships>

</file>

<file path=word/_rels/footer49.xml.rels><?xml version="1.0" encoding="UTF-8" standalone="yes"?>
<Relationships xmlns="http://schemas.openxmlformats.org/package/2006/relationships"><Relationship Id="rId1" Type="http://schemas.openxmlformats.org/officeDocument/2006/relationships/image" Target="media/image20.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20.png"/></Relationships>

</file>

<file path=word/_rels/footer51.xml.rels><?xml version="1.0" encoding="UTF-8" standalone="yes"?>
<Relationships xmlns="http://schemas.openxmlformats.org/package/2006/relationships"><Relationship Id="rId1" Type="http://schemas.openxmlformats.org/officeDocument/2006/relationships/image" Target="media/image20.png"/></Relationships>

</file>

<file path=word/_rels/footer52.xml.rels><?xml version="1.0" encoding="UTF-8" standalone="yes"?>
<Relationships xmlns="http://schemas.openxmlformats.org/package/2006/relationships"><Relationship Id="rId1" Type="http://schemas.openxmlformats.org/officeDocument/2006/relationships/image" Target="media/image20.png"/></Relationships>

</file>

<file path=word/_rels/footer53.xml.rels><?xml version="1.0" encoding="UTF-8" standalone="yes"?>
<Relationships xmlns="http://schemas.openxmlformats.org/package/2006/relationships"><Relationship Id="rId1" Type="http://schemas.openxmlformats.org/officeDocument/2006/relationships/image" Target="media/image20.png"/></Relationships>

</file>

<file path=word/_rels/footer54.xml.rels><?xml version="1.0" encoding="UTF-8" standalone="yes"?>
<Relationships xmlns="http://schemas.openxmlformats.org/package/2006/relationships"><Relationship Id="rId1" Type="http://schemas.openxmlformats.org/officeDocument/2006/relationships/image" Target="media/image20.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2020-05-03T13:07:58Z</dcterms:created>
  <dcterms:modified xsi:type="dcterms:W3CDTF">2020-05-03T13:07:58Z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Creator">
    <vt:lpwstr>Microsoft® Office Word 2007</vt:lpwstr>
  </property>
  <property fmtid="{D5CDD505-2E9C-101B-9397-08002B2CF9AE}" pid="4" name="LastSaved">
    <vt:filetime>2020-05-03T00:00:00Z</vt:filetime>
  </property>
</Properties>
</file>